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4" w:lineRule="exact"/>
        <w:rPr>
          <w:sz w:val="24"/>
          <w:szCs w:val="24"/>
          <w:color w:val="auto"/>
        </w:rPr>
      </w:pPr>
    </w:p>
    <w:p>
      <w:pPr>
        <w:jc w:val="center"/>
        <w:ind w:left="1380" w:right="1920"/>
        <w:spacing w:after="0" w:line="27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220"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For the month of February 2023</w:t>
      </w:r>
    </w:p>
    <w:p>
      <w:pPr>
        <w:spacing w:after="0" w:line="28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Commission File Number: 001-40490</w:t>
      </w:r>
    </w:p>
    <w:p>
      <w:pPr>
        <w:spacing w:after="0" w:line="280"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6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1 Walter Moses St.</w:t>
      </w:r>
    </w:p>
    <w:p>
      <w:pPr>
        <w:spacing w:after="0" w:line="3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Tel Aviv 6789903, Israel</w:t>
      </w:r>
    </w:p>
    <w:p>
      <w:pPr>
        <w:spacing w:after="0" w:line="1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+972 (3) 763-0333</w:t>
      </w:r>
    </w:p>
    <w:p>
      <w:pPr>
        <w:spacing w:after="0" w:line="1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65" w:lineRule="exact"/>
        <w:rPr>
          <w:sz w:val="24"/>
          <w:szCs w:val="24"/>
          <w:color w:val="auto"/>
        </w:rPr>
      </w:pPr>
    </w:p>
    <w:p>
      <w:pPr>
        <w:ind w:left="4160"/>
        <w:spacing w:after="0" w:line="253" w:lineRule="exact"/>
        <w:tabs>
          <w:tab w:leader="none" w:pos="590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783" w:right="1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Results</w:t>
      </w:r>
    </w:p>
    <w:p>
      <w:pPr>
        <w:spacing w:after="0" w:line="2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On February 15, 2023, WalkMe Ltd. (the “Company”) issued a press release titled “WalkMe Ltd. Announces Fourth Quarter 2022 Financial Results.” A copy of the press release is furnished as Exhibit 99.1 herewith.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Officer Appointment</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also issued a press release titled “WalkMe Ltd. Appoints Hagit Ynon as Chief Financial Officer” announcing that Hagit Ynon, its Executive Vice President of Finance &amp; Operations and interim Chief Financial Officer, was appointed as the Company’s Chief Financial Officer effective February 14, 2023. A copy of the press release announcing the officer appointment is furnished as Exhibit 99.2 herewith.</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Ms. Ynon, age 51, has served as the Company’s Executive Vice President, Finance &amp; Operations since September 2019 and as the Company’s interim Chief Financial Officer since September 2022. Prior to joining the Company, Ms. Ynon spent 19 years in various positions in the finance department at NICE Ltd., a public company that provides cloud and on-premises platforms for AI-driven digital business solutions, most recently as Vice President, Corporate Finance. Before joining NICE Ltd., Ms. Ynon served as an Audit Manager at PricewaterhouseCoopers. Ms. Ynon holds a B.A. in Management and Accounting and an M.B.A. from the College of Management Academic Studies in Israel and is a registered CPA in Israel.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Other than as indicated below, the information in this Form 6-K (including in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U.S. GAAP financial information contained in the (i) condensed consolidated statements of operations, (ii) condensed consolidated balance sheets and (iii) condensed consolidated statements of cash flow included in the press release attached as Exhibit 99.1 to this Report on Form 6-K and the information set forth under “Officer Appointment” above is hereby incorporated by reference into the Company’s Registration Statements on Form S-8 (File Nos. 333-257354 and 333-263823).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exhibits are furnished as part of this Form 6-K: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15, 2023 titled “WalkMe Ltd. Announces Fourth Quarter 2022 Financial Results”</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dated February 15, 2023 titled “WalkMe Ltd. Appoints Hagit Ynon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2"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WalkMe Ltd.</w:t>
            </w:r>
          </w:p>
        </w:tc>
      </w:tr>
      <w:tr>
        <w:trPr>
          <w:trHeight w:val="40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2023</w:t>
            </w:r>
          </w:p>
        </w:tc>
        <w:tc>
          <w:tcPr>
            <w:tcW w:w="75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Dan Adika</w:t>
            </w:r>
          </w:p>
        </w:tc>
      </w:tr>
      <w:tr>
        <w:trPr>
          <w:trHeight w:val="245"/>
        </w:trPr>
        <w:tc>
          <w:tcPr>
            <w:tcW w:w="3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 Adika</w:t>
            </w:r>
          </w:p>
        </w:tc>
        <w:tc>
          <w:tcPr>
            <w:tcW w:w="4280" w:type="dxa"/>
            <w:vAlign w:val="bottom"/>
          </w:tcPr>
          <w:p>
            <w:pPr>
              <w:spacing w:after="0"/>
              <w:rPr>
                <w:sz w:val="21"/>
                <w:szCs w:val="21"/>
                <w:color w:val="auto"/>
              </w:rPr>
            </w:pP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1"/>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r>
        <w:trPr>
          <w:trHeight w:val="163"/>
        </w:trPr>
        <w:tc>
          <w:tcPr>
            <w:tcW w:w="37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Announces Fourth Quarter 2022 Financial Results</w:t>
      </w:r>
    </w:p>
    <w:p>
      <w:pPr>
        <w:spacing w:after="0" w:line="28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ARR from Digital Adoption Platform (DAP*) customers grew 63% year-over-year</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ARR from customers of greater than 500 employees grew 22% year-over-year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improvement of Non-GAAP Operating loss of 16% of revenue in 4Q22 from 35% of revenue in 4Q21, and GAAP Operating loss to 35% of revenue in 4Q22 from 55% of revenue in 4Q21</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Hagit Ynon named as Chief Financial Officer</w:t>
      </w:r>
    </w:p>
    <w:p>
      <w:pPr>
        <w:spacing w:after="0" w:line="26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SAN FRANCISCO, February 15, 2023 </w:t>
      </w:r>
      <w:r>
        <w:rPr>
          <w:rFonts w:ascii="Times New Roman" w:cs="Times New Roman" w:eastAsia="Times New Roman" w:hAnsi="Times New Roman"/>
          <w:sz w:val="22"/>
          <w:szCs w:val="22"/>
          <w:color w:val="auto"/>
        </w:rPr>
        <w:t>-- WalkMe Ltd. (NASDAQ:WKME), a leading provider of digital adoption solutions,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financial results for its fourth quarter ended December 31, 2022.</w:t>
      </w:r>
    </w:p>
    <w:p>
      <w:pPr>
        <w:spacing w:after="0" w:line="20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1"/>
          <w:szCs w:val="21"/>
          <w:color w:val="auto"/>
        </w:rPr>
        <w:t>"WalkMe continues to help the largest companies in the world identify and resolve the crippling digital friction that's keeping them from achieving their digital transformation goals. They're relying on us to regain control of their tech stack and finally turn it into a competitive advantage," said Dan Adika, CEO of WalkMe. "In 2023, we expect to continue seeing gains in operational efficiency and achieve free cash flow positive in the fourth quarter, while investing in exciting developments in AI that harness our unmatched access to data across billions of interactions to deliver better experiences for our customers and their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2022 Financial Highlights:</w:t>
      </w:r>
    </w:p>
    <w:p>
      <w:pPr>
        <w:spacing w:after="0" w:line="283" w:lineRule="exact"/>
        <w:rPr>
          <w:sz w:val="20"/>
          <w:szCs w:val="20"/>
          <w:color w:val="auto"/>
        </w:rPr>
      </w:pPr>
    </w:p>
    <w:p>
      <w:pPr>
        <w:ind w:left="660" w:right="480" w:hanging="328"/>
        <w:spacing w:after="0" w:line="26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was $64.9 million in the fourth quarter of 2022, an increase of 22% year-over-year. Subscription revenue was $58.7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 increase of 21% year-over-year.</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Annualized Recurring Revenue (ARR)*</w:t>
      </w:r>
      <w:r>
        <w:rPr>
          <w:rFonts w:ascii="Times New Roman" w:cs="Times New Roman" w:eastAsia="Times New Roman" w:hAnsi="Times New Roman"/>
          <w:sz w:val="18"/>
          <w:szCs w:val="18"/>
          <w:color w:val="auto"/>
        </w:rPr>
        <w:t>: ARR grew 19% year-over-year to $262 million as of December 31,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Remaining Performance Obligation (RPO)</w:t>
      </w:r>
      <w:r>
        <w:rPr>
          <w:rFonts w:ascii="Times New Roman" w:cs="Times New Roman" w:eastAsia="Times New Roman" w:hAnsi="Times New Roman"/>
          <w:sz w:val="18"/>
          <w:szCs w:val="18"/>
          <w:color w:val="auto"/>
        </w:rPr>
        <w:t>: was $374 million as of December 31, 2022, an increase of 18%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Gross Margin</w:t>
      </w:r>
      <w:r>
        <w:rPr>
          <w:rFonts w:ascii="Times New Roman" w:cs="Times New Roman" w:eastAsia="Times New Roman" w:hAnsi="Times New Roman"/>
          <w:sz w:val="18"/>
          <w:szCs w:val="18"/>
          <w:color w:val="auto"/>
        </w:rPr>
        <w:t>: was 81% in the fourth quarter of 2022 compared to 76% in the fourth quarter of 2021.</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Operating Loss</w:t>
      </w:r>
      <w:r>
        <w:rPr>
          <w:rFonts w:ascii="Times New Roman" w:cs="Times New Roman" w:eastAsia="Times New Roman" w:hAnsi="Times New Roman"/>
          <w:sz w:val="18"/>
          <w:szCs w:val="18"/>
          <w:color w:val="auto"/>
        </w:rPr>
        <w:t>: was $22.6 million in the fourth quarter of 2022, or 35% of total revenue, compared to $29.1 million, or 55% of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 the fourth quarter of 2021.</w:t>
      </w: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Operating Loss*: </w:t>
      </w:r>
      <w:r>
        <w:rPr>
          <w:rFonts w:ascii="Times New Roman" w:cs="Times New Roman" w:eastAsia="Times New Roman" w:hAnsi="Times New Roman"/>
          <w:sz w:val="18"/>
          <w:szCs w:val="18"/>
          <w:color w:val="auto"/>
        </w:rPr>
        <w:t>was $10.5 million in the fourth quarter of 2022, or 16% of total revenue, compared to $18.9 million, or 35%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revenue, in the fourth quarter of 2021.</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Flow</w:t>
      </w:r>
      <w:r>
        <w:rPr>
          <w:rFonts w:ascii="Times New Roman" w:cs="Times New Roman" w:eastAsia="Times New Roman" w:hAnsi="Times New Roman"/>
          <w:sz w:val="18"/>
          <w:szCs w:val="18"/>
          <w:color w:val="auto"/>
        </w:rPr>
        <w:t>: Net cash used in operations in the fourth quarter of 2022 was $8.8 million, or 14% of total revenue, compared to $13.9 million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or 26% of total revenue, in the fourth quarter of 2021.</w:t>
      </w:r>
    </w:p>
    <w:p>
      <w:pPr>
        <w:ind w:left="660" w:right="10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was negative $10.2 million in the fourth quarter of 2022, or 16% of total revenue, compared to negative $16.4 million, or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total revenue, in the fourth quarter of 2021.</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Short-term Deposits and Marketable Securities: </w:t>
      </w:r>
      <w:r>
        <w:rPr>
          <w:rFonts w:ascii="Times New Roman" w:cs="Times New Roman" w:eastAsia="Times New Roman" w:hAnsi="Times New Roman"/>
          <w:sz w:val="18"/>
          <w:szCs w:val="18"/>
          <w:color w:val="auto"/>
        </w:rPr>
        <w:t>were $304.9 million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Full Year 2022 Financial Highlights:</w:t>
      </w:r>
    </w:p>
    <w:p>
      <w:pPr>
        <w:spacing w:after="0" w:line="283" w:lineRule="exact"/>
        <w:rPr>
          <w:sz w:val="20"/>
          <w:szCs w:val="20"/>
          <w:color w:val="auto"/>
        </w:rPr>
      </w:pPr>
    </w:p>
    <w:p>
      <w:pPr>
        <w:ind w:left="660" w:right="20" w:hanging="328"/>
        <w:spacing w:after="0" w:line="26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was $245 million in 2022, an increase of 27% year-over-year. Subscription revenue was $221 million, an increase of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year-over-year.</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Gross Margin</w:t>
      </w:r>
      <w:r>
        <w:rPr>
          <w:rFonts w:ascii="Times New Roman" w:cs="Times New Roman" w:eastAsia="Times New Roman" w:hAnsi="Times New Roman"/>
          <w:sz w:val="18"/>
          <w:szCs w:val="18"/>
          <w:color w:val="auto"/>
        </w:rPr>
        <w:t>: was 78% in 2022 compared to 76% in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Operating Loss</w:t>
      </w:r>
      <w:r>
        <w:rPr>
          <w:rFonts w:ascii="Times New Roman" w:cs="Times New Roman" w:eastAsia="Times New Roman" w:hAnsi="Times New Roman"/>
          <w:sz w:val="18"/>
          <w:szCs w:val="18"/>
          <w:color w:val="auto"/>
        </w:rPr>
        <w:t>: was $109.8 million in 2022, or 45% of total revenue, compared to $77.8 million, or 40% of total revenue in 2021.</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Operating Loss*: </w:t>
      </w:r>
      <w:r>
        <w:rPr>
          <w:rFonts w:ascii="Times New Roman" w:cs="Times New Roman" w:eastAsia="Times New Roman" w:hAnsi="Times New Roman"/>
          <w:sz w:val="18"/>
          <w:szCs w:val="18"/>
          <w:color w:val="auto"/>
        </w:rPr>
        <w:t>was $58.3 million in the fourth quarter of 2022, or 24% of total revenue, compared to $50.2 million, or 26%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revenue in 2021.</w:t>
      </w:r>
    </w:p>
    <w:p>
      <w:pPr>
        <w:ind w:left="660" w:right="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Flow</w:t>
      </w:r>
      <w:r>
        <w:rPr>
          <w:rFonts w:ascii="Times New Roman" w:cs="Times New Roman" w:eastAsia="Times New Roman" w:hAnsi="Times New Roman"/>
          <w:sz w:val="18"/>
          <w:szCs w:val="18"/>
          <w:color w:val="auto"/>
        </w:rPr>
        <w:t>: Net cash used in operations in 2022 was $46.8 million, or 19% of total revenue, compared to $34.2 million used in operations or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total revenue in 2021.</w:t>
      </w:r>
    </w:p>
    <w:p>
      <w:pPr>
        <w:ind w:left="660" w:right="2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was negative $53.9 million in 2022, or 22% of total revenue, compared to negative $40.8 million, or 21% of total revenue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w:t>
      </w:r>
    </w:p>
    <w:p>
      <w:pPr>
        <w:spacing w:after="0" w:line="24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"We ended the quarter strong against our strategic priorities driving growth in the enterprise segment, our partner ecosystem, and in the U.S. Federal market during a challenging economic environment," said Hagit Ynon, CFO of WalkMe. "We will continue to reap the benefits from our investments in these spaces as we push for additional operational leverage to reach positive free cash flow by the fourth quarter of 2023 and for the full year of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and Recent Business Highlights:</w:t>
      </w:r>
    </w:p>
    <w:p>
      <w:pPr>
        <w:spacing w:after="0" w:line="287" w:lineRule="exact"/>
        <w:rPr>
          <w:sz w:val="20"/>
          <w:szCs w:val="20"/>
          <w:color w:val="auto"/>
        </w:rPr>
      </w:pPr>
    </w:p>
    <w:p>
      <w:pPr>
        <w:ind w:left="660" w:right="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Hagit Ynon was named Chief Financial Officer, having served as EVP of Finance for over 3 years with the company and most recently as Interim CFO.</w:t>
      </w:r>
    </w:p>
    <w:p>
      <w:pPr>
        <w:ind w:left="660" w:right="4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WalkMe added eighteen net new Enterprise-Wide DAP customers for a total of 173, representing DAP customer count growth of 37% year-over-year. ARR from DAP customers grew 63% year-over-year.</w:t>
      </w:r>
    </w:p>
    <w:p>
      <w:pPr>
        <w:ind w:left="660" w:right="2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with over $1 million in ARR grew 26% year-over-year to 39 representing 32% of total ARR. Customers with over $100,000 in ARR grew 13% year-over-year to 514 and customers.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 from customers with 500 or more employees grew 22% year over year and now represents 94% of total ARR.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with Federal Market signing two Federal customers through partner channels and progress towards Federal.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WalkMe was the only DAP provider named as one of the 2023 Top 50 Products for Enterprises by G2 Crowd.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Financial Outlook: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first quarter of 2023, the Company currently expects:</w:t>
      </w:r>
    </w:p>
    <w:p>
      <w:pPr>
        <w:spacing w:after="0" w:line="2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$64.6 to $65.6 million, representing a growth rate of 14% to 15%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loss* of $11 to $10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full year 2023, the Company currently expects:</w:t>
      </w:r>
    </w:p>
    <w:p>
      <w:pPr>
        <w:spacing w:after="0" w:line="2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$269 to $276 million, representing a growth rate of 10% to 13%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loss* of $29 to $26 million</w:t>
      </w:r>
    </w:p>
    <w:p>
      <w:pPr>
        <w:spacing w:after="0" w:line="2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*The section titled “Non-GAAP Financial Measures and Key Performance Indicators” below contains a description of the non-GAAP financial measures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29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22"/>
          <w:szCs w:val="22"/>
          <w:color w:val="auto"/>
        </w:rPr>
        <w:t>WalkMe will host a conference call and live webcast for analysts and investors at 5:00 a.m. Pacific Time on February 15, 2023. The press release with the financial results as well as the investor presentation materials will be accessible from the Company’s website prior to the conference call.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live webcast of the conference call will be accessible on the WalkMe investor relations website at https://ir.walkme.com.</w:t>
      </w:r>
    </w:p>
    <w:p>
      <w:pPr>
        <w:spacing w:after="0" w:line="28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auto"/>
        </w:rPr>
        <w:t>Approximately one hour after completion of the live call and for at least 30 days thereafter, an archived version of the webcast will be available on the Company’s investor relations website at https://ir.walkme.com.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2"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Supplemental Financial and Other Information:</w:t>
      </w:r>
    </w:p>
    <w:p>
      <w:pPr>
        <w:spacing w:after="0" w:line="29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2"/>
          <w:szCs w:val="22"/>
          <w:color w:val="auto"/>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233"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22"/>
          <w:szCs w:val="22"/>
          <w:color w:val="auto"/>
        </w:rPr>
        <w:t>Any updates to the list of disclosure channels through which we will announce information will be posted on the investor relations page of our website.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 and Key Performance Indicators:</w:t>
      </w:r>
    </w:p>
    <w:p>
      <w:pPr>
        <w:spacing w:after="0" w:line="2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4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1"/>
          <w:szCs w:val="21"/>
          <w:i w:val="1"/>
          <w:iCs w:val="1"/>
          <w:color w:val="auto"/>
        </w:rPr>
        <w:t>Non-GAAP Gross Profit and Non-GAAP Gross Margin</w:t>
      </w:r>
      <w:r>
        <w:rPr>
          <w:rFonts w:ascii="Times New Roman" w:cs="Times New Roman" w:eastAsia="Times New Roman" w:hAnsi="Times New Roman"/>
          <w:sz w:val="21"/>
          <w:szCs w:val="21"/>
          <w:color w:val="auto"/>
        </w:rPr>
        <w:t>. We define Non-GAAP Gross Profit as gross profit excluding share-based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compensation and amortization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2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Non-GAAP Operating Income (Loss) and Non-GAAP Operating Margin. </w:t>
      </w:r>
      <w:r>
        <w:rPr>
          <w:rFonts w:ascii="Times New Roman" w:cs="Times New Roman" w:eastAsia="Times New Roman" w:hAnsi="Times New Roman"/>
          <w:sz w:val="22"/>
          <w:szCs w:val="22"/>
          <w:color w:val="auto"/>
        </w:rPr>
        <w:t>We define Non-GAAP Operating Income (Loss)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(loss) from operations excluding share-based compensation and amortization and impairment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8" w:name="page9"/>
    <w:bookmarkEnd w:id="8"/>
    <w:p>
      <w:pPr>
        <w:ind w:right="20"/>
        <w:spacing w:after="0" w:line="260" w:lineRule="auto"/>
        <w:rPr>
          <w:sz w:val="20"/>
          <w:szCs w:val="20"/>
          <w:color w:val="auto"/>
        </w:rPr>
      </w:pPr>
      <w:r>
        <w:rPr>
          <w:rFonts w:ascii="Times New Roman" w:cs="Times New Roman" w:eastAsia="Times New Roman" w:hAnsi="Times New Roman"/>
          <w:sz w:val="22"/>
          <w:szCs w:val="22"/>
          <w:i w:val="1"/>
          <w:iCs w:val="1"/>
          <w:color w:val="auto"/>
        </w:rPr>
        <w:t>Non-GAAP Net Income (Loss) attributable to WalkMe Ltd</w:t>
      </w:r>
      <w:r>
        <w:rPr>
          <w:rFonts w:ascii="Times New Roman" w:cs="Times New Roman" w:eastAsia="Times New Roman" w:hAnsi="Times New Roman"/>
          <w:sz w:val="22"/>
          <w:szCs w:val="22"/>
          <w:color w:val="auto"/>
        </w:rPr>
        <w:t>. We define Non-GAAP Net Income (Loss) attributable to WalkMe Ltd.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Net Income (Loss) attributable to WalkMe Ltd. excluding share-based compensation, amortization and impairment of acquired intangibles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ordinary shares outstanding after accounting for the exchange of our outstanding convertible preferred shares into ordinary shares as though such event had occurred at the beginning of the periods.</w:t>
      </w:r>
    </w:p>
    <w:p>
      <w:pPr>
        <w:spacing w:after="0" w:line="2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2"/>
          <w:szCs w:val="22"/>
          <w:i w:val="1"/>
          <w:iCs w:val="1"/>
          <w:color w:val="auto"/>
        </w:rPr>
        <w:t xml:space="preserve">Free Cash Flow. </w:t>
      </w:r>
      <w:r>
        <w:rPr>
          <w:rFonts w:ascii="Times New Roman" w:cs="Times New Roman" w:eastAsia="Times New Roman" w:hAnsi="Times New Roman"/>
          <w:sz w:val="22"/>
          <w:szCs w:val="22"/>
          <w:color w:val="auto"/>
        </w:rPr>
        <w:t>We define Free Cash Flow as net cash provided by (used in) operating activities, less cash used for purchases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and equipment 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23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2"/>
          <w:szCs w:val="22"/>
          <w:color w:val="auto"/>
        </w:rPr>
        <w:t>For more information on the non-GAAP financial measures, please see the reconciliation tables provided below. The accompanying reconciliation tables have more details on the GAAP financial measures that are most directly comparable to non-GAAP financial measures and the related reconciliations between these financial measures.</w:t>
      </w:r>
    </w:p>
    <w:p>
      <w:pPr>
        <w:spacing w:after="0" w:line="2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i w:val="1"/>
          <w:iCs w:val="1"/>
          <w:color w:val="auto"/>
        </w:rPr>
        <w:t xml:space="preserve">ARR. </w:t>
      </w:r>
      <w:r>
        <w:rPr>
          <w:rFonts w:ascii="Times New Roman" w:cs="Times New Roman" w:eastAsia="Times New Roman" w:hAnsi="Times New Roman"/>
          <w:sz w:val="21"/>
          <w:szCs w:val="21"/>
          <w:color w:val="auto"/>
        </w:rPr>
        <w:t>We define ARR as the annualized value of customer subscription contracts as of the measurement date, assuming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contract that expires during the 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228"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21"/>
          <w:szCs w:val="21"/>
          <w:i w:val="1"/>
          <w:iCs w:val="1"/>
          <w:color w:val="auto"/>
        </w:rPr>
        <w:t xml:space="preserve">Enterprise-Wide DAP Customers: </w:t>
      </w:r>
      <w:r>
        <w:rPr>
          <w:rFonts w:ascii="Times New Roman" w:cs="Times New Roman" w:eastAsia="Times New Roman" w:hAnsi="Times New Roman"/>
          <w:sz w:val="21"/>
          <w:szCs w:val="21"/>
          <w:color w:val="auto"/>
        </w:rPr>
        <w:t>We define Enterprise-Wide DAP Customers as those who have purchased enterprise-wide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subscriptions or who have department-wide usage of our Digital Adoption Platform across four or more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9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Act”).All statements contained in this press release other than statements of historical fact, including, without limitation, statements regarding the Company’s future financial results and guidance, and expectations regarding our revenue, operating loss and free cash flow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WalkMe</w:t>
      </w:r>
    </w:p>
    <w:p>
      <w:pPr>
        <w:spacing w:after="0" w:line="29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WalkMe’s cloud-based Digital Adoption Platform enables organizations to measure, drive and act to ultimately accelerate their digital transformations and better realize the value of their software investments. Our code-free platform leverages our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Knittel</w:t>
      </w:r>
    </w:p>
    <w:p>
      <w:pPr>
        <w:sectPr>
          <w:pgSz w:w="11900" w:h="16838" w:orient="portrait"/>
          <w:cols w:equalWidth="0" w:num="1">
            <w:col w:w="11220"/>
          </w:cols>
          <w:pgMar w:left="320" w:top="392" w:right="35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auto"/>
        </w:rPr>
        <w:t>press@walkme.com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Streppa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9"/>
                <w:szCs w:val="19"/>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58,702</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175,328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24,034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53,258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245,006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Subscription</w:t>
            </w:r>
            <w:r>
              <w:rPr>
                <w:rFonts w:ascii="Times New Roman" w:cs="Times New Roman" w:eastAsia="Times New Roman" w:hAnsi="Times New Roman"/>
                <w:sz w:val="26"/>
                <w:szCs w:val="26"/>
                <w:color w:val="auto"/>
                <w:vertAlign w:val="superscript"/>
              </w:rPr>
              <w:t>(1)(2)</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25,990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24,025</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Professional services</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22,632</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40,281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191,122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146,646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59,468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48,160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41,294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176,307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127,719</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6"/>
                <w:szCs w:val="26"/>
                <w:color w:val="auto"/>
                <w:vertAlign w:val="superscript"/>
              </w:rPr>
              <w:t>(1)(2)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65,188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48,557</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74,965</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(22,551)</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(29,059)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(109,841)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(77,790)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(19,597)</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(28,931)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(104,519)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(77,799)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(21,328)</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(29,452)</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(108,350)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(80,293)</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(2,703)</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WalkMe Ltd.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86,235,574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83,633,127</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85,116,424</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51,763,032</w:t>
            </w:r>
          </w:p>
        </w:tc>
        <w:tc>
          <w:tcPr>
            <w:tcW w:w="0" w:type="dxa"/>
            <w:vAlign w:val="bottom"/>
          </w:tcPr>
          <w:p>
            <w:pPr>
              <w:spacing w:after="0"/>
              <w:rPr>
                <w:sz w:val="1"/>
                <w:szCs w:val="1"/>
                <w:color w:val="auto"/>
              </w:rPr>
            </w:pPr>
          </w:p>
        </w:tc>
      </w:tr>
      <w:tr>
        <w:trPr>
          <w:trHeight w:val="2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200" w:type="dxa"/>
            <w:vAlign w:val="bottom"/>
            <w:shd w:val="clear" w:color="auto" w:fill="CCEEFF"/>
          </w:tcPr>
          <w:p>
            <w:pPr>
              <w:spacing w:after="0"/>
              <w:rPr>
                <w:sz w:val="23"/>
                <w:szCs w:val="23"/>
                <w:color w:val="auto"/>
              </w:rPr>
            </w:pPr>
          </w:p>
        </w:tc>
        <w:tc>
          <w:tcPr>
            <w:tcW w:w="940" w:type="dxa"/>
            <w:vAlign w:val="bottom"/>
            <w:tcBorders>
              <w:right w:val="single" w:sz="8" w:color="CCEEFF"/>
            </w:tcBorders>
            <w:vMerge w:val="continue"/>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75"/>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Includes share-based compensation expense as follows: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Includes amortization and impairment of acquired intangibles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and impairment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5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276,889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45,024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7,954</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445,206</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459,617</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53,414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49,310</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141,926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182,952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150,106</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23,901</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610,193</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(432,645)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(325,038)</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445,206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459,617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2"/>
                <w:szCs w:val="22"/>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(21,328)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(108,350)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50,104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and liabilities,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(1,758)</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(7,417)</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 and other non-</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w:t>
            </w:r>
          </w:p>
        </w:tc>
        <w:tc>
          <w:tcPr>
            <w:tcW w:w="3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deferred contract acquisition costs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(10,272)</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(26,702)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accrued expenses and 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(3,178)</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28,577</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3,146</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(2,867)</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(170,500)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(66,260)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112,257</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debt securities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(84,881)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(84,881)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restricted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restricted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(4,260)</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(96,271)</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(149,956)</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(2,367)</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263,922</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other issuance costs</w:t>
            </w: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5,074</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employees share purchase plan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9,717</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shares,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w:t>
            </w: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tcPr>
          <w:p>
            <w:pPr>
              <w:spacing w:after="0"/>
              <w:rPr>
                <w:sz w:val="18"/>
                <w:szCs w:val="18"/>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(182,823)</w:t>
            </w:r>
          </w:p>
        </w:tc>
        <w:tc>
          <w:tcPr>
            <w:tcW w:w="2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289,110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277,251</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62,895</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905"/>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2"/>
                <w:szCs w:val="22"/>
                <w:color w:val="auto"/>
              </w:rPr>
            </w:pPr>
          </w:p>
        </w:tc>
        <w:tc>
          <w:tcPr>
            <w:tcW w:w="256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52,414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191,122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146,646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3,896</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53,492</w:t>
            </w:r>
          </w:p>
        </w:tc>
        <w:tc>
          <w:tcPr>
            <w:tcW w:w="320" w:type="dxa"/>
            <w:vAlign w:val="bottom"/>
            <w:tcBorders>
              <w:left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195,506</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148,749</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loss and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(109,841)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(77,790)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10,031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50,104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320" w:type="dxa"/>
            <w:vAlign w:val="bottom"/>
            <w:tcBorders>
              <w:left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(50,159)</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attributable to WalkMe Ltd.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(92,628)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(95,813)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10,031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50,104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Adjustment attributable to non-controlling interest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(2,337)</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(14,979)</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attributable to WalkMe Ltd.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(8,888)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(18,977)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(56,036)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(51,493)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per share attributable to WalkMe Ltd.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non-GAAP per share calculations: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weighted-average shares used to compute net loss per share, basic</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86,235,574</w:t>
            </w:r>
          </w:p>
        </w:tc>
        <w:tc>
          <w:tcPr>
            <w:tcW w:w="18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83,633,127</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85,116,424</w:t>
            </w:r>
          </w:p>
        </w:tc>
        <w:tc>
          <w:tcPr>
            <w:tcW w:w="28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w w:val="98"/>
              </w:rPr>
              <w:t>51,763,032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weighted average shares giving effect to exchange of convertible</w:t>
            </w: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w w:val="98"/>
              </w:rPr>
              <w:t>26,972,186</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at the beginning of the period</w:t>
            </w: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weighted-average shares used to compute net loss per share,</w:t>
            </w: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86,235,574</w:t>
            </w:r>
          </w:p>
        </w:tc>
        <w:tc>
          <w:tcPr>
            <w:tcW w:w="320" w:type="dxa"/>
            <w:vAlign w:val="bottom"/>
            <w:tcBorders>
              <w:left w:val="single" w:sz="8" w:color="CCEEFF"/>
            </w:tcBorders>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83,633,127</w:t>
            </w:r>
          </w:p>
        </w:tc>
        <w:tc>
          <w:tcPr>
            <w:tcW w:w="2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85,116,424</w:t>
            </w:r>
          </w:p>
        </w:tc>
        <w:tc>
          <w:tcPr>
            <w:tcW w:w="2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78,735,218</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320" w:type="dxa"/>
            <w:vAlign w:val="bottom"/>
            <w:tcBorders>
              <w:left w:val="single" w:sz="8" w:color="CCEEFF"/>
            </w:tcBorders>
            <w:vMerge w:val="continue"/>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56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ind w:right="5060"/>
        <w:spacing w:after="0" w:line="292" w:lineRule="auto"/>
        <w:rPr>
          <w:sz w:val="20"/>
          <w:szCs w:val="20"/>
          <w:color w:val="auto"/>
        </w:rPr>
      </w:pPr>
      <w:r>
        <w:rPr>
          <w:rFonts w:ascii="Times New Roman" w:cs="Times New Roman" w:eastAsia="Times New Roman" w:hAnsi="Times New Roman"/>
          <w:sz w:val="18"/>
          <w:szCs w:val="18"/>
          <w:b w:val="1"/>
          <w:bCs w:val="1"/>
          <w:color w:val="auto"/>
        </w:rPr>
        <w:t>Reconciliation of GAAP Cash Flow from Operating Activities to Free Cash Flow (in thousands;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2"/>
                <w:szCs w:val="22"/>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(34,225)</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(2,867)</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(53,935)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(40,779)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5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6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Appoints Hagit Ynon as Chief Financial Officer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Former Interim CFO and EVP of Finance &amp; Operations to assume permanent CFO role</w:t>
      </w:r>
    </w:p>
    <w:p>
      <w:pPr>
        <w:spacing w:after="0" w:line="287"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SAN FRANCISCO, February 15, 2023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WalkMe Ltd.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WKME), a leading provider of digital adoption solutions,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the appointment of Hagit Ynon as Chief Financial Officer. Ms. Ynon assumes the role after serving as WalkMe’s interim CFO for the past six months and EVP of Finance &amp; Operations during the three years prior.</w:t>
      </w:r>
    </w:p>
    <w:p>
      <w:pPr>
        <w:spacing w:after="0" w:line="2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2"/>
          <w:szCs w:val="22"/>
          <w:color w:val="auto"/>
        </w:rPr>
        <w:t xml:space="preserve">“Hagit has been a valuable member of our Executive Leadership Team for three-and-a-half years, beginning as WalkMe’s EVP of Finance and Operations, then transitioning to interim CFO for the past six months,” said </w:t>
      </w:r>
      <w:r>
        <w:rPr>
          <w:rFonts w:ascii="Times New Roman" w:cs="Times New Roman" w:eastAsia="Times New Roman" w:hAnsi="Times New Roman"/>
          <w:sz w:val="22"/>
          <w:szCs w:val="22"/>
          <w:b w:val="1"/>
          <w:bCs w:val="1"/>
          <w:color w:val="auto"/>
        </w:rPr>
        <w:t>Dan Adika, CEO &amp; Co-founder,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WalkMe. </w:t>
      </w:r>
      <w:r>
        <w:rPr>
          <w:rFonts w:ascii="Times New Roman" w:cs="Times New Roman" w:eastAsia="Times New Roman" w:hAnsi="Times New Roman"/>
          <w:sz w:val="22"/>
          <w:szCs w:val="22"/>
          <w:color w:val="auto"/>
        </w:rPr>
        <w:t>“She has led the building of our finance organization over the years, even playing an integral role in our IPO process.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 past and current experience has positioned WalkMe well on our path to profitability. We have all been incredibly impressed by her ability to step into the interim CFO role with clear purpose and commitment, and we have the utmost confidence in her leading WalkMe’s finance and operations going forward.”</w:t>
      </w:r>
    </w:p>
    <w:p>
      <w:pPr>
        <w:spacing w:after="0" w:line="23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 xml:space="preserve">“It has been an honor to serve as a member of WalkMe’s talented Executive Leadership Team over the past few years, and it’s even more of an honor to now be serving as Chief Financial Officer,” said </w:t>
      </w:r>
      <w:r>
        <w:rPr>
          <w:rFonts w:ascii="Times New Roman" w:cs="Times New Roman" w:eastAsia="Times New Roman" w:hAnsi="Times New Roman"/>
          <w:sz w:val="22"/>
          <w:szCs w:val="22"/>
          <w:b w:val="1"/>
          <w:bCs w:val="1"/>
          <w:color w:val="auto"/>
        </w:rPr>
        <w:t>Hagit Ynon, Chief Financial Officer.</w:t>
      </w:r>
      <w:r>
        <w:rPr>
          <w:rFonts w:ascii="Times New Roman" w:cs="Times New Roman" w:eastAsia="Times New Roman" w:hAnsi="Times New Roman"/>
          <w:sz w:val="22"/>
          <w:szCs w:val="22"/>
          <w:color w:val="auto"/>
        </w:rPr>
        <w:t xml:space="preserve"> “I’m very excited about this next chapter of my journey with WalkMe, as I strongly believe in the value we are delivering customers and our strategy focusing on the enterprise. I will continue to build operational excellence into the business as we become cash flow positive for long-term sustainable growth.”</w:t>
      </w:r>
    </w:p>
    <w:p>
      <w:pPr>
        <w:spacing w:after="0" w:line="23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22"/>
          <w:szCs w:val="22"/>
          <w:color w:val="auto"/>
        </w:rPr>
        <w:t xml:space="preserve">“Hagit’s tenure as a seasoned finance leader as well as her commitment to driving WalkMe to profitability made her a strong choice for the role of Chief Financial Officer,” said </w:t>
      </w:r>
      <w:r>
        <w:rPr>
          <w:rFonts w:ascii="Times New Roman" w:cs="Times New Roman" w:eastAsia="Times New Roman" w:hAnsi="Times New Roman"/>
          <w:sz w:val="22"/>
          <w:szCs w:val="22"/>
          <w:b w:val="1"/>
          <w:bCs w:val="1"/>
          <w:color w:val="auto"/>
        </w:rPr>
        <w:t>Michele Bettencourt, Chairperson of the Board, WalkMe.</w:t>
      </w:r>
      <w:r>
        <w:rPr>
          <w:rFonts w:ascii="Times New Roman" w:cs="Times New Roman" w:eastAsia="Times New Roman" w:hAnsi="Times New Roman"/>
          <w:sz w:val="22"/>
          <w:szCs w:val="22"/>
          <w:color w:val="auto"/>
        </w:rPr>
        <w:t xml:space="preserve"> “I’m looking forward to continuing to work alongside both Hagit and Dan to drive the future of digital adoption for enterprises across the globe.”</w:t>
      </w:r>
    </w:p>
    <w:p>
      <w:pPr>
        <w:spacing w:after="0" w:line="23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2"/>
          <w:szCs w:val="22"/>
          <w:color w:val="auto"/>
        </w:rPr>
        <w:t>Prior to WalkMe, Ms. Ynon spent nearly two decades at NICE, a publicly traded tech leader, in various finance leadership roles including Corporate VP of Finance. She holds a B.A. in Business and Accounting and an MBA, Cum Laude, from the College of Management in Israel. She is a Certified Public Accountant and a Lecturer at Reichman University.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WalkMe</w:t>
      </w:r>
    </w:p>
    <w:p>
      <w:pPr>
        <w:spacing w:after="0" w:line="3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2"/>
          <w:szCs w:val="22"/>
          <w:color w:val="auto"/>
        </w:rPr>
        <w:t>WalkMe’s cloud-based Digital Adoption Platform enables organizations to measure, drive and act to ultimately accelerate their digital transformations and better realize the value of their software investments. Our platform leverages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9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press release other than statements of historical fact, including, without limitation, statements regarding the Company’s future financial results and guidance, and expectations regarding our revenue, operating loss and free cash flow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Knittel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WalkMe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press@walkme.com</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Streppa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492"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2023-02-15T06:09:55Z</dcterms:created>
  <dcterms:modified xsi:type="dcterms:W3CDTF">2023-02-15T06:09:55Z</dcterms:modified>
</cp:coreProperties>
</file>