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16" w:lineRule="exact"/>
        <w:rPr>
          <w:sz w:val="24"/>
          <w:szCs w:val="24"/>
          <w:color w:val="auto"/>
        </w:rPr>
      </w:pPr>
    </w:p>
    <w:p>
      <w:pPr>
        <w:jc w:val="center"/>
        <w:ind w:left="500" w:right="1080"/>
        <w:spacing w:after="0" w:line="246"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 (b), (c) AND (d) AND AMENDMENTS THERETO FILED PURSUANT TO § 240.13d-2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288925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WalkMe Ltd.</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 no par value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M97628107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tabs>
          <w:tab w:leader="none" w:pos="5544" w:val="left"/>
          <w:tab w:leader="none" w:pos="96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8"/>
          <w:szCs w:val="18"/>
          <w:color w:val="auto"/>
        </w:rPr>
        <w:t>Page 2 of 12 Pages</w:t>
      </w:r>
    </w:p>
    <w:p>
      <w:pPr>
        <w:spacing w:after="0" w:line="171" w:lineRule="exact"/>
        <w:rPr>
          <w:sz w:val="20"/>
          <w:szCs w:val="20"/>
          <w:color w:val="auto"/>
        </w:rPr>
      </w:pPr>
    </w:p>
    <w:p>
      <w:pPr>
        <w:ind w:left="624" w:right="7620" w:hanging="377"/>
        <w:spacing w:after="0" w:line="312" w:lineRule="auto"/>
        <w:tabs>
          <w:tab w:leader="none" w:pos="6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Gemini Israel V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6926580" cy="5495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495290"/>
                    </a:xfrm>
                    <a:prstGeom prst="rect">
                      <a:avLst/>
                    </a:prstGeom>
                    <a:noFill/>
                  </pic:spPr>
                </pic:pic>
              </a:graphicData>
            </a:graphic>
          </wp:anchor>
        </w:drawing>
      </w:r>
    </w:p>
    <w:p>
      <w:pPr>
        <w:spacing w:after="0" w:line="14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00-0000000</w:t>
      </w:r>
    </w:p>
    <w:p>
      <w:pPr>
        <w:spacing w:after="0" w:line="18"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2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1"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7,652,748</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7,652,748</w:t>
      </w:r>
    </w:p>
    <w:p>
      <w:pPr>
        <w:spacing w:after="0" w:line="36" w:lineRule="exact"/>
        <w:rPr>
          <w:sz w:val="20"/>
          <w:szCs w:val="20"/>
          <w:color w:val="auto"/>
        </w:rPr>
      </w:pPr>
    </w:p>
    <w:p>
      <w:pPr>
        <w:ind w:left="604" w:hanging="357"/>
        <w:spacing w:after="0"/>
        <w:tabs>
          <w:tab w:leader="none" w:pos="6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7,652,748</w:t>
      </w:r>
    </w:p>
    <w:p>
      <w:pPr>
        <w:spacing w:after="0" w:line="36" w:lineRule="exact"/>
        <w:rPr>
          <w:sz w:val="20"/>
          <w:szCs w:val="20"/>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9.1% (2)</w:t>
      </w:r>
    </w:p>
    <w:p>
      <w:pPr>
        <w:ind w:left="624" w:right="6080" w:hanging="467"/>
        <w:spacing w:after="0" w:line="547" w:lineRule="auto"/>
        <w:tabs>
          <w:tab w:leader="none" w:pos="62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1"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on behalf of Gemini Israel V Limited Partnership (“Gemini V”), Gemini Capital Associates V LP (“Gemini Associates LP”), Gemini Capital Associates V GP, Ltd. (“Gemini Associates GP”), Gemini Partners Investors V L.P. (“Gemini Partners”), Gemini Israel Funds IV Ltd. (“Gemini Israel”), Menashe Ezra (“Ezra”) and Yossi Sela (“Sela”) (collectively, the “Reporting Persons”). Gemini Associates GP is the general partner of Gemini Associates LP, which is the general partner of Gemini V, and each of Gemini Associates GP and Gemini Associates LP may be deemed to beneficially own the ordinary shares of the issuer held by Gemini V. Gemini Israel is the general partner of Gemini Partners and may be deemed to beneficially own the ordinary shares of the issuer held by Gemini Partners. Ezra and Sela are the managing partners of Gemini Associates GP and Gemini Israel, and each of Ezra and Sela may therefore be deemed to beneficially own the ordinary shares of the issuer held by Gemini V and Gemini Partners. Each of Gemini Associates GP, Gemini Associates LP, Germini Israel, Ezra and Sela hereby disclaims beneficial ownership of the ordinary shares of the issuer held by Gemini V and Gemini Partners except to the extent of its or his pecuniary interest therein. The Reporting Persons may be deed to a be a “group” for purposes of Section 13 of the Securities and Exchange Act of 1934 and hereby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83,754,006 of the Issuer’s ordinary shares outstanding as of December 31, 2021, as reported in the Issuer’s Annual Report on Form 20-F for the annual period ended December 31, 2021, filed with the Securities and Exchange Commission on March 24, 2022.</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tabs>
          <w:tab w:leader="none" w:pos="5544" w:val="left"/>
          <w:tab w:leader="none" w:pos="96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8"/>
          <w:szCs w:val="18"/>
          <w:color w:val="auto"/>
        </w:rPr>
        <w:t>Page 3 of 12 Pages</w:t>
      </w:r>
    </w:p>
    <w:p>
      <w:pPr>
        <w:spacing w:after="0" w:line="171" w:lineRule="exact"/>
        <w:rPr>
          <w:sz w:val="20"/>
          <w:szCs w:val="20"/>
          <w:color w:val="auto"/>
        </w:rPr>
      </w:pPr>
    </w:p>
    <w:p>
      <w:pPr>
        <w:ind w:left="624" w:right="7620" w:hanging="377"/>
        <w:spacing w:after="0" w:line="312" w:lineRule="auto"/>
        <w:tabs>
          <w:tab w:leader="none" w:pos="6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Gemini Capital Associates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6926580" cy="5494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spacing w:after="0" w:line="14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00-0000000</w:t>
      </w:r>
    </w:p>
    <w:p>
      <w:pPr>
        <w:spacing w:after="0" w:line="18" w:lineRule="exact"/>
        <w:rPr>
          <w:sz w:val="20"/>
          <w:szCs w:val="20"/>
          <w:color w:val="auto"/>
        </w:rPr>
      </w:pP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2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1"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7,652,748</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7,652,748</w:t>
      </w:r>
    </w:p>
    <w:p>
      <w:pPr>
        <w:spacing w:after="0" w:line="36" w:lineRule="exact"/>
        <w:rPr>
          <w:sz w:val="20"/>
          <w:szCs w:val="20"/>
          <w:color w:val="auto"/>
        </w:rPr>
      </w:pPr>
    </w:p>
    <w:p>
      <w:pPr>
        <w:ind w:left="604" w:hanging="357"/>
        <w:spacing w:after="0"/>
        <w:tabs>
          <w:tab w:leader="none" w:pos="6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7,652,748</w:t>
      </w:r>
    </w:p>
    <w:p>
      <w:pPr>
        <w:spacing w:after="0" w:line="36" w:lineRule="exact"/>
        <w:rPr>
          <w:sz w:val="20"/>
          <w:szCs w:val="20"/>
          <w:color w:val="auto"/>
        </w:rPr>
      </w:pPr>
    </w:p>
    <w:p>
      <w:pPr>
        <w:ind w:left="624" w:hanging="467"/>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9.1% (2)</w:t>
      </w:r>
    </w:p>
    <w:p>
      <w:pPr>
        <w:ind w:left="624" w:right="6080" w:hanging="467"/>
        <w:spacing w:after="0" w:line="547" w:lineRule="auto"/>
        <w:tabs>
          <w:tab w:leader="none" w:pos="62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1"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on behalf of Gemini Israel V Limited Partnership (“Gemini V”), Gemini Capital Associates V LP (“Gemini Associates LP”), Gemini Capital Associates V GP, Ltd. (“Gemini Associates GP”), Gemini Partners Investors V L.P. (“Gemini Partners”), Gemini Israel Funds IV Ltd. (“Gemini Israel”), Menashe Ezra (“Ezra”) and Yossi Sela (“Sela”) (collectively, the “Reporting Persons”). Gemini Associates GP is the general partner of Gemini Associates LP, which is the general partner of Gemini V, and each of Gemini Associates GP and Gemini Associates LP may be deemed to beneficially own the ordinary shares of the issuer held by Gemini V. Gemini Israel is the general partner of Gemini Partners and may be deemed to beneficially own the ordinary shares of the issuer held by Gemini Partners. Ezra and Sela are the managing partners of Gemini Associates GP and Gemini Israel, and each of Ezra and Sela may therefore be deemed to beneficially own the ordinary shares of the issuer held by Gemini V and Gemini Partners. Each of Gemini Associates GP, Gemini Associates LP, Germini Israel, Ezra and Sela hereby disclaims beneficial ownership of the ordinary shares of the issuer held by Gemini V and Gemini Partners except to the extent of its or his pecuniary interest therein. The Reporting Persons may be deed to a be a “group” for purposes of Section 13 of the Securities and Exchange Act of 1934 and hereby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83,754,006 of the Issuer’s ordinary shares outstanding as of December 31, 2021, as reported in the Issuer’s Annual Report on Form 20-F for the annual period ended December 31, 2021, filed with the Securities and Exchange Commission on March 24, 2022.</w:t>
      </w:r>
    </w:p>
    <w:p>
      <w:pPr>
        <w:sectPr>
          <w:pgSz w:w="11900" w:h="16838" w:orient="portrait"/>
          <w:cols w:equalWidth="0" w:num="1">
            <w:col w:w="11024"/>
          </w:cols>
          <w:pgMar w:left="436" w:top="270" w:right="439" w:bottom="1440" w:gutter="0" w:footer="0" w:header="0"/>
        </w:sectPr>
      </w:pPr>
    </w:p>
    <w:bookmarkStart w:id="3" w:name="page4"/>
    <w:bookmarkEnd w:id="3"/>
    <w:p>
      <w:pPr>
        <w:ind w:left="4"/>
        <w:spacing w:after="0"/>
        <w:tabs>
          <w:tab w:leader="none" w:pos="5544" w:val="left"/>
          <w:tab w:leader="none" w:pos="96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8"/>
          <w:szCs w:val="18"/>
          <w:color w:val="auto"/>
        </w:rPr>
        <w:t>Page 4 of 12 Pages</w:t>
      </w:r>
    </w:p>
    <w:p>
      <w:pPr>
        <w:spacing w:after="0" w:line="171" w:lineRule="exact"/>
        <w:rPr>
          <w:sz w:val="20"/>
          <w:szCs w:val="20"/>
          <w:color w:val="auto"/>
        </w:rPr>
      </w:pPr>
    </w:p>
    <w:p>
      <w:pPr>
        <w:ind w:left="624" w:right="7620" w:hanging="377"/>
        <w:spacing w:after="0" w:line="312" w:lineRule="auto"/>
        <w:tabs>
          <w:tab w:leader="none" w:pos="6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Gemini Capital Associates V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6926580" cy="5495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495290"/>
                    </a:xfrm>
                    <a:prstGeom prst="rect">
                      <a:avLst/>
                    </a:prstGeom>
                    <a:noFill/>
                  </pic:spPr>
                </pic:pic>
              </a:graphicData>
            </a:graphic>
          </wp:anchor>
        </w:drawing>
      </w:r>
    </w:p>
    <w:p>
      <w:pPr>
        <w:spacing w:after="0" w:line="14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00-0000000</w:t>
      </w:r>
    </w:p>
    <w:p>
      <w:pPr>
        <w:spacing w:after="0" w:line="18" w:lineRule="exact"/>
        <w:rPr>
          <w:sz w:val="20"/>
          <w:szCs w:val="20"/>
          <w:color w:val="auto"/>
        </w:rPr>
      </w:pPr>
    </w:p>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2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1"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7,652,748</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7,652,748</w:t>
      </w:r>
    </w:p>
    <w:p>
      <w:pPr>
        <w:spacing w:after="0" w:line="36" w:lineRule="exact"/>
        <w:rPr>
          <w:sz w:val="20"/>
          <w:szCs w:val="20"/>
          <w:color w:val="auto"/>
        </w:rPr>
      </w:pPr>
    </w:p>
    <w:p>
      <w:pPr>
        <w:ind w:left="604" w:hanging="357"/>
        <w:spacing w:after="0"/>
        <w:tabs>
          <w:tab w:leader="none" w:pos="6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7,652,748</w:t>
      </w:r>
    </w:p>
    <w:p>
      <w:pPr>
        <w:spacing w:after="0" w:line="36" w:lineRule="exact"/>
        <w:rPr>
          <w:sz w:val="20"/>
          <w:szCs w:val="20"/>
          <w:color w:val="auto"/>
        </w:rPr>
      </w:pPr>
    </w:p>
    <w:p>
      <w:pPr>
        <w:ind w:left="624" w:hanging="467"/>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9.1% (2)</w:t>
      </w:r>
    </w:p>
    <w:p>
      <w:pPr>
        <w:ind w:left="624" w:right="6080" w:hanging="467"/>
        <w:spacing w:after="0" w:line="547" w:lineRule="auto"/>
        <w:tabs>
          <w:tab w:leader="none" w:pos="62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1"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on behalf of Gemini Israel V Limited Partnership (“Gemini V”), Gemini Capital Associates V LP (“Gemini Associates LP”), Gemini Capital Associates V GP, Ltd. (“Gemini Associates GP”), Gemini Partners Investors V L.P. (“Gemini Partners”), Gemini Israel Funds IV Ltd. (“Gemini Israel”), Menashe Ezra (“Ezra”) and Yossi Sela (“Sela”) (collectively, the “Reporting Persons”). Gemini Associates GP is the general partner of Gemini Associates LP, which is the general partner of Gemini V, and each of Gemini Associates GP and Gemini Associates LP may be deemed to beneficially own the ordinary shares of the issuer held by Gemini V. Gemini Israel is the general partner of Gemini Partners and may be deemed to beneficially own the ordinary shares of the issuer held by Gemini Partners. Ezra and Sela are the managing partners of Gemini Associates GP and Gemini Israel, and each of Ezra and Sela may therefore be deemed to beneficially own the ordinary shares of the issuer held by Gemini V and Gemini Partners. Each of Gemini Associates GP, Gemini Associates LP, Germini Israel, Ezra and Sela hereby disclaims beneficial ownership of the ordinary shares of the issuer held by Gemini V and Gemini Partners except to the extent of its or his pecuniary interest therein. The Reporting Persons may be deed to a be a “group” for purposes of Section 13 of the Securities and Exchange Act of 1934 and hereby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83,754,006 of the Issuer’s ordinary shares outstanding as of December 31, 2021, as reported in the Issuer’s Annual Report on Form 20-F for the annual period ended December 31, 2021, filed with the Securities and Exchange Commission on March 24, 2022.</w:t>
      </w:r>
    </w:p>
    <w:p>
      <w:pPr>
        <w:sectPr>
          <w:pgSz w:w="11900" w:h="16838" w:orient="portrait"/>
          <w:cols w:equalWidth="0" w:num="1">
            <w:col w:w="11024"/>
          </w:cols>
          <w:pgMar w:left="436" w:top="270" w:right="439" w:bottom="1440" w:gutter="0" w:footer="0" w:header="0"/>
        </w:sectPr>
      </w:pPr>
    </w:p>
    <w:bookmarkStart w:id="4" w:name="page5"/>
    <w:bookmarkEnd w:id="4"/>
    <w:p>
      <w:pPr>
        <w:ind w:left="4"/>
        <w:spacing w:after="0"/>
        <w:tabs>
          <w:tab w:leader="none" w:pos="5544" w:val="left"/>
          <w:tab w:leader="none" w:pos="96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8"/>
          <w:szCs w:val="18"/>
          <w:color w:val="auto"/>
        </w:rPr>
        <w:t>Page 5 of 12 Pages</w:t>
      </w:r>
    </w:p>
    <w:p>
      <w:pPr>
        <w:spacing w:after="0" w:line="171" w:lineRule="exact"/>
        <w:rPr>
          <w:sz w:val="20"/>
          <w:szCs w:val="20"/>
          <w:color w:val="auto"/>
        </w:rPr>
      </w:pPr>
    </w:p>
    <w:p>
      <w:pPr>
        <w:ind w:left="624" w:right="7620" w:hanging="377"/>
        <w:spacing w:after="0" w:line="312" w:lineRule="auto"/>
        <w:tabs>
          <w:tab w:leader="none" w:pos="62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Gemini Partners Investors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6926580" cy="5494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spacing w:after="0" w:line="14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20-4456892</w:t>
      </w:r>
    </w:p>
    <w:p>
      <w:pPr>
        <w:spacing w:after="0" w:line="18" w:lineRule="exact"/>
        <w:rPr>
          <w:sz w:val="20"/>
          <w:szCs w:val="20"/>
          <w:color w:val="auto"/>
        </w:rPr>
      </w:pPr>
    </w:p>
    <w:p>
      <w:pPr>
        <w:ind w:left="624" w:hanging="377"/>
        <w:spacing w:after="0"/>
        <w:tabs>
          <w:tab w:leader="none" w:pos="6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2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1" w:lineRule="exact"/>
        <w:rPr>
          <w:sz w:val="20"/>
          <w:szCs w:val="20"/>
          <w:color w:val="auto"/>
        </w:rPr>
      </w:pP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77,300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77,300</w:t>
      </w:r>
    </w:p>
    <w:p>
      <w:pPr>
        <w:spacing w:after="0" w:line="36" w:lineRule="exact"/>
        <w:rPr>
          <w:sz w:val="20"/>
          <w:szCs w:val="20"/>
          <w:color w:val="auto"/>
        </w:rPr>
      </w:pPr>
    </w:p>
    <w:p>
      <w:pPr>
        <w:ind w:left="604" w:hanging="357"/>
        <w:spacing w:after="0"/>
        <w:tabs>
          <w:tab w:leader="none" w:pos="6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77,300</w:t>
      </w:r>
    </w:p>
    <w:p>
      <w:pPr>
        <w:spacing w:after="0" w:line="36" w:lineRule="exact"/>
        <w:rPr>
          <w:sz w:val="20"/>
          <w:szCs w:val="20"/>
          <w:color w:val="auto"/>
        </w:rPr>
      </w:pPr>
    </w:p>
    <w:p>
      <w:pPr>
        <w:ind w:left="624" w:hanging="467"/>
        <w:spacing w:after="0"/>
        <w:tabs>
          <w:tab w:leader="none" w:pos="6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0.1% (2)</w:t>
      </w:r>
    </w:p>
    <w:p>
      <w:pPr>
        <w:ind w:left="624" w:right="6080" w:hanging="467"/>
        <w:spacing w:after="0" w:line="547" w:lineRule="auto"/>
        <w:tabs>
          <w:tab w:leader="none" w:pos="6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1"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on behalf of Gemini Israel V Limited Partnership (“Gemini V”), Gemini Capital Associates V LP (“Gemini Associates LP”), Gemini Capital Associates V GP, Ltd. (“Gemini Associates GP”), Gemini Partners Investors V L.P. (“Gemini Partners”), Gemini Israel Funds IV Ltd. (“Gemini Israel”), Menashe Ezra (“Ezra”) and Yossi Sela (“Sela”) (collectively, the “Reporting Persons”). Gemini Associates GP is the general partner of Gemini Associates LP, which is the general partner of Gemini V, and each of Gemini Associates GP and Gemini Associates LP may be deemed to beneficially own the ordinary shares of the issuer held by Gemini V. Gemini Israel is the general partner of Gemini Partners and may be deemed to beneficially own the ordinary shares of the issuer held by Gemini Partners. Ezra and Sela are the managing partners of Gemini Associates GP and Gemini Israel, and each of Ezra and Sela may therefore be deemed to beneficially own the ordinary shares of the issuer held by Gemini V and Gemini Partners. Each of Gemini Associates GP, Gemini Associates LP, Germini Israel, Ezra and Sela hereby disclaims beneficial ownership of the ordinary shares of the issuer held by Gemini V and Gemini Partners except to the extent of its or his pecuniary interest therein. The Reporting Persons may be deed to a be a “group” for purposes of Section 13 of the Securities and Exchange Act of 1934 and hereby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83,754,006 of the Issuer’s ordinary shares outstanding as of December 31, 2021, as reported in the Issuer’s Annual Report on Form 20-F for the annual period ended December 31, 2021, filed with the Securities and Exchange Commission on March 24, 2022.</w:t>
      </w:r>
    </w:p>
    <w:p>
      <w:pPr>
        <w:sectPr>
          <w:pgSz w:w="11900" w:h="16838" w:orient="portrait"/>
          <w:cols w:equalWidth="0" w:num="1">
            <w:col w:w="11024"/>
          </w:cols>
          <w:pgMar w:left="436" w:top="270" w:right="439" w:bottom="1440" w:gutter="0" w:footer="0" w:header="0"/>
        </w:sectPr>
      </w:pPr>
    </w:p>
    <w:bookmarkStart w:id="5" w:name="page6"/>
    <w:bookmarkEnd w:id="5"/>
    <w:p>
      <w:pPr>
        <w:ind w:left="4"/>
        <w:spacing w:after="0"/>
        <w:tabs>
          <w:tab w:leader="none" w:pos="5544" w:val="left"/>
          <w:tab w:leader="none" w:pos="96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8"/>
          <w:szCs w:val="18"/>
          <w:color w:val="auto"/>
        </w:rPr>
        <w:t>Page 6 of 12 Pages</w:t>
      </w:r>
    </w:p>
    <w:p>
      <w:pPr>
        <w:spacing w:after="0" w:line="171" w:lineRule="exact"/>
        <w:rPr>
          <w:sz w:val="20"/>
          <w:szCs w:val="20"/>
          <w:color w:val="auto"/>
        </w:rPr>
      </w:pPr>
    </w:p>
    <w:p>
      <w:pPr>
        <w:ind w:left="624" w:right="7620" w:hanging="377"/>
        <w:spacing w:after="0" w:line="312" w:lineRule="auto"/>
        <w:tabs>
          <w:tab w:leader="none" w:pos="62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Gemini Israel Funds IV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6926580" cy="5495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495290"/>
                    </a:xfrm>
                    <a:prstGeom prst="rect">
                      <a:avLst/>
                    </a:prstGeom>
                    <a:noFill/>
                  </pic:spPr>
                </pic:pic>
              </a:graphicData>
            </a:graphic>
          </wp:anchor>
        </w:drawing>
      </w:r>
    </w:p>
    <w:p>
      <w:pPr>
        <w:spacing w:after="0" w:line="14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00-0000000</w:t>
      </w:r>
    </w:p>
    <w:p>
      <w:pPr>
        <w:spacing w:after="0" w:line="18" w:lineRule="exact"/>
        <w:rPr>
          <w:sz w:val="20"/>
          <w:szCs w:val="20"/>
          <w:color w:val="auto"/>
        </w:rPr>
      </w:pPr>
    </w:p>
    <w:p>
      <w:pPr>
        <w:ind w:left="624" w:hanging="377"/>
        <w:spacing w:after="0"/>
        <w:tabs>
          <w:tab w:leader="none" w:pos="6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2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1" w:lineRule="exact"/>
        <w:rPr>
          <w:sz w:val="20"/>
          <w:szCs w:val="20"/>
          <w:color w:val="auto"/>
        </w:rPr>
      </w:pPr>
    </w:p>
    <w:p>
      <w:pPr>
        <w:ind w:left="624" w:hanging="377"/>
        <w:spacing w:after="0"/>
        <w:tabs>
          <w:tab w:leader="none" w:pos="6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77,300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77,300</w:t>
      </w:r>
    </w:p>
    <w:p>
      <w:pPr>
        <w:spacing w:after="0" w:line="36" w:lineRule="exact"/>
        <w:rPr>
          <w:sz w:val="20"/>
          <w:szCs w:val="20"/>
          <w:color w:val="auto"/>
        </w:rPr>
      </w:pPr>
    </w:p>
    <w:p>
      <w:pPr>
        <w:ind w:left="604" w:hanging="357"/>
        <w:spacing w:after="0"/>
        <w:tabs>
          <w:tab w:leader="none" w:pos="6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77,300</w:t>
      </w:r>
    </w:p>
    <w:p>
      <w:pPr>
        <w:spacing w:after="0" w:line="36" w:lineRule="exact"/>
        <w:rPr>
          <w:sz w:val="20"/>
          <w:szCs w:val="20"/>
          <w:color w:val="auto"/>
        </w:rPr>
      </w:pPr>
    </w:p>
    <w:p>
      <w:pPr>
        <w:ind w:left="624" w:hanging="467"/>
        <w:spacing w:after="0"/>
        <w:tabs>
          <w:tab w:leader="none" w:pos="6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0.1% (2)</w:t>
      </w:r>
    </w:p>
    <w:p>
      <w:pPr>
        <w:ind w:left="624" w:right="6080" w:hanging="467"/>
        <w:spacing w:after="0" w:line="547" w:lineRule="auto"/>
        <w:tabs>
          <w:tab w:leader="none" w:pos="62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1"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on behalf of Gemini Israel V Limited Partnership (“Gemini V”), Gemini Capital Associates V LP (“Gemini Associates LP”), Gemini Capital Associates V GP, Ltd. (“Gemini Associates GP”), Gemini Partners Investors V L.P. (“Gemini Partners”), Gemini Israel Funds IV Ltd. (“Gemini Israel”), Menashe Ezra (“Ezra”) and Yossi Sela (“Sela”) (collectively, the “Reporting Persons”). Gemini Associates GP is the general partner of Gemini Associates LP, which is the general partner of Gemini V, and each of Gemini Associates GP and Gemini Associates LP may be deemed to beneficially own the ordinary shares of the issuer held by Gemini V. Gemini Israel is the general partner of Gemini Partners and may be deemed to beneficially own the ordinary shares of the issuer held by Gemini Partners. Ezra and Sela are the managing partners of Gemini Associates GP and Gemini Israel, and each of Ezra and Sela may therefore be deemed to beneficially own the ordinary shares of the issuer held by Gemini V and Gemini Partners. Each of Gemini Associates GP, Gemini Associates LP, Germini Israel, Ezra and Sela hereby disclaims beneficial ownership of the ordinary shares of the issuer held by Gemini V and Gemini Partners except to the extent of its or his pecuniary interest therein. The Reporting Persons may be deed to a be a “group” for purposes of Section 13 of the Securities and Exchange Act of 1934 and hereby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83,754,006 of the Issuer’s ordinary shares outstanding as of December 31, 2021, as reported in the Issuer’s Annual Report on Form 20-F for the annual period ended December 31, 2021, filed with the Securities and Exchange Commission on March 24, 2022.</w:t>
      </w:r>
    </w:p>
    <w:p>
      <w:pPr>
        <w:sectPr>
          <w:pgSz w:w="11900" w:h="16838" w:orient="portrait"/>
          <w:cols w:equalWidth="0" w:num="1">
            <w:col w:w="11024"/>
          </w:cols>
          <w:pgMar w:left="436" w:top="270" w:right="439" w:bottom="1440" w:gutter="0" w:footer="0" w:header="0"/>
        </w:sectPr>
      </w:pPr>
    </w:p>
    <w:bookmarkStart w:id="6" w:name="page7"/>
    <w:bookmarkEnd w:id="6"/>
    <w:p>
      <w:pPr>
        <w:ind w:left="4"/>
        <w:spacing w:after="0"/>
        <w:tabs>
          <w:tab w:leader="none" w:pos="5544" w:val="left"/>
          <w:tab w:leader="none" w:pos="96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8"/>
          <w:szCs w:val="18"/>
          <w:color w:val="auto"/>
        </w:rPr>
        <w:t>Page 7 of 12 Pages</w:t>
      </w:r>
    </w:p>
    <w:p>
      <w:pPr>
        <w:spacing w:after="0" w:line="171" w:lineRule="exact"/>
        <w:rPr>
          <w:sz w:val="20"/>
          <w:szCs w:val="20"/>
          <w:color w:val="auto"/>
        </w:rPr>
      </w:pPr>
    </w:p>
    <w:p>
      <w:pPr>
        <w:ind w:left="624" w:right="7620" w:hanging="377"/>
        <w:spacing w:after="0" w:line="282" w:lineRule="auto"/>
        <w:tabs>
          <w:tab w:leader="none" w:pos="6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Menashe Ezra</w:t>
      </w:r>
    </w:p>
    <w:p>
      <w:pPr>
        <w:spacing w:after="0" w:line="188"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-556260</wp:posOffset>
            </wp:positionV>
            <wp:extent cx="6926580" cy="5511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511800"/>
                    </a:xfrm>
                    <a:prstGeom prst="rect">
                      <a:avLst/>
                    </a:prstGeom>
                    <a:noFill/>
                  </pic:spPr>
                </pic:pic>
              </a:graphicData>
            </a:graphic>
          </wp:anchor>
        </w:drawing>
      </w:r>
    </w:p>
    <w:p>
      <w:pPr>
        <w:spacing w:after="0" w:line="259" w:lineRule="exact"/>
        <w:rPr>
          <w:sz w:val="20"/>
          <w:szCs w:val="20"/>
          <w:color w:val="auto"/>
        </w:rPr>
      </w:pPr>
    </w:p>
    <w:p>
      <w:pPr>
        <w:ind w:left="624" w:hanging="377"/>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2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1" w:lineRule="exact"/>
        <w:rPr>
          <w:sz w:val="20"/>
          <w:szCs w:val="20"/>
          <w:color w:val="auto"/>
        </w:rPr>
      </w:pPr>
    </w:p>
    <w:p>
      <w:pPr>
        <w:ind w:left="624" w:hanging="377"/>
        <w:spacing w:after="0"/>
        <w:tabs>
          <w:tab w:leader="none" w:pos="6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7,730,048</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7,730,048</w:t>
      </w:r>
    </w:p>
    <w:p>
      <w:pPr>
        <w:spacing w:after="0" w:line="36" w:lineRule="exact"/>
        <w:rPr>
          <w:sz w:val="20"/>
          <w:szCs w:val="20"/>
          <w:color w:val="auto"/>
        </w:rPr>
      </w:pPr>
    </w:p>
    <w:p>
      <w:pPr>
        <w:ind w:left="604" w:hanging="357"/>
        <w:spacing w:after="0"/>
        <w:tabs>
          <w:tab w:leader="none" w:pos="6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7,730,048</w:t>
      </w:r>
    </w:p>
    <w:p>
      <w:pPr>
        <w:spacing w:after="0" w:line="36" w:lineRule="exact"/>
        <w:rPr>
          <w:sz w:val="20"/>
          <w:szCs w:val="20"/>
          <w:color w:val="auto"/>
        </w:rPr>
      </w:pPr>
    </w:p>
    <w:p>
      <w:pPr>
        <w:ind w:left="624" w:hanging="467"/>
        <w:spacing w:after="0"/>
        <w:tabs>
          <w:tab w:leader="none" w:pos="6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9.2% (2)</w:t>
      </w:r>
    </w:p>
    <w:p>
      <w:pPr>
        <w:ind w:left="624" w:right="6080" w:hanging="467"/>
        <w:spacing w:after="0" w:line="547" w:lineRule="auto"/>
        <w:tabs>
          <w:tab w:leader="none" w:pos="62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pacing w:after="0" w:line="1"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on behalf of Gemini Israel V Limited Partnership (“Gemini V”), Gemini Capital Associates V LP (“Gemini Associates LP”), Gemini Capital Associates V GP, Ltd. (“Gemini Associates GP”), Gemini Partners Investors V L.P. (“Gemini Partners”), Gemini Israel Funds IV Ltd. (“Gemini Israel”), Menashe Ezra (“Ezra”) and Yossi Sela (“Sela”) (collectively, the “Reporting Persons”). Gemini Associates GP is the general partner of Gemini Associates LP, which is the general partner of Gemini V, and each of Gemini Associates GP and Gemini Associates LP may be deemed to beneficially own the ordinary shares of the issuer held by Gemini V. Gemini Israel is the general partner of Gemini Partners and may be deemed to beneficially own the ordinary shares of the issuer held by Gemini Partners. Ezra and Sela are the managing partners of Gemini Associates GP and Gemini Israel, and each of Ezra and Sela may therefore be deemed to beneficially own the ordinary shares of the issuer held by Gemini V and Gemini Partners. Each of Gemini Associates GP, Gemini Associates LP, Germini Israel, Ezra and Sela hereby disclaims beneficial ownership of the ordinary shares of the issuer held by Gemini V and Gemini Partners except to the extent of its or his pecuniary interest therein. The Reporting Persons may be deed to a be a “group” for purposes of Section 13 of the Securities and Exchange Act of 1934 and hereby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83,754,006 of the Issuer’s ordinary shares outstanding as of December 31, 2021, as reported in the Issuer’s Annual Report on Form 20-F for the annual period ended December 31, 2021, filed with the Securities and Exchange Commission on March 24, 2022.</w:t>
      </w:r>
    </w:p>
    <w:p>
      <w:pPr>
        <w:sectPr>
          <w:pgSz w:w="11900" w:h="16838" w:orient="portrait"/>
          <w:cols w:equalWidth="0" w:num="1">
            <w:col w:w="11024"/>
          </w:cols>
          <w:pgMar w:left="436" w:top="270" w:right="439" w:bottom="1440" w:gutter="0" w:footer="0" w:header="0"/>
        </w:sectPr>
      </w:pPr>
    </w:p>
    <w:bookmarkStart w:id="7" w:name="page8"/>
    <w:bookmarkEnd w:id="7"/>
    <w:p>
      <w:pPr>
        <w:ind w:left="4"/>
        <w:spacing w:after="0"/>
        <w:tabs>
          <w:tab w:leader="none" w:pos="5544" w:val="left"/>
          <w:tab w:leader="none" w:pos="96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8"/>
          <w:szCs w:val="18"/>
          <w:color w:val="auto"/>
        </w:rPr>
        <w:t>Page 8 of 12 Pages</w:t>
      </w:r>
    </w:p>
    <w:p>
      <w:pPr>
        <w:spacing w:after="0" w:line="171" w:lineRule="exact"/>
        <w:rPr>
          <w:sz w:val="20"/>
          <w:szCs w:val="20"/>
          <w:color w:val="auto"/>
        </w:rPr>
      </w:pPr>
    </w:p>
    <w:p>
      <w:pPr>
        <w:ind w:left="604" w:right="7620" w:hanging="357"/>
        <w:spacing w:after="0" w:line="282" w:lineRule="auto"/>
        <w:tabs>
          <w:tab w:leader="none" w:pos="6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Yossi Sela</w:t>
      </w:r>
    </w:p>
    <w:p>
      <w:pPr>
        <w:spacing w:after="0" w:line="188"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-556260</wp:posOffset>
            </wp:positionV>
            <wp:extent cx="6926580" cy="5512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512435"/>
                    </a:xfrm>
                    <a:prstGeom prst="rect">
                      <a:avLst/>
                    </a:prstGeom>
                    <a:noFill/>
                  </pic:spPr>
                </pic:pic>
              </a:graphicData>
            </a:graphic>
          </wp:anchor>
        </w:drawing>
      </w:r>
    </w:p>
    <w:p>
      <w:pPr>
        <w:spacing w:after="0" w:line="259" w:lineRule="exact"/>
        <w:rPr>
          <w:sz w:val="20"/>
          <w:szCs w:val="20"/>
          <w:color w:val="auto"/>
        </w:rPr>
      </w:pPr>
    </w:p>
    <w:p>
      <w:pPr>
        <w:ind w:left="624" w:hanging="377"/>
        <w:spacing w:after="0"/>
        <w:tabs>
          <w:tab w:leader="none" w:pos="6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62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1" w:lineRule="exact"/>
        <w:rPr>
          <w:sz w:val="20"/>
          <w:szCs w:val="20"/>
          <w:color w:val="auto"/>
        </w:rPr>
      </w:pPr>
    </w:p>
    <w:p>
      <w:pPr>
        <w:ind w:left="624" w:hanging="377"/>
        <w:spacing w:after="0"/>
        <w:tabs>
          <w:tab w:leader="none" w:pos="6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w:t>
      </w:r>
    </w:p>
    <w:p>
      <w:pPr>
        <w:spacing w:after="0" w:line="36" w:lineRule="exact"/>
        <w:rPr>
          <w:rFonts w:ascii="Times New Roman" w:cs="Times New Roman" w:eastAsia="Times New Roman" w:hAnsi="Times New Roman"/>
          <w:sz w:val="18"/>
          <w:szCs w:val="18"/>
          <w:color w:val="auto"/>
        </w:rPr>
      </w:pPr>
    </w:p>
    <w:p>
      <w:pPr>
        <w:ind w:left="1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7,730,048</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7,730,048</w:t>
      </w:r>
    </w:p>
    <w:p>
      <w:pPr>
        <w:spacing w:after="0" w:line="36" w:lineRule="exact"/>
        <w:rPr>
          <w:sz w:val="20"/>
          <w:szCs w:val="20"/>
          <w:color w:val="auto"/>
        </w:rPr>
      </w:pPr>
    </w:p>
    <w:p>
      <w:pPr>
        <w:ind w:left="604" w:hanging="357"/>
        <w:spacing w:after="0"/>
        <w:tabs>
          <w:tab w:leader="none" w:pos="6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7,730,048</w:t>
      </w:r>
    </w:p>
    <w:p>
      <w:pPr>
        <w:spacing w:after="0" w:line="36" w:lineRule="exact"/>
        <w:rPr>
          <w:sz w:val="20"/>
          <w:szCs w:val="20"/>
          <w:color w:val="auto"/>
        </w:rPr>
      </w:pPr>
    </w:p>
    <w:p>
      <w:pPr>
        <w:ind w:left="624" w:hanging="467"/>
        <w:spacing w:after="0"/>
        <w:tabs>
          <w:tab w:leader="none" w:pos="6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460" w:hanging="467"/>
        <w:spacing w:after="0" w:line="400" w:lineRule="auto"/>
        <w:tabs>
          <w:tab w:leader="none" w:pos="6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9.2% (3)</w:t>
      </w:r>
    </w:p>
    <w:p>
      <w:pPr>
        <w:ind w:left="624" w:right="6080" w:hanging="467"/>
        <w:spacing w:after="0" w:line="547" w:lineRule="auto"/>
        <w:tabs>
          <w:tab w:leader="none" w:pos="62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pacing w:after="0" w:line="1"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on behalf of Gemini Israel V Limited Partnership (“Gemini V”), Gemini Capital Associates V LP (“Gemini Associates LP”), Gemini Capital Associates V GP, Ltd. (“Gemini Associates GP”), Gemini Partners Investors V L.P. (“Gemini Partners”), Gemini Israel Funds IV Ltd. (“Gemini Israel”), Menashe Ezra (“Ezra”) and Yossi Sela (“Sela”) (collectively, the “Reporting Persons”). Gemini Associates GP is the general partner of Gemini Associates LP, which is the general partner of Gemini V, and each of Gemini Associates GP and Gemini Associates LP may be deemed to beneficially own the ordinary shares of the issuer held by Gemini V. Gemini Israel is the general partner of Gemini Partners and may be deemed to beneficially own the ordinary shares of the issuer held by Gemini Partners. Ezra and Sela are the managing partners of Gemini Associates GP and Gemini Israel, and each of Ezra and Sela may therefore be deemed to beneficially own the ordinary shares of the issuer held by Gemini V and Gemini Partners. Each of Gemini Associates GP, Gemini Associates LP, Germini Israel, Ezra and Sela hereby disclaims beneficial ownership of the ordinary shares of the issuer held by Gemini V and Gemini Partners except to the extent of its or his pecuniary interest therein. The Reporting Persons may be deed to a be a “group” for purposes of Section 13 of the Securities and Exchange Act of 1934 and hereby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83,754,006 of the Issuer’s ordinary shares outstanding as of December 31, 2021, as reported in the Issuer’s Annual Report on Form 20-F for the annual period ended December 31, 2021, filed with the Securities and Exchange Commission on March 24, 2022.</w:t>
      </w:r>
    </w:p>
    <w:p>
      <w:pPr>
        <w:sectPr>
          <w:pgSz w:w="11900" w:h="16838" w:orient="portrait"/>
          <w:cols w:equalWidth="0" w:num="1">
            <w:col w:w="11024"/>
          </w:cols>
          <w:pgMar w:left="436"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CUSIP NO. M97628107</w:t>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-213360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9 of 12 Pages</w:t>
      </w:r>
    </w:p>
    <w:p>
      <w:pPr>
        <w:spacing w:after="0" w:line="154" w:lineRule="exact"/>
        <w:rPr>
          <w:sz w:val="20"/>
          <w:szCs w:val="20"/>
          <w:color w:val="auto"/>
        </w:rPr>
      </w:pPr>
    </w:p>
    <w:p>
      <w:pPr>
        <w:sectPr>
          <w:pgSz w:w="11900" w:h="16838" w:orient="portrait"/>
          <w:cols w:equalWidth="0" w:num="3">
            <w:col w:w="4840" w:space="720"/>
            <w:col w:w="3360" w:space="720"/>
            <w:col w:w="1380"/>
          </w:cols>
          <w:pgMar w:left="440" w:top="270"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133" w:lineRule="exact"/>
        <w:rPr>
          <w:sz w:val="20"/>
          <w:szCs w:val="20"/>
          <w:color w:val="auto"/>
        </w:rPr>
      </w:pPr>
    </w:p>
    <w:p>
      <w:pPr>
        <w:sectPr>
          <w:pgSz w:w="11900" w:h="16838" w:orient="portrait"/>
          <w:cols w:equalWidth="0" w:num="2">
            <w:col w:w="700" w:space="62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WalkMe Ltd.</w:t>
      </w:r>
    </w:p>
    <w:p>
      <w:pPr>
        <w:sectPr>
          <w:pgSz w:w="11900" w:h="16838" w:orient="portrait"/>
          <w:cols w:equalWidth="0" w:num="1">
            <w:col w:w="11020"/>
          </w:cols>
          <w:pgMar w:left="440" w:top="270"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of Issuer’s principal executive offices:</w:t>
      </w:r>
    </w:p>
    <w:p>
      <w:pPr>
        <w:spacing w:after="0" w:line="132" w:lineRule="exact"/>
        <w:rPr>
          <w:sz w:val="20"/>
          <w:szCs w:val="20"/>
          <w:color w:val="auto"/>
        </w:rPr>
      </w:pPr>
    </w:p>
    <w:p>
      <w:pPr>
        <w:sectPr>
          <w:pgSz w:w="11900" w:h="16838" w:orient="portrait"/>
          <w:cols w:equalWidth="0" w:num="2">
            <w:col w:w="720" w:space="60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1 Walter Moses Street</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Tel Aviv, 6789903, Israel</w:t>
      </w:r>
    </w:p>
    <w:p>
      <w:pPr>
        <w:sectPr>
          <w:pgSz w:w="11900" w:h="16838" w:orient="portrait"/>
          <w:cols w:equalWidth="0" w:num="1">
            <w:col w:w="11020"/>
          </w:cols>
          <w:pgMar w:left="440" w:top="270" w:right="439" w:bottom="1440" w:gutter="0" w:footer="0" w:header="0"/>
          <w:type w:val="continuous"/>
        </w:sect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2(a)</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Reporting Persons filing:</w:t>
      </w:r>
    </w:p>
    <w:p>
      <w:pPr>
        <w:spacing w:after="0" w:line="132" w:lineRule="exact"/>
        <w:rPr>
          <w:sz w:val="20"/>
          <w:szCs w:val="20"/>
          <w:color w:val="auto"/>
        </w:rPr>
      </w:pPr>
    </w:p>
    <w:p>
      <w:pPr>
        <w:sectPr>
          <w:pgSz w:w="11900" w:h="16838" w:orient="portrait"/>
          <w:cols w:equalWidth="0" w:num="2">
            <w:col w:w="780" w:space="54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Each of the following is a reporting person (“Reporting Person”):</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Israel V Limited Partnership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Capital Associates V L.P.</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Capital Associates V GP Ltd.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Partners Investors V L.P.</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Israel Funds IV Ltd.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Menashe Ezra</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Yossi Sela</w:t>
      </w:r>
    </w:p>
    <w:p>
      <w:pPr>
        <w:sectPr>
          <w:pgSz w:w="11900" w:h="16838" w:orient="portrait"/>
          <w:cols w:equalWidth="0" w:num="1">
            <w:col w:w="11020"/>
          </w:cols>
          <w:pgMar w:left="440" w:top="270" w:right="439" w:bottom="144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or principal business office or, if none, residence:</w:t>
      </w:r>
    </w:p>
    <w:p>
      <w:pPr>
        <w:spacing w:after="0" w:line="132" w:lineRule="exact"/>
        <w:rPr>
          <w:sz w:val="20"/>
          <w:szCs w:val="20"/>
          <w:color w:val="auto"/>
        </w:rPr>
      </w:pPr>
    </w:p>
    <w:p>
      <w:pPr>
        <w:sectPr>
          <w:pgSz w:w="11900" w:h="16838" w:orient="portrait"/>
          <w:cols w:equalWidth="0" w:num="2">
            <w:col w:w="720" w:space="60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The principal business address of each Reporting Person is: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 Gemini Israel Ventures</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 Abba Eban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Merkazim 2001, Bldg A, 3rd Floor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Herzliya Israel</w:t>
      </w:r>
    </w:p>
    <w:p>
      <w:pPr>
        <w:sectPr>
          <w:pgSz w:w="11900" w:h="16838" w:orient="portrait"/>
          <w:cols w:equalWidth="0" w:num="1">
            <w:col w:w="11020"/>
          </w:cols>
          <w:pgMar w:left="440" w:top="270" w:right="439" w:bottom="144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Citizenship:</w:t>
      </w:r>
    </w:p>
    <w:p>
      <w:pPr>
        <w:spacing w:after="0" w:line="132" w:lineRule="exact"/>
        <w:rPr>
          <w:sz w:val="20"/>
          <w:szCs w:val="20"/>
          <w:color w:val="auto"/>
        </w:rPr>
      </w:pPr>
    </w:p>
    <w:p>
      <w:pPr>
        <w:sectPr>
          <w:pgSz w:w="11900" w:h="16838" w:orient="portrait"/>
          <w:cols w:equalWidth="0" w:num="2">
            <w:col w:w="700" w:space="620"/>
            <w:col w:w="9700"/>
          </w:cols>
          <w:pgMar w:left="440" w:top="270" w:right="439" w:bottom="1440" w:gutter="0" w:footer="0" w:header="0"/>
          <w:type w:val="continuous"/>
        </w:sectPr>
      </w:pPr>
    </w:p>
    <w:p>
      <w:pPr>
        <w:ind w:left="1320" w:right="640"/>
        <w:spacing w:after="0" w:line="282" w:lineRule="auto"/>
        <w:rPr>
          <w:sz w:val="20"/>
          <w:szCs w:val="20"/>
          <w:color w:val="auto"/>
        </w:rPr>
      </w:pPr>
      <w:r>
        <w:rPr>
          <w:rFonts w:ascii="Times New Roman" w:cs="Times New Roman" w:eastAsia="Times New Roman" w:hAnsi="Times New Roman"/>
          <w:sz w:val="18"/>
          <w:szCs w:val="18"/>
          <w:color w:val="auto"/>
        </w:rPr>
        <w:t>Reference is made to the response to item 4 on each of pages 2-8 of this Schedule 13G (this “Schedule”), which responses are incorporated herein by reference.</w:t>
      </w:r>
    </w:p>
    <w:p>
      <w:pPr>
        <w:sectPr>
          <w:pgSz w:w="11900" w:h="16838" w:orient="portrait"/>
          <w:cols w:equalWidth="0" w:num="1">
            <w:col w:w="11020"/>
          </w:cols>
          <w:pgMar w:left="440" w:top="270" w:right="43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132" w:lineRule="exact"/>
        <w:rPr>
          <w:sz w:val="20"/>
          <w:szCs w:val="20"/>
          <w:color w:val="auto"/>
        </w:rPr>
      </w:pPr>
    </w:p>
    <w:p>
      <w:pPr>
        <w:sectPr>
          <w:pgSz w:w="11900" w:h="16838" w:orient="portrait"/>
          <w:cols w:equalWidth="0" w:num="2">
            <w:col w:w="720" w:space="60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Ordinary Shares</w:t>
      </w:r>
    </w:p>
    <w:p>
      <w:pPr>
        <w:sectPr>
          <w:pgSz w:w="11900" w:h="16838" w:orient="portrait"/>
          <w:cols w:equalWidth="0" w:num="1">
            <w:col w:w="11020"/>
          </w:cols>
          <w:pgMar w:left="440" w:top="270" w:right="43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No.:</w:t>
      </w:r>
    </w:p>
    <w:p>
      <w:pPr>
        <w:spacing w:after="0" w:line="132" w:lineRule="exact"/>
        <w:rPr>
          <w:sz w:val="20"/>
          <w:szCs w:val="20"/>
          <w:color w:val="auto"/>
        </w:rPr>
      </w:pPr>
    </w:p>
    <w:p>
      <w:pPr>
        <w:sectPr>
          <w:pgSz w:w="11900" w:h="16838" w:orient="portrait"/>
          <w:cols w:equalWidth="0" w:num="2">
            <w:col w:w="700" w:space="62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M97628107</w:t>
      </w:r>
    </w:p>
    <w:p>
      <w:pPr>
        <w:sectPr>
          <w:pgSz w:w="11900" w:h="16838" w:orient="portrait"/>
          <w:cols w:equalWidth="0" w:num="1">
            <w:col w:w="11020"/>
          </w:cols>
          <w:pgMar w:left="440" w:top="270"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this statement is filed pursuant to §§ 240.13d-1(b), or 240.13d-2(b) or (c), check whether the person filings is a:</w:t>
      </w:r>
    </w:p>
    <w:p>
      <w:pPr>
        <w:spacing w:after="0" w:line="132" w:lineRule="exact"/>
        <w:rPr>
          <w:sz w:val="20"/>
          <w:szCs w:val="20"/>
          <w:color w:val="auto"/>
        </w:rPr>
      </w:pPr>
    </w:p>
    <w:p>
      <w:pPr>
        <w:sectPr>
          <w:pgSz w:w="11900" w:h="16838" w:orient="portrait"/>
          <w:cols w:equalWidth="0" w:num="2">
            <w:col w:w="600" w:space="72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w:t>
      </w:r>
    </w:p>
    <w:p>
      <w:pPr>
        <w:spacing w:after="0" w:line="132" w:lineRule="exact"/>
        <w:rPr>
          <w:sz w:val="20"/>
          <w:szCs w:val="20"/>
          <w:color w:val="auto"/>
        </w:rPr>
      </w:pPr>
    </w:p>
    <w:p>
      <w:pPr>
        <w:sectPr>
          <w:pgSz w:w="11900" w:h="16838" w:orient="portrait"/>
          <w:cols w:equalWidth="0" w:num="2">
            <w:col w:w="600" w:space="720"/>
            <w:col w:w="9700"/>
          </w:cols>
          <w:pgMar w:left="440" w:top="270" w:right="439" w:bottom="1440" w:gutter="0" w:footer="0" w:header="0"/>
          <w:type w:val="continuous"/>
        </w:sectPr>
      </w:pPr>
    </w:p>
    <w:p>
      <w:pPr>
        <w:ind w:left="1320" w:right="2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responses to items 5-9 and 11 of pages 2—8 of this Schedule, which responses are incorporated by reference herein.</w:t>
      </w:r>
    </w:p>
    <w:p>
      <w:pPr>
        <w:sectPr>
          <w:pgSz w:w="11900" w:h="16838" w:orient="portrait"/>
          <w:cols w:equalWidth="0" w:num="1">
            <w:col w:w="11020"/>
          </w:cols>
          <w:pgMar w:left="440" w:top="270" w:right="439" w:bottom="1440" w:gutter="0" w:footer="0" w:header="0"/>
          <w:type w:val="continuous"/>
        </w:sectPr>
      </w:pPr>
    </w:p>
    <w:bookmarkStart w:id="9" w:name="page10"/>
    <w:bookmarkEnd w:id="9"/>
    <w:p>
      <w:pPr>
        <w:spacing w:after="0"/>
        <w:tabs>
          <w:tab w:leader="none" w:pos="554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r>
        <w:rPr>
          <w:sz w:val="20"/>
          <w:szCs w:val="20"/>
          <w:color w:val="auto"/>
        </w:rPr>
        <w:tab/>
      </w:r>
      <w:r>
        <w:rPr>
          <w:rFonts w:ascii="Times New Roman" w:cs="Times New Roman" w:eastAsia="Times New Roman" w:hAnsi="Times New Roman"/>
          <w:sz w:val="18"/>
          <w:szCs w:val="18"/>
          <w:color w:val="auto"/>
        </w:rPr>
        <w:t>13 G</w:t>
      </w:r>
      <w:r>
        <w:rPr>
          <w:sz w:val="20"/>
          <w:szCs w:val="20"/>
          <w:color w:val="auto"/>
        </w:rPr>
        <w:tab/>
      </w:r>
      <w:r>
        <w:rPr>
          <w:rFonts w:ascii="Times New Roman" w:cs="Times New Roman" w:eastAsia="Times New Roman" w:hAnsi="Times New Roman"/>
          <w:sz w:val="17"/>
          <w:szCs w:val="17"/>
          <w:color w:val="auto"/>
        </w:rPr>
        <w:t>Page 10 of 12 Pages</w:t>
      </w:r>
    </w:p>
    <w:p>
      <w:pPr>
        <w:spacing w:after="0" w:line="266" w:lineRule="exact"/>
        <w:rPr>
          <w:sz w:val="20"/>
          <w:szCs w:val="20"/>
          <w:color w:val="auto"/>
        </w:rPr>
      </w:pPr>
    </w:p>
    <w:p>
      <w:pPr>
        <w:ind w:left="1320" w:right="160"/>
        <w:spacing w:after="0" w:line="256" w:lineRule="auto"/>
        <w:rPr>
          <w:sz w:val="20"/>
          <w:szCs w:val="20"/>
          <w:color w:val="auto"/>
        </w:rPr>
      </w:pPr>
      <w:r>
        <w:rPr>
          <w:rFonts w:ascii="Times New Roman" w:cs="Times New Roman" w:eastAsia="Times New Roman" w:hAnsi="Times New Roman"/>
          <w:sz w:val="18"/>
          <w:szCs w:val="18"/>
          <w:color w:val="auto"/>
        </w:rPr>
        <w:t>Gemini Capital Associates V LP (Gemini Associates LP) is the general partner of Gemini Israel V Limited Partnership (Gemini V) and Gemini Capital Associates V GP, Ltd. (Gemini Associates GP) is the general partner of Gemini Associates LP. Gemini Israel Funds IV Ltd. (Gemini Israel) is the general partner of Gemini Partners Investors V L.P. (Gemini Partners). Menashe Ezra and Yossi Sela are the managing partners of Gemini Associates GP and Gemini Israel. Each of Gemini Associates LP, Gemini Associates GP, Gemini Israel, Ezra and Sela hereby disclaims beneficial ownership of the ordinary shares held by Gemini V and Gemini Partners except to the extent of its or his pecuniary interest therein.</w:t>
      </w:r>
    </w:p>
    <w:p>
      <w:pPr>
        <w:sectPr>
          <w:pgSz w:w="11900" w:h="16838" w:orient="portrait"/>
          <w:cols w:equalWidth="0" w:num="1">
            <w:col w:w="11020"/>
          </w:cols>
          <w:pgMar w:left="440" w:top="270" w:right="439" w:bottom="1440" w:gutter="0" w:footer="0" w:header="0"/>
        </w:sect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2" w:lineRule="exact"/>
        <w:rPr>
          <w:sz w:val="20"/>
          <w:szCs w:val="20"/>
          <w:color w:val="auto"/>
        </w:rPr>
      </w:pPr>
    </w:p>
    <w:p>
      <w:pPr>
        <w:sectPr>
          <w:pgSz w:w="11900" w:h="16838" w:orient="portrait"/>
          <w:cols w:equalWidth="0" w:num="2">
            <w:col w:w="600" w:space="720"/>
            <w:col w:w="9700"/>
          </w:cols>
          <w:pgMar w:left="440" w:top="270" w:right="439" w:bottom="1440" w:gutter="0" w:footer="0" w:header="0"/>
          <w:type w:val="continuous"/>
        </w:sectPr>
      </w:pPr>
    </w:p>
    <w:p>
      <w:pPr>
        <w:ind w:left="1320" w:right="8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ectPr>
          <w:pgSz w:w="11900" w:h="16838" w:orient="portrait"/>
          <w:cols w:equalWidth="0" w:num="1">
            <w:col w:w="11020"/>
          </w:cols>
          <w:pgMar w:left="440" w:top="270" w:right="439" w:bottom="1440" w:gutter="0" w:footer="0" w:header="0"/>
          <w:type w:val="continuous"/>
        </w:sect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2" w:lineRule="exact"/>
        <w:rPr>
          <w:sz w:val="20"/>
          <w:szCs w:val="20"/>
          <w:color w:val="auto"/>
        </w:rPr>
      </w:pPr>
    </w:p>
    <w:p>
      <w:pPr>
        <w:sectPr>
          <w:pgSz w:w="11900" w:h="16838" w:orient="portrait"/>
          <w:cols w:equalWidth="0" w:num="2">
            <w:col w:w="600" w:space="72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600" w:space="72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2" w:lineRule="exact"/>
        <w:rPr>
          <w:sz w:val="20"/>
          <w:szCs w:val="20"/>
          <w:color w:val="auto"/>
        </w:rPr>
      </w:pPr>
    </w:p>
    <w:p>
      <w:pPr>
        <w:sectPr>
          <w:pgSz w:w="11900" w:h="16838" w:orient="portrait"/>
          <w:cols w:equalWidth="0" w:num="2">
            <w:col w:w="600" w:space="72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2" w:lineRule="exact"/>
        <w:rPr>
          <w:sz w:val="20"/>
          <w:szCs w:val="20"/>
          <w:color w:val="auto"/>
        </w:rPr>
      </w:pPr>
    </w:p>
    <w:p>
      <w:pPr>
        <w:sectPr>
          <w:pgSz w:w="11900" w:h="16838" w:orient="portrait"/>
          <w:cols w:equalWidth="0" w:num="2">
            <w:col w:w="600" w:space="72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33" w:lineRule="exact"/>
        <w:rPr>
          <w:sz w:val="20"/>
          <w:szCs w:val="20"/>
          <w:color w:val="auto"/>
        </w:rPr>
      </w:pPr>
    </w:p>
    <w:p>
      <w:pPr>
        <w:sectPr>
          <w:pgSz w:w="11900" w:h="16838" w:orient="portrait"/>
          <w:cols w:equalWidth="0" w:num="2">
            <w:col w:w="600" w:space="720"/>
            <w:col w:w="9700"/>
          </w:cols>
          <w:pgMar w:left="440" w:top="270" w:right="4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GEMINI ISRAEL V LIMITED PARTNERSHIP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GEMINI CAPITAL ASSOCIATES V GP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Yossi Sela</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Menashe Ezra</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Yossi Sela</w:t>
            </w:r>
          </w:p>
        </w:tc>
        <w:tc>
          <w:tcPr>
            <w:tcW w:w="134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Menashe Ezra</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GEMINI CAPITAL ASSOCIATES 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GEMINI CAPITAL ASSOCIATES V GP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Yossi Sela</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Menashe Ezra</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Yossi Sela</w:t>
            </w:r>
          </w:p>
        </w:tc>
        <w:tc>
          <w:tcPr>
            <w:tcW w:w="134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Menashe Ezra</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GEMINI CAPITAL ASSOCIATES V GP LTD.</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Yossi Sela</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Menashe Ezra</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Yossi Sela</w:t>
            </w:r>
          </w:p>
        </w:tc>
        <w:tc>
          <w:tcPr>
            <w:tcW w:w="134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Menashe Ezra</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GEMINI PARTNERS INVESTORS 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GEMINI ISRAEL FUNDS IV,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Yossi Sela</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Menashe Ezra</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Yossi Sela</w:t>
            </w:r>
          </w:p>
        </w:tc>
        <w:tc>
          <w:tcPr>
            <w:tcW w:w="134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Menashe Ezra</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ectPr>
          <w:pgSz w:w="11900" w:h="16838" w:orient="portrait"/>
          <w:cols w:equalWidth="0" w:num="1">
            <w:col w:w="11020"/>
          </w:cols>
          <w:pgMar w:left="440" w:top="266"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GEMINI ISRAEL FUNDS IV LTD.</w:t>
            </w: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Yossi Sela</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Menashe Ezra</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Yossi Sela</w:t>
            </w:r>
          </w:p>
        </w:tc>
        <w:tc>
          <w:tcPr>
            <w:tcW w:w="134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Menashe Ezra</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Menashe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746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Menashe Ezra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Yossi Sela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74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Yossi Sela</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lvl w:ilvl="1">
      <w:lvlJc w:val="left"/>
      <w:lvlText w:val="☒"/>
      <w:numFmt w:val="bullet"/>
      <w:start w:val="1"/>
    </w:lvl>
  </w:abstractNum>
  <w:abstractNum w:abstractNumId="2">
    <w:nsid w:val="54E49EB4"/>
    <w:multiLevelType w:val="hybridMultilevel"/>
    <w:lvl w:ilvl="0">
      <w:lvlJc w:val="left"/>
      <w:lvlText w:val="1"/>
      <w:numFmt w:val="bullet"/>
      <w:start w:val="1"/>
    </w:lvl>
  </w:abstractNum>
  <w:abstractNum w:abstractNumId="3">
    <w:nsid w:val="71F32454"/>
    <w:multiLevelType w:val="hybridMultilevel"/>
    <w:lvl w:ilvl="0">
      <w:lvlJc w:val="left"/>
      <w:lvlText w:val="2"/>
      <w:numFmt w:val="bullet"/>
      <w:start w:val="1"/>
    </w:lvl>
  </w:abstractNum>
  <w:abstractNum w:abstractNumId="4">
    <w:nsid w:val="2CA88611"/>
    <w:multiLevelType w:val="hybridMultilevel"/>
    <w:lvl w:ilvl="0">
      <w:lvlJc w:val="left"/>
      <w:lvlText w:val="3"/>
      <w:numFmt w:val="bullet"/>
      <w:start w:val="1"/>
    </w:lvl>
  </w:abstractNum>
  <w:abstractNum w:abstractNumId="5">
    <w:nsid w:val="836C40E"/>
    <w:multiLevelType w:val="hybridMultilevel"/>
    <w:lvl w:ilvl="0">
      <w:lvlJc w:val="left"/>
      <w:lvlText w:val="4"/>
      <w:numFmt w:val="bullet"/>
      <w:start w:val="1"/>
    </w:lvl>
  </w:abstractNum>
  <w:abstractNum w:abstractNumId="6">
    <w:nsid w:val="2901D82"/>
    <w:multiLevelType w:val="hybridMultilevel"/>
    <w:lvl w:ilvl="0">
      <w:lvlJc w:val="left"/>
      <w:lvlText w:val="9"/>
      <w:numFmt w:val="bullet"/>
      <w:start w:val="1"/>
    </w:lvl>
  </w:abstractNum>
  <w:abstractNum w:abstractNumId="7">
    <w:nsid w:val="3A95F874"/>
    <w:multiLevelType w:val="hybridMultilevel"/>
    <w:lvl w:ilvl="0">
      <w:lvlJc w:val="left"/>
      <w:lvlText w:val="%1"/>
      <w:numFmt w:val="decimal"/>
      <w:start w:val="1"/>
    </w:lvl>
    <w:lvl w:ilvl="1">
      <w:lvlJc w:val="left"/>
      <w:lvlText w:val="%2"/>
      <w:numFmt w:val="decimal"/>
      <w:start w:val="10"/>
    </w:lvl>
  </w:abstractNum>
  <w:abstractNum w:abstractNumId="8">
    <w:nsid w:val="8138641"/>
    <w:multiLevelType w:val="hybridMultilevel"/>
    <w:lvl w:ilvl="0">
      <w:lvlJc w:val="left"/>
      <w:lvlText w:val="(%1)"/>
      <w:numFmt w:val="decimal"/>
      <w:start w:val="1"/>
    </w:lvl>
    <w:lvl w:ilvl="1">
      <w:lvlJc w:val="left"/>
      <w:lvlText w:val="%2"/>
      <w:numFmt w:val="decimal"/>
      <w:start w:val="1"/>
    </w:lvl>
  </w:abstractNum>
  <w:abstractNum w:abstractNumId="9">
    <w:nsid w:val="1E7FF521"/>
    <w:multiLevelType w:val="hybridMultilevel"/>
    <w:lvl w:ilvl="0">
      <w:lvlJc w:val="left"/>
      <w:lvlText w:val="1"/>
      <w:numFmt w:val="bullet"/>
      <w:start w:val="1"/>
    </w:lvl>
  </w:abstractNum>
  <w:abstractNum w:abstractNumId="10">
    <w:nsid w:val="7C3DBD3D"/>
    <w:multiLevelType w:val="hybridMultilevel"/>
    <w:lvl w:ilvl="0">
      <w:lvlJc w:val="left"/>
      <w:lvlText w:val="2"/>
      <w:numFmt w:val="bullet"/>
      <w:start w:val="1"/>
    </w:lvl>
  </w:abstractNum>
  <w:abstractNum w:abstractNumId="11">
    <w:nsid w:val="737B8DDC"/>
    <w:multiLevelType w:val="hybridMultilevel"/>
    <w:lvl w:ilvl="0">
      <w:lvlJc w:val="left"/>
      <w:lvlText w:val="3"/>
      <w:numFmt w:val="bullet"/>
      <w:start w:val="1"/>
    </w:lvl>
  </w:abstractNum>
  <w:abstractNum w:abstractNumId="12">
    <w:nsid w:val="6CEAF087"/>
    <w:multiLevelType w:val="hybridMultilevel"/>
    <w:lvl w:ilvl="0">
      <w:lvlJc w:val="left"/>
      <w:lvlText w:val="4"/>
      <w:numFmt w:val="bullet"/>
      <w:start w:val="1"/>
    </w:lvl>
  </w:abstractNum>
  <w:abstractNum w:abstractNumId="13">
    <w:nsid w:val="22221A70"/>
    <w:multiLevelType w:val="hybridMultilevel"/>
    <w:lvl w:ilvl="0">
      <w:lvlJc w:val="left"/>
      <w:lvlText w:val="9"/>
      <w:numFmt w:val="bullet"/>
      <w:start w:val="1"/>
    </w:lvl>
  </w:abstractNum>
  <w:abstractNum w:abstractNumId="14">
    <w:nsid w:val="4516DDE9"/>
    <w:multiLevelType w:val="hybridMultilevel"/>
    <w:lvl w:ilvl="0">
      <w:lvlJc w:val="left"/>
      <w:lvlText w:val="%1"/>
      <w:numFmt w:val="decimal"/>
      <w:start w:val="1"/>
    </w:lvl>
    <w:lvl w:ilvl="1">
      <w:lvlJc w:val="left"/>
      <w:lvlText w:val="%2"/>
      <w:numFmt w:val="decimal"/>
      <w:start w:val="10"/>
    </w:lvl>
  </w:abstractNum>
  <w:abstractNum w:abstractNumId="15">
    <w:nsid w:val="3006C83E"/>
    <w:multiLevelType w:val="hybridMultilevel"/>
    <w:lvl w:ilvl="0">
      <w:lvlJc w:val="left"/>
      <w:lvlText w:val="(%1)"/>
      <w:numFmt w:val="decimal"/>
      <w:start w:val="1"/>
    </w:lvl>
    <w:lvl w:ilvl="1">
      <w:lvlJc w:val="left"/>
      <w:lvlText w:val="%2"/>
      <w:numFmt w:val="decimal"/>
      <w:start w:val="1"/>
    </w:lvl>
  </w:abstractNum>
  <w:abstractNum w:abstractNumId="16">
    <w:nsid w:val="614FD4A1"/>
    <w:multiLevelType w:val="hybridMultilevel"/>
    <w:lvl w:ilvl="0">
      <w:lvlJc w:val="left"/>
      <w:lvlText w:val="1"/>
      <w:numFmt w:val="bullet"/>
      <w:start w:val="1"/>
    </w:lvl>
  </w:abstractNum>
  <w:abstractNum w:abstractNumId="17">
    <w:nsid w:val="419AC241"/>
    <w:multiLevelType w:val="hybridMultilevel"/>
    <w:lvl w:ilvl="0">
      <w:lvlJc w:val="left"/>
      <w:lvlText w:val="2"/>
      <w:numFmt w:val="bullet"/>
      <w:start w:val="1"/>
    </w:lvl>
  </w:abstractNum>
  <w:abstractNum w:abstractNumId="18">
    <w:nsid w:val="5577F8E1"/>
    <w:multiLevelType w:val="hybridMultilevel"/>
    <w:lvl w:ilvl="0">
      <w:lvlJc w:val="left"/>
      <w:lvlText w:val="3"/>
      <w:numFmt w:val="bullet"/>
      <w:start w:val="1"/>
    </w:lvl>
  </w:abstractNum>
  <w:abstractNum w:abstractNumId="19">
    <w:nsid w:val="440BADFC"/>
    <w:multiLevelType w:val="hybridMultilevel"/>
    <w:lvl w:ilvl="0">
      <w:lvlJc w:val="left"/>
      <w:lvlText w:val="4"/>
      <w:numFmt w:val="bullet"/>
      <w:start w:val="1"/>
    </w:lvl>
  </w:abstractNum>
  <w:abstractNum w:abstractNumId="20">
    <w:nsid w:val="5072367"/>
    <w:multiLevelType w:val="hybridMultilevel"/>
    <w:lvl w:ilvl="0">
      <w:lvlJc w:val="left"/>
      <w:lvlText w:val="9"/>
      <w:numFmt w:val="bullet"/>
      <w:start w:val="1"/>
    </w:lvl>
  </w:abstractNum>
  <w:abstractNum w:abstractNumId="21">
    <w:nsid w:val="3804823E"/>
    <w:multiLevelType w:val="hybridMultilevel"/>
    <w:lvl w:ilvl="0">
      <w:lvlJc w:val="left"/>
      <w:lvlText w:val="%1"/>
      <w:numFmt w:val="decimal"/>
      <w:start w:val="1"/>
    </w:lvl>
    <w:lvl w:ilvl="1">
      <w:lvlJc w:val="left"/>
      <w:lvlText w:val="%2"/>
      <w:numFmt w:val="decimal"/>
      <w:start w:val="10"/>
    </w:lvl>
  </w:abstractNum>
  <w:abstractNum w:abstractNumId="22">
    <w:nsid w:val="77465F01"/>
    <w:multiLevelType w:val="hybridMultilevel"/>
    <w:lvl w:ilvl="0">
      <w:lvlJc w:val="left"/>
      <w:lvlText w:val="(%1)"/>
      <w:numFmt w:val="decimal"/>
      <w:start w:val="1"/>
    </w:lvl>
    <w:lvl w:ilvl="1">
      <w:lvlJc w:val="left"/>
      <w:lvlText w:val="%2"/>
      <w:numFmt w:val="decimal"/>
      <w:start w:val="1"/>
    </w:lvl>
  </w:abstractNum>
  <w:abstractNum w:abstractNumId="23">
    <w:nsid w:val="7724C67E"/>
    <w:multiLevelType w:val="hybridMultilevel"/>
    <w:lvl w:ilvl="0">
      <w:lvlJc w:val="left"/>
      <w:lvlText w:val="1"/>
      <w:numFmt w:val="bullet"/>
      <w:start w:val="1"/>
    </w:lvl>
  </w:abstractNum>
  <w:abstractNum w:abstractNumId="24">
    <w:nsid w:val="5C482A97"/>
    <w:multiLevelType w:val="hybridMultilevel"/>
    <w:lvl w:ilvl="0">
      <w:lvlJc w:val="left"/>
      <w:lvlText w:val="2"/>
      <w:numFmt w:val="bullet"/>
      <w:start w:val="1"/>
    </w:lvl>
  </w:abstractNum>
  <w:abstractNum w:abstractNumId="25">
    <w:nsid w:val="2463B9EA"/>
    <w:multiLevelType w:val="hybridMultilevel"/>
    <w:lvl w:ilvl="0">
      <w:lvlJc w:val="left"/>
      <w:lvlText w:val="3"/>
      <w:numFmt w:val="bullet"/>
      <w:start w:val="1"/>
    </w:lvl>
  </w:abstractNum>
  <w:abstractNum w:abstractNumId="26">
    <w:nsid w:val="5E884ADC"/>
    <w:multiLevelType w:val="hybridMultilevel"/>
    <w:lvl w:ilvl="0">
      <w:lvlJc w:val="left"/>
      <w:lvlText w:val="4"/>
      <w:numFmt w:val="bullet"/>
      <w:start w:val="1"/>
    </w:lvl>
  </w:abstractNum>
  <w:abstractNum w:abstractNumId="27">
    <w:nsid w:val="51EAD36B"/>
    <w:multiLevelType w:val="hybridMultilevel"/>
    <w:lvl w:ilvl="0">
      <w:lvlJc w:val="left"/>
      <w:lvlText w:val="9"/>
      <w:numFmt w:val="bullet"/>
      <w:start w:val="1"/>
    </w:lvl>
  </w:abstractNum>
  <w:abstractNum w:abstractNumId="28">
    <w:nsid w:val="2D517796"/>
    <w:multiLevelType w:val="hybridMultilevel"/>
    <w:lvl w:ilvl="0">
      <w:lvlJc w:val="left"/>
      <w:lvlText w:val="%1"/>
      <w:numFmt w:val="decimal"/>
      <w:start w:val="1"/>
    </w:lvl>
    <w:lvl w:ilvl="1">
      <w:lvlJc w:val="left"/>
      <w:lvlText w:val="%2"/>
      <w:numFmt w:val="decimal"/>
      <w:start w:val="10"/>
    </w:lvl>
  </w:abstractNum>
  <w:abstractNum w:abstractNumId="29">
    <w:nsid w:val="580BD78F"/>
    <w:multiLevelType w:val="hybridMultilevel"/>
    <w:lvl w:ilvl="0">
      <w:lvlJc w:val="left"/>
      <w:lvlText w:val="(%1)"/>
      <w:numFmt w:val="decimal"/>
      <w:start w:val="1"/>
    </w:lvl>
    <w:lvl w:ilvl="1">
      <w:lvlJc w:val="left"/>
      <w:lvlText w:val="%2"/>
      <w:numFmt w:val="decimal"/>
      <w:start w:val="1"/>
    </w:lvl>
  </w:abstractNum>
  <w:abstractNum w:abstractNumId="30">
    <w:nsid w:val="153EA438"/>
    <w:multiLevelType w:val="hybridMultilevel"/>
    <w:lvl w:ilvl="0">
      <w:lvlJc w:val="left"/>
      <w:lvlText w:val="1"/>
      <w:numFmt w:val="bullet"/>
      <w:start w:val="1"/>
    </w:lvl>
  </w:abstractNum>
  <w:abstractNum w:abstractNumId="31">
    <w:nsid w:val="3855585C"/>
    <w:multiLevelType w:val="hybridMultilevel"/>
    <w:lvl w:ilvl="0">
      <w:lvlJc w:val="left"/>
      <w:lvlText w:val="2"/>
      <w:numFmt w:val="bullet"/>
      <w:start w:val="1"/>
    </w:lvl>
  </w:abstractNum>
  <w:abstractNum w:abstractNumId="32">
    <w:nsid w:val="70A64E2A"/>
    <w:multiLevelType w:val="hybridMultilevel"/>
    <w:lvl w:ilvl="0">
      <w:lvlJc w:val="left"/>
      <w:lvlText w:val="3"/>
      <w:numFmt w:val="bullet"/>
      <w:start w:val="1"/>
    </w:lvl>
  </w:abstractNum>
  <w:abstractNum w:abstractNumId="33">
    <w:nsid w:val="6A2342EC"/>
    <w:multiLevelType w:val="hybridMultilevel"/>
    <w:lvl w:ilvl="0">
      <w:lvlJc w:val="left"/>
      <w:lvlText w:val="4"/>
      <w:numFmt w:val="bullet"/>
      <w:start w:val="1"/>
    </w:lvl>
  </w:abstractNum>
  <w:abstractNum w:abstractNumId="34">
    <w:nsid w:val="2A487CB0"/>
    <w:multiLevelType w:val="hybridMultilevel"/>
    <w:lvl w:ilvl="0">
      <w:lvlJc w:val="left"/>
      <w:lvlText w:val="9"/>
      <w:numFmt w:val="bullet"/>
      <w:start w:val="1"/>
    </w:lvl>
  </w:abstractNum>
  <w:abstractNum w:abstractNumId="35">
    <w:nsid w:val="1D4ED43B"/>
    <w:multiLevelType w:val="hybridMultilevel"/>
    <w:lvl w:ilvl="0">
      <w:lvlJc w:val="left"/>
      <w:lvlText w:val="%1"/>
      <w:numFmt w:val="decimal"/>
      <w:start w:val="1"/>
    </w:lvl>
    <w:lvl w:ilvl="1">
      <w:lvlJc w:val="left"/>
      <w:lvlText w:val="%2"/>
      <w:numFmt w:val="decimal"/>
      <w:start w:val="10"/>
    </w:lvl>
  </w:abstractNum>
  <w:abstractNum w:abstractNumId="36">
    <w:nsid w:val="725A06FB"/>
    <w:multiLevelType w:val="hybridMultilevel"/>
    <w:lvl w:ilvl="0">
      <w:lvlJc w:val="left"/>
      <w:lvlText w:val="(%1)"/>
      <w:numFmt w:val="decimal"/>
      <w:start w:val="1"/>
    </w:lvl>
    <w:lvl w:ilvl="1">
      <w:lvlJc w:val="left"/>
      <w:lvlText w:val="%2"/>
      <w:numFmt w:val="decimal"/>
      <w:start w:val="1"/>
    </w:lvl>
  </w:abstractNum>
  <w:abstractNum w:abstractNumId="37">
    <w:nsid w:val="2CD89A32"/>
    <w:multiLevelType w:val="hybridMultilevel"/>
    <w:lvl w:ilvl="0">
      <w:lvlJc w:val="left"/>
      <w:lvlText w:val="1"/>
      <w:numFmt w:val="bullet"/>
      <w:start w:val="1"/>
    </w:lvl>
  </w:abstractNum>
  <w:abstractNum w:abstractNumId="38">
    <w:nsid w:val="57E4CCAF"/>
    <w:multiLevelType w:val="hybridMultilevel"/>
    <w:lvl w:ilvl="0">
      <w:lvlJc w:val="left"/>
      <w:lvlText w:val="2"/>
      <w:numFmt w:val="bullet"/>
      <w:start w:val="1"/>
    </w:lvl>
  </w:abstractNum>
  <w:abstractNum w:abstractNumId="39">
    <w:nsid w:val="7A6D8D3C"/>
    <w:multiLevelType w:val="hybridMultilevel"/>
    <w:lvl w:ilvl="0">
      <w:lvlJc w:val="left"/>
      <w:lvlText w:val="3"/>
      <w:numFmt w:val="bullet"/>
      <w:start w:val="1"/>
    </w:lvl>
  </w:abstractNum>
  <w:abstractNum w:abstractNumId="40">
    <w:nsid w:val="4B588F54"/>
    <w:multiLevelType w:val="hybridMultilevel"/>
    <w:lvl w:ilvl="0">
      <w:lvlJc w:val="left"/>
      <w:lvlText w:val="4"/>
      <w:numFmt w:val="bullet"/>
      <w:start w:val="1"/>
    </w:lvl>
  </w:abstractNum>
  <w:abstractNum w:abstractNumId="41">
    <w:nsid w:val="542289EC"/>
    <w:multiLevelType w:val="hybridMultilevel"/>
    <w:lvl w:ilvl="0">
      <w:lvlJc w:val="left"/>
      <w:lvlText w:val="9"/>
      <w:numFmt w:val="bullet"/>
      <w:start w:val="1"/>
    </w:lvl>
  </w:abstractNum>
  <w:abstractNum w:abstractNumId="42">
    <w:nsid w:val="6DE91B18"/>
    <w:multiLevelType w:val="hybridMultilevel"/>
    <w:lvl w:ilvl="0">
      <w:lvlJc w:val="left"/>
      <w:lvlText w:val="%1"/>
      <w:numFmt w:val="decimal"/>
      <w:start w:val="1"/>
    </w:lvl>
    <w:lvl w:ilvl="1">
      <w:lvlJc w:val="left"/>
      <w:lvlText w:val="%2"/>
      <w:numFmt w:val="decimal"/>
      <w:start w:val="10"/>
    </w:lvl>
  </w:abstractNum>
  <w:abstractNum w:abstractNumId="43">
    <w:nsid w:val="38437FDB"/>
    <w:multiLevelType w:val="hybridMultilevel"/>
    <w:lvl w:ilvl="0">
      <w:lvlJc w:val="left"/>
      <w:lvlText w:val="(%1)"/>
      <w:numFmt w:val="decimal"/>
      <w:start w:val="1"/>
    </w:lvl>
    <w:lvl w:ilvl="1">
      <w:lvlJc w:val="left"/>
      <w:lvlText w:val="%2"/>
      <w:numFmt w:val="decimal"/>
      <w:start w:val="1"/>
    </w:lvl>
  </w:abstractNum>
  <w:abstractNum w:abstractNumId="44">
    <w:nsid w:val="7644A45C"/>
    <w:multiLevelType w:val="hybridMultilevel"/>
    <w:lvl w:ilvl="0">
      <w:lvlJc w:val="left"/>
      <w:lvlText w:val="1"/>
      <w:numFmt w:val="bullet"/>
      <w:start w:val="1"/>
    </w:lvl>
  </w:abstractNum>
  <w:abstractNum w:abstractNumId="45">
    <w:nsid w:val="32FFF902"/>
    <w:multiLevelType w:val="hybridMultilevel"/>
    <w:lvl w:ilvl="0">
      <w:lvlJc w:val="left"/>
      <w:lvlText w:val="2"/>
      <w:numFmt w:val="bullet"/>
      <w:start w:val="1"/>
    </w:lvl>
  </w:abstractNum>
  <w:abstractNum w:abstractNumId="46">
    <w:nsid w:val="684A481A"/>
    <w:multiLevelType w:val="hybridMultilevel"/>
    <w:lvl w:ilvl="0">
      <w:lvlJc w:val="left"/>
      <w:lvlText w:val="3"/>
      <w:numFmt w:val="bullet"/>
      <w:start w:val="1"/>
    </w:lvl>
  </w:abstractNum>
  <w:abstractNum w:abstractNumId="47">
    <w:nsid w:val="579478FE"/>
    <w:multiLevelType w:val="hybridMultilevel"/>
    <w:lvl w:ilvl="0">
      <w:lvlJc w:val="left"/>
      <w:lvlText w:val="4"/>
      <w:numFmt w:val="bullet"/>
      <w:start w:val="1"/>
    </w:lvl>
  </w:abstractNum>
  <w:abstractNum w:abstractNumId="48">
    <w:nsid w:val="749ABB43"/>
    <w:multiLevelType w:val="hybridMultilevel"/>
    <w:lvl w:ilvl="0">
      <w:lvlJc w:val="left"/>
      <w:lvlText w:val="9"/>
      <w:numFmt w:val="bullet"/>
      <w:start w:val="1"/>
    </w:lvl>
  </w:abstractNum>
  <w:abstractNum w:abstractNumId="49">
    <w:nsid w:val="3DC240FB"/>
    <w:multiLevelType w:val="hybridMultilevel"/>
    <w:lvl w:ilvl="0">
      <w:lvlJc w:val="left"/>
      <w:lvlText w:val="%1"/>
      <w:numFmt w:val="decimal"/>
      <w:start w:val="1"/>
    </w:lvl>
    <w:lvl w:ilvl="1">
      <w:lvlJc w:val="left"/>
      <w:lvlText w:val="%2"/>
      <w:numFmt w:val="decimal"/>
      <w:start w:val="10"/>
    </w:lvl>
  </w:abstractNum>
  <w:abstractNum w:abstractNumId="50">
    <w:nsid w:val="1BA026FA"/>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2023-02-14T11:29:39Z</dcterms:created>
  <dcterms:modified xsi:type="dcterms:W3CDTF">2023-02-14T11:29:39Z</dcterms:modified>
</cp:coreProperties>
</file>