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As filed with the Securities and Exchange Commission on March 14, 2023</w:t>
      </w:r>
    </w:p>
    <w:p>
      <w:pPr>
        <w:spacing w:after="0" w:line="28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WalkMe Ltd.</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tbl>
      <w:tblPr>
        <w:tblLayout w:type="fixed"/>
        <w:tblInd w:w="1120" w:type="dxa"/>
        <w:tblCellMar>
          <w:top w:w="0" w:type="dxa"/>
          <w:left w:w="0" w:type="dxa"/>
          <w:bottom w:w="0" w:type="dxa"/>
          <w:right w:w="0" w:type="dxa"/>
        </w:tblCellMar>
      </w:tblPr>
      <w:tr>
        <w:trPr>
          <w:trHeight w:val="229"/>
        </w:trPr>
        <w:tc>
          <w:tcPr>
            <w:tcW w:w="48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rPr>
              <w:t>State of Israel</w:t>
            </w:r>
          </w:p>
        </w:tc>
        <w:tc>
          <w:tcPr>
            <w:tcW w:w="312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48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12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8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12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23"/>
        </w:trPr>
        <w:tc>
          <w:tcPr>
            <w:tcW w:w="48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8"/>
              </w:rPr>
              <w:t>1 Walter Moses St.,</w:t>
            </w:r>
          </w:p>
        </w:tc>
        <w:tc>
          <w:tcPr>
            <w:tcW w:w="3120" w:type="dxa"/>
            <w:vAlign w:val="bottom"/>
          </w:tcPr>
          <w:p>
            <w:pPr>
              <w:spacing w:after="0"/>
              <w:rPr>
                <w:sz w:val="24"/>
                <w:szCs w:val="24"/>
                <w:color w:val="auto"/>
              </w:rPr>
            </w:pPr>
          </w:p>
        </w:tc>
      </w:tr>
      <w:tr>
        <w:trPr>
          <w:trHeight w:val="230"/>
        </w:trPr>
        <w:tc>
          <w:tcPr>
            <w:tcW w:w="48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7"/>
              </w:rPr>
              <w:t>Tel Aviv, Israel</w:t>
            </w:r>
          </w:p>
        </w:tc>
        <w:tc>
          <w:tcPr>
            <w:tcW w:w="312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8"/>
              </w:rPr>
              <w:t>6789903</w:t>
            </w:r>
          </w:p>
        </w:tc>
      </w:tr>
      <w:tr>
        <w:trPr>
          <w:trHeight w:val="238"/>
        </w:trPr>
        <w:tc>
          <w:tcPr>
            <w:tcW w:w="48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12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WalkMe Ltd. 2021 Share Incentive Plan</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WalkMe Ltd. 2021 Employee Share Purchase Plan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(Full title of the plan)</w:t>
      </w:r>
    </w:p>
    <w:p>
      <w:pPr>
        <w:spacing w:after="0" w:line="2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WalkMe,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71 Stevenson Street, Floor 20</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San Francisco, CA 94105</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(855) 492-5563</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tbl>
      <w:tblPr>
        <w:tblLayout w:type="fixed"/>
        <w:tblInd w:w="1700" w:type="dxa"/>
        <w:tblCellMar>
          <w:top w:w="0" w:type="dxa"/>
          <w:left w:w="0" w:type="dxa"/>
          <w:bottom w:w="0" w:type="dxa"/>
          <w:right w:w="0" w:type="dxa"/>
        </w:tblCellMar>
      </w:tblPr>
      <w:tr>
        <w:trPr>
          <w:trHeight w:val="288"/>
        </w:trPr>
        <w:tc>
          <w:tcPr>
            <w:tcW w:w="2860" w:type="dxa"/>
            <w:vAlign w:val="bottom"/>
          </w:tcPr>
          <w:p>
            <w:pPr>
              <w:spacing w:after="0"/>
              <w:rPr>
                <w:sz w:val="24"/>
                <w:szCs w:val="24"/>
                <w:color w:val="auto"/>
              </w:rPr>
            </w:pPr>
          </w:p>
        </w:tc>
        <w:tc>
          <w:tcPr>
            <w:tcW w:w="4900" w:type="dxa"/>
            <w:vAlign w:val="bottom"/>
          </w:tcPr>
          <w:p>
            <w:pPr>
              <w:ind w:left="620"/>
              <w:spacing w:after="0"/>
              <w:rPr>
                <w:sz w:val="20"/>
                <w:szCs w:val="20"/>
                <w:color w:val="auto"/>
              </w:rPr>
            </w:pPr>
            <w:r>
              <w:rPr>
                <w:rFonts w:ascii="Times New Roman" w:cs="Times New Roman" w:eastAsia="Times New Roman" w:hAnsi="Times New Roman"/>
                <w:sz w:val="22"/>
                <w:szCs w:val="22"/>
                <w:b w:val="1"/>
                <w:bCs w:val="1"/>
                <w:i w:val="1"/>
                <w:iCs w:val="1"/>
                <w:color w:val="auto"/>
              </w:rPr>
              <w:t>Copies to:</w:t>
            </w:r>
          </w:p>
        </w:tc>
      </w:tr>
      <w:tr>
        <w:trPr>
          <w:trHeight w:val="465"/>
        </w:trPr>
        <w:tc>
          <w:tcPr>
            <w:tcW w:w="286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rPr>
              <w:t>Joshua G. Kiernan</w:t>
            </w:r>
          </w:p>
        </w:tc>
        <w:tc>
          <w:tcPr>
            <w:tcW w:w="4900" w:type="dxa"/>
            <w:vAlign w:val="bottom"/>
          </w:tcPr>
          <w:p>
            <w:pPr>
              <w:jc w:val="center"/>
              <w:ind w:left="2648"/>
              <w:spacing w:after="0"/>
              <w:rPr>
                <w:sz w:val="20"/>
                <w:szCs w:val="20"/>
                <w:color w:val="auto"/>
              </w:rPr>
            </w:pPr>
            <w:r>
              <w:rPr>
                <w:rFonts w:ascii="Times New Roman" w:cs="Times New Roman" w:eastAsia="Times New Roman" w:hAnsi="Times New Roman"/>
                <w:sz w:val="18"/>
                <w:szCs w:val="18"/>
                <w:b w:val="1"/>
                <w:bCs w:val="1"/>
                <w:color w:val="auto"/>
              </w:rPr>
              <w:t>Shachar Hadar</w:t>
            </w:r>
          </w:p>
        </w:tc>
      </w:tr>
      <w:tr>
        <w:trPr>
          <w:trHeight w:val="230"/>
        </w:trPr>
        <w:tc>
          <w:tcPr>
            <w:tcW w:w="286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rPr>
              <w:t>Nathan Ajiashvili</w:t>
            </w:r>
          </w:p>
        </w:tc>
        <w:tc>
          <w:tcPr>
            <w:tcW w:w="4900" w:type="dxa"/>
            <w:vAlign w:val="bottom"/>
          </w:tcPr>
          <w:p>
            <w:pPr>
              <w:jc w:val="center"/>
              <w:ind w:left="2648"/>
              <w:spacing w:after="0"/>
              <w:rPr>
                <w:sz w:val="20"/>
                <w:szCs w:val="20"/>
                <w:color w:val="auto"/>
              </w:rPr>
            </w:pPr>
            <w:r>
              <w:rPr>
                <w:rFonts w:ascii="Times New Roman" w:cs="Times New Roman" w:eastAsia="Times New Roman" w:hAnsi="Times New Roman"/>
                <w:sz w:val="18"/>
                <w:szCs w:val="18"/>
                <w:b w:val="1"/>
                <w:bCs w:val="1"/>
                <w:color w:val="auto"/>
                <w:w w:val="99"/>
              </w:rPr>
              <w:t>Matthew Rudolph</w:t>
            </w:r>
          </w:p>
        </w:tc>
      </w:tr>
      <w:tr>
        <w:trPr>
          <w:trHeight w:val="229"/>
        </w:trPr>
        <w:tc>
          <w:tcPr>
            <w:tcW w:w="286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Latham &amp; Watkins LLP</w:t>
            </w:r>
          </w:p>
        </w:tc>
        <w:tc>
          <w:tcPr>
            <w:tcW w:w="4900" w:type="dxa"/>
            <w:vAlign w:val="bottom"/>
          </w:tcPr>
          <w:p>
            <w:pPr>
              <w:jc w:val="center"/>
              <w:ind w:left="2628"/>
              <w:spacing w:after="0"/>
              <w:rPr>
                <w:sz w:val="20"/>
                <w:szCs w:val="20"/>
                <w:color w:val="auto"/>
              </w:rPr>
            </w:pPr>
            <w:r>
              <w:rPr>
                <w:rFonts w:ascii="Times New Roman" w:cs="Times New Roman" w:eastAsia="Times New Roman" w:hAnsi="Times New Roman"/>
                <w:sz w:val="18"/>
                <w:szCs w:val="18"/>
                <w:b w:val="1"/>
                <w:bCs w:val="1"/>
                <w:color w:val="auto"/>
                <w:w w:val="99"/>
              </w:rPr>
              <w:t>Meitar | Law Offices</w:t>
            </w:r>
          </w:p>
        </w:tc>
      </w:tr>
      <w:tr>
        <w:trPr>
          <w:trHeight w:val="216"/>
        </w:trPr>
        <w:tc>
          <w:tcPr>
            <w:tcW w:w="286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1271 Avenue of the Americas</w:t>
            </w:r>
          </w:p>
        </w:tc>
        <w:tc>
          <w:tcPr>
            <w:tcW w:w="4900" w:type="dxa"/>
            <w:vAlign w:val="bottom"/>
          </w:tcPr>
          <w:p>
            <w:pPr>
              <w:jc w:val="center"/>
              <w:ind w:left="2648"/>
              <w:spacing w:after="0"/>
              <w:rPr>
                <w:sz w:val="20"/>
                <w:szCs w:val="20"/>
                <w:color w:val="auto"/>
              </w:rPr>
            </w:pPr>
            <w:r>
              <w:rPr>
                <w:rFonts w:ascii="Times New Roman" w:cs="Times New Roman" w:eastAsia="Times New Roman" w:hAnsi="Times New Roman"/>
                <w:sz w:val="18"/>
                <w:szCs w:val="18"/>
                <w:b w:val="1"/>
                <w:bCs w:val="1"/>
                <w:color w:val="auto"/>
                <w:w w:val="99"/>
              </w:rPr>
              <w:t>16 Abba Hillel Road</w:t>
            </w:r>
          </w:p>
        </w:tc>
      </w:tr>
      <w:tr>
        <w:trPr>
          <w:trHeight w:val="229"/>
        </w:trPr>
        <w:tc>
          <w:tcPr>
            <w:tcW w:w="286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New York, New York 10020</w:t>
            </w:r>
          </w:p>
        </w:tc>
        <w:tc>
          <w:tcPr>
            <w:tcW w:w="4900" w:type="dxa"/>
            <w:vAlign w:val="bottom"/>
          </w:tcPr>
          <w:p>
            <w:pPr>
              <w:jc w:val="center"/>
              <w:ind w:left="2648"/>
              <w:spacing w:after="0"/>
              <w:rPr>
                <w:sz w:val="20"/>
                <w:szCs w:val="20"/>
                <w:color w:val="auto"/>
              </w:rPr>
            </w:pPr>
            <w:r>
              <w:rPr>
                <w:rFonts w:ascii="Times New Roman" w:cs="Times New Roman" w:eastAsia="Times New Roman" w:hAnsi="Times New Roman"/>
                <w:sz w:val="18"/>
                <w:szCs w:val="18"/>
                <w:b w:val="1"/>
                <w:bCs w:val="1"/>
                <w:color w:val="auto"/>
              </w:rPr>
              <w:t>Ramat Gan, 5250608, Israel</w:t>
            </w:r>
          </w:p>
        </w:tc>
      </w:tr>
      <w:tr>
        <w:trPr>
          <w:trHeight w:val="230"/>
        </w:trPr>
        <w:tc>
          <w:tcPr>
            <w:tcW w:w="286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8"/>
              </w:rPr>
              <w:t>Tel: (212) 906-1200</w:t>
            </w:r>
          </w:p>
        </w:tc>
        <w:tc>
          <w:tcPr>
            <w:tcW w:w="4900" w:type="dxa"/>
            <w:vAlign w:val="bottom"/>
          </w:tcPr>
          <w:p>
            <w:pPr>
              <w:jc w:val="center"/>
              <w:ind w:left="2628"/>
              <w:spacing w:after="0"/>
              <w:rPr>
                <w:sz w:val="20"/>
                <w:szCs w:val="20"/>
                <w:color w:val="auto"/>
              </w:rPr>
            </w:pPr>
            <w:r>
              <w:rPr>
                <w:rFonts w:ascii="Times New Roman" w:cs="Times New Roman" w:eastAsia="Times New Roman" w:hAnsi="Times New Roman"/>
                <w:sz w:val="18"/>
                <w:szCs w:val="18"/>
                <w:b w:val="1"/>
                <w:bCs w:val="1"/>
                <w:color w:val="auto"/>
                <w:w w:val="98"/>
              </w:rPr>
              <w:t>Tel: +972 (3) 610-3100</w:t>
            </w:r>
          </w:p>
        </w:tc>
      </w:tr>
      <w:tr>
        <w:trPr>
          <w:trHeight w:val="238"/>
        </w:trPr>
        <w:tc>
          <w:tcPr>
            <w:tcW w:w="286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Fax: (212) 751-4864</w:t>
            </w:r>
          </w:p>
        </w:tc>
        <w:tc>
          <w:tcPr>
            <w:tcW w:w="4900" w:type="dxa"/>
            <w:vAlign w:val="bottom"/>
          </w:tcPr>
          <w:p>
            <w:pPr>
              <w:jc w:val="center"/>
              <w:ind w:left="2628"/>
              <w:spacing w:after="0"/>
              <w:rPr>
                <w:sz w:val="20"/>
                <w:szCs w:val="20"/>
                <w:color w:val="auto"/>
              </w:rPr>
            </w:pPr>
            <w:r>
              <w:rPr>
                <w:rFonts w:ascii="Times New Roman" w:cs="Times New Roman" w:eastAsia="Times New Roman" w:hAnsi="Times New Roman"/>
                <w:sz w:val="18"/>
                <w:szCs w:val="18"/>
                <w:b w:val="1"/>
                <w:bCs w:val="1"/>
                <w:color w:val="auto"/>
                <w:w w:val="98"/>
              </w:rPr>
              <w:t>Fax: +972 (3) 610-3111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10" w:right="339" w:bottom="0" w:gutter="0" w:footer="0" w:header="0"/>
        </w:sectPr>
      </w:pPr>
    </w:p>
    <w:p>
      <w:pPr>
        <w:spacing w:after="0" w:line="193" w:lineRule="exact"/>
        <w:rPr>
          <w:sz w:val="24"/>
          <w:szCs w:val="24"/>
          <w:color w:val="auto"/>
        </w:rPr>
      </w:pPr>
    </w:p>
    <w:p>
      <w:pPr>
        <w:spacing w:after="0" w:line="207" w:lineRule="exact"/>
        <w:tabs>
          <w:tab w:leader="none" w:pos="3540" w:val="left"/>
          <w:tab w:leader="none" w:pos="7180" w:val="left"/>
          <w:tab w:leader="none" w:pos="1074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240"/>
          </w:cols>
          <w:pgMar w:left="320" w:top="810" w:right="339" w:bottom="0" w:gutter="0" w:footer="0" w:header="0"/>
          <w:type w:val="continuous"/>
        </w:sectPr>
      </w:pPr>
    </w:p>
    <w:bookmarkStart w:id="1" w:name="page2"/>
    <w:bookmarkEnd w:id="1"/>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5" w:lineRule="exact"/>
        <w:rPr>
          <w:sz w:val="20"/>
          <w:szCs w:val="20"/>
          <w:color w:val="auto"/>
        </w:rPr>
      </w:pPr>
    </w:p>
    <w:p>
      <w:pPr>
        <w:sectPr>
          <w:pgSz w:w="11900" w:h="16838" w:orient="portrait"/>
          <w:cols w:equalWidth="0" w:num="4">
            <w:col w:w="2840" w:space="720"/>
            <w:col w:w="2920" w:space="720"/>
            <w:col w:w="2840" w:space="720"/>
            <w:col w:w="480"/>
          </w:cols>
          <w:pgMar w:left="320" w:top="322" w:right="339" w:bottom="1440" w:gutter="0" w:footer="0" w:header="0"/>
        </w:sectPr>
      </w:pPr>
    </w:p>
    <w:p>
      <w:pPr>
        <w:spacing w:after="0" w:line="52"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4" w:lineRule="exact"/>
        <w:rPr>
          <w:sz w:val="20"/>
          <w:szCs w:val="20"/>
          <w:color w:val="auto"/>
        </w:rPr>
      </w:pPr>
    </w:p>
    <w:p>
      <w:pPr>
        <w:sectPr>
          <w:pgSz w:w="11900" w:h="16838" w:orient="portrait"/>
          <w:cols w:equalWidth="0" w:num="2">
            <w:col w:w="10040" w:space="720"/>
            <w:col w:w="480"/>
          </w:cols>
          <w:pgMar w:left="320" w:top="322" w:right="339" w:bottom="1440" w:gutter="0" w:footer="0" w:header="0"/>
          <w:type w:val="continuous"/>
        </w:sectPr>
      </w:pPr>
    </w:p>
    <w:p>
      <w:pPr>
        <w:spacing w:after="0" w:line="1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1"/>
          <w:szCs w:val="21"/>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1" w:lineRule="exact"/>
        <w:rPr>
          <w:sz w:val="20"/>
          <w:szCs w:val="20"/>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EXPLANATORY NOTE</w:t>
      </w:r>
    </w:p>
    <w:p>
      <w:pPr>
        <w:spacing w:after="0" w:line="285" w:lineRule="exact"/>
        <w:rPr>
          <w:sz w:val="20"/>
          <w:szCs w:val="20"/>
          <w:color w:val="auto"/>
        </w:rPr>
      </w:pPr>
    </w:p>
    <w:p>
      <w:pPr>
        <w:jc w:val="both"/>
        <w:spacing w:after="0" w:line="26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registration statement on Form S-8 (this “</w:t>
      </w:r>
      <w:r>
        <w:rPr>
          <w:rFonts w:ascii="Times New Roman" w:cs="Times New Roman" w:eastAsia="Times New Roman" w:hAnsi="Times New Roman"/>
          <w:sz w:val="22"/>
          <w:szCs w:val="22"/>
          <w:b w:val="1"/>
          <w:bCs w:val="1"/>
          <w:i w:val="1"/>
          <w:iCs w:val="1"/>
          <w:color w:val="auto"/>
        </w:rPr>
        <w:t>Registration Statement</w:t>
      </w:r>
      <w:r>
        <w:rPr>
          <w:rFonts w:ascii="Times New Roman" w:cs="Times New Roman" w:eastAsia="Times New Roman" w:hAnsi="Times New Roman"/>
          <w:sz w:val="22"/>
          <w:szCs w:val="22"/>
          <w:color w:val="auto"/>
        </w:rPr>
        <w:t>”) is being filed with the Securities and Exchange Commission (the “</w:t>
      </w:r>
      <w:r>
        <w:rPr>
          <w:rFonts w:ascii="Times New Roman" w:cs="Times New Roman" w:eastAsia="Times New Roman" w:hAnsi="Times New Roman"/>
          <w:sz w:val="22"/>
          <w:szCs w:val="22"/>
          <w:b w:val="1"/>
          <w:bCs w:val="1"/>
          <w:i w:val="1"/>
          <w:iCs w:val="1"/>
          <w:color w:val="auto"/>
        </w:rPr>
        <w:t>Commission</w:t>
      </w:r>
      <w:r>
        <w:rPr>
          <w:rFonts w:ascii="Times New Roman" w:cs="Times New Roman" w:eastAsia="Times New Roman" w:hAnsi="Times New Roman"/>
          <w:sz w:val="22"/>
          <w:szCs w:val="22"/>
          <w:color w:val="auto"/>
        </w:rPr>
        <w:t>”) for the purpose of registering an additional 5,396,525 ordinary shares of WalkMe Ltd.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i w:val="1"/>
          <w:iCs w:val="1"/>
          <w:color w:val="auto"/>
        </w:rPr>
        <w:t>Registrant</w:t>
      </w:r>
      <w:r>
        <w:rPr>
          <w:rFonts w:ascii="Times New Roman" w:cs="Times New Roman" w:eastAsia="Times New Roman" w:hAnsi="Times New Roman"/>
          <w:sz w:val="22"/>
          <w:szCs w:val="22"/>
          <w:color w:val="auto"/>
        </w:rPr>
        <w:t xml:space="preserve">”) issuable under the following employee benefit plans for which registration statements of the Company on Form S-8 (File Nos. </w:t>
      </w:r>
      <w:hyperlink r:id="rId17">
        <w:r>
          <w:rPr>
            <w:rFonts w:ascii="Times New Roman" w:cs="Times New Roman" w:eastAsia="Times New Roman" w:hAnsi="Times New Roman"/>
            <w:sz w:val="22"/>
            <w:szCs w:val="22"/>
            <w:u w:val="single" w:color="auto"/>
            <w:color w:val="0000EE"/>
          </w:rPr>
          <w:t>333-263823</w:t>
        </w:r>
        <w:r>
          <w:rPr>
            <w:rFonts w:ascii="Times New Roman" w:cs="Times New Roman" w:eastAsia="Times New Roman" w:hAnsi="Times New Roman"/>
            <w:sz w:val="22"/>
            <w:szCs w:val="22"/>
            <w:u w:val="single" w:color="auto"/>
            <w:color w:val="auto"/>
          </w:rPr>
          <w:t xml:space="preserve"> </w:t>
        </w:r>
      </w:hyperlink>
      <w:r>
        <w:rPr>
          <w:rFonts w:ascii="Times New Roman" w:cs="Times New Roman" w:eastAsia="Times New Roman" w:hAnsi="Times New Roman"/>
          <w:sz w:val="22"/>
          <w:szCs w:val="22"/>
          <w:color w:val="auto"/>
        </w:rPr>
        <w:t xml:space="preserve">and </w:t>
      </w:r>
      <w:hyperlink r:id="rId18">
        <w:r>
          <w:rPr>
            <w:rFonts w:ascii="Times New Roman" w:cs="Times New Roman" w:eastAsia="Times New Roman" w:hAnsi="Times New Roman"/>
            <w:sz w:val="22"/>
            <w:szCs w:val="22"/>
            <w:u w:val="single" w:color="auto"/>
            <w:color w:val="0000EE"/>
          </w:rPr>
          <w:t>333-257354</w:t>
        </w:r>
      </w:hyperlink>
      <w:r>
        <w:rPr>
          <w:rFonts w:ascii="Times New Roman" w:cs="Times New Roman" w:eastAsia="Times New Roman" w:hAnsi="Times New Roman"/>
          <w:sz w:val="22"/>
          <w:szCs w:val="22"/>
          <w:color w:val="auto"/>
        </w:rPr>
        <w:t>) are effective, including: (i) 4,339,004 ordinary shares issuable under the WalkMe Ltd. 2021 Share Incentive Plan (the “</w:t>
      </w:r>
      <w:r>
        <w:rPr>
          <w:rFonts w:ascii="Times New Roman" w:cs="Times New Roman" w:eastAsia="Times New Roman" w:hAnsi="Times New Roman"/>
          <w:sz w:val="22"/>
          <w:szCs w:val="22"/>
          <w:b w:val="1"/>
          <w:bCs w:val="1"/>
          <w:i w:val="1"/>
          <w:iCs w:val="1"/>
          <w:color w:val="auto"/>
        </w:rPr>
        <w:t>2021 Plan</w:t>
      </w:r>
      <w:r>
        <w:rPr>
          <w:rFonts w:ascii="Times New Roman" w:cs="Times New Roman" w:eastAsia="Times New Roman" w:hAnsi="Times New Roman"/>
          <w:sz w:val="22"/>
          <w:szCs w:val="22"/>
          <w:color w:val="auto"/>
        </w:rPr>
        <w:t>”) and (ii) 1,057,521 ordinary shares issuable under WalkMe Ltd. 2021 Employee Share Purchase Plan (the “</w:t>
      </w:r>
      <w:r>
        <w:rPr>
          <w:rFonts w:ascii="Times New Roman" w:cs="Times New Roman" w:eastAsia="Times New Roman" w:hAnsi="Times New Roman"/>
          <w:sz w:val="22"/>
          <w:szCs w:val="22"/>
          <w:b w:val="1"/>
          <w:bCs w:val="1"/>
          <w:i w:val="1"/>
          <w:iCs w:val="1"/>
          <w:color w:val="auto"/>
        </w:rPr>
        <w:t>2021 ESPP</w:t>
      </w:r>
      <w:r>
        <w:rPr>
          <w:rFonts w:ascii="Times New Roman" w:cs="Times New Roman" w:eastAsia="Times New Roman" w:hAnsi="Times New Roman"/>
          <w:sz w:val="22"/>
          <w:szCs w:val="22"/>
          <w:color w:val="auto"/>
        </w:rPr>
        <w:t>” and together with the 2021 Plan, the “</w:t>
      </w:r>
      <w:r>
        <w:rPr>
          <w:rFonts w:ascii="Times New Roman" w:cs="Times New Roman" w:eastAsia="Times New Roman" w:hAnsi="Times New Roman"/>
          <w:sz w:val="22"/>
          <w:szCs w:val="22"/>
          <w:b w:val="1"/>
          <w:bCs w:val="1"/>
          <w:i w:val="1"/>
          <w:iCs w:val="1"/>
          <w:color w:val="auto"/>
        </w:rPr>
        <w:t>Equity Plans</w:t>
      </w:r>
      <w:r>
        <w:rPr>
          <w:rFonts w:ascii="Times New Roman" w:cs="Times New Roman" w:eastAsia="Times New Roman" w:hAnsi="Times New Roman"/>
          <w:sz w:val="22"/>
          <w:szCs w:val="22"/>
          <w:color w:val="auto"/>
        </w:rPr>
        <w:t>”), representing an automatic increase effective as of January 1, 2023 pursuant to the Equity Plans.</w:t>
      </w:r>
    </w:p>
    <w:p>
      <w:pPr>
        <w:spacing w:after="0" w:line="240" w:lineRule="exact"/>
        <w:rPr>
          <w:sz w:val="20"/>
          <w:szCs w:val="20"/>
          <w:color w:val="auto"/>
        </w:rPr>
      </w:pPr>
    </w:p>
    <w:p>
      <w:pPr>
        <w:jc w:val="both"/>
        <w:spacing w:after="0" w:line="26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Pursuant to General Instruction E of Form S-8, the contents of the above-referenced prior registration statements on Form S-8 filed on March 24, 2022 (File No. </w:t>
      </w:r>
      <w:hyperlink r:id="rId17">
        <w:r>
          <w:rPr>
            <w:rFonts w:ascii="Times New Roman" w:cs="Times New Roman" w:eastAsia="Times New Roman" w:hAnsi="Times New Roman"/>
            <w:sz w:val="22"/>
            <w:szCs w:val="22"/>
            <w:u w:val="single" w:color="auto"/>
            <w:color w:val="0000EE"/>
          </w:rPr>
          <w:t>333-263823</w:t>
        </w:r>
      </w:hyperlink>
      <w:r>
        <w:rPr>
          <w:rFonts w:ascii="Times New Roman" w:cs="Times New Roman" w:eastAsia="Times New Roman" w:hAnsi="Times New Roman"/>
          <w:sz w:val="22"/>
          <w:szCs w:val="22"/>
          <w:color w:val="auto"/>
        </w:rPr>
        <w:t xml:space="preserve">) and June 24, 2021 (File No. </w:t>
      </w:r>
      <w:hyperlink r:id="rId18">
        <w:r>
          <w:rPr>
            <w:rFonts w:ascii="Times New Roman" w:cs="Times New Roman" w:eastAsia="Times New Roman" w:hAnsi="Times New Roman"/>
            <w:sz w:val="22"/>
            <w:szCs w:val="22"/>
            <w:u w:val="single" w:color="auto"/>
            <w:color w:val="0000EE"/>
          </w:rPr>
          <w:t>333-257354</w:t>
        </w:r>
      </w:hyperlink>
      <w:r>
        <w:rPr>
          <w:rFonts w:ascii="Times New Roman" w:cs="Times New Roman" w:eastAsia="Times New Roman" w:hAnsi="Times New Roman"/>
          <w:sz w:val="22"/>
          <w:szCs w:val="22"/>
          <w:color w:val="auto"/>
        </w:rPr>
        <w:t>) are incorporated into this Registration Statement by reference to the extent not modified or superseded hereby or by any subsequently filed document, which is incorporated by reference herein or therein, and the information required by Part II is omitted, except as supplemented by the information set forth below.</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II</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 Incorporation of Documents by Reference.</w:t>
      </w:r>
    </w:p>
    <w:p>
      <w:pPr>
        <w:spacing w:after="0" w:line="291" w:lineRule="exact"/>
        <w:rPr>
          <w:sz w:val="20"/>
          <w:szCs w:val="20"/>
          <w:color w:val="auto"/>
        </w:rPr>
      </w:pPr>
    </w:p>
    <w:p>
      <w:pPr>
        <w:jc w:val="both"/>
        <w:ind w:right="20" w:firstLine="648"/>
        <w:spacing w:after="0" w:line="270" w:lineRule="auto"/>
        <w:rPr>
          <w:sz w:val="20"/>
          <w:szCs w:val="20"/>
          <w:color w:val="auto"/>
        </w:rPr>
      </w:pPr>
      <w:r>
        <w:rPr>
          <w:rFonts w:ascii="Times New Roman" w:cs="Times New Roman" w:eastAsia="Times New Roman" w:hAnsi="Times New Roman"/>
          <w:sz w:val="22"/>
          <w:szCs w:val="22"/>
          <w:color w:val="auto"/>
        </w:rPr>
        <w:t>The following documents, which have been filed by the Company with the Commission pursuant to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are incorporated by reference in, and shall be deemed to be a part of, this Registration Statement:</w:t>
      </w:r>
    </w:p>
    <w:p>
      <w:pPr>
        <w:spacing w:after="0" w:line="226" w:lineRule="exact"/>
        <w:rPr>
          <w:sz w:val="20"/>
          <w:szCs w:val="20"/>
          <w:color w:val="auto"/>
        </w:rPr>
      </w:pPr>
    </w:p>
    <w:p>
      <w:pPr>
        <w:ind w:right="400" w:firstLine="656"/>
        <w:spacing w:after="0" w:line="284" w:lineRule="auto"/>
        <w:tabs>
          <w:tab w:leader="none" w:pos="906"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Company’s Annual Report on </w:t>
      </w:r>
      <w:hyperlink r:id="rId19">
        <w:r>
          <w:rPr>
            <w:rFonts w:ascii="Times New Roman" w:cs="Times New Roman" w:eastAsia="Times New Roman" w:hAnsi="Times New Roman"/>
            <w:sz w:val="22"/>
            <w:szCs w:val="22"/>
            <w:u w:val="single" w:color="auto"/>
            <w:color w:val="0000EE"/>
          </w:rPr>
          <w:t>Form 20-F</w:t>
        </w:r>
        <w:r>
          <w:rPr>
            <w:rFonts w:ascii="Times New Roman" w:cs="Times New Roman" w:eastAsia="Times New Roman" w:hAnsi="Times New Roman"/>
            <w:sz w:val="22"/>
            <w:szCs w:val="22"/>
            <w:u w:val="single" w:color="auto"/>
            <w:color w:val="auto"/>
          </w:rPr>
          <w:t xml:space="preserve"> </w:t>
        </w:r>
      </w:hyperlink>
      <w:r>
        <w:rPr>
          <w:rFonts w:ascii="Times New Roman" w:cs="Times New Roman" w:eastAsia="Times New Roman" w:hAnsi="Times New Roman"/>
          <w:sz w:val="22"/>
          <w:szCs w:val="22"/>
          <w:color w:val="auto"/>
        </w:rPr>
        <w:t>for the year ended December 31, 2022, filed with the Commission on March 14, 2023 (File No. 001-40490); and</w:t>
      </w:r>
    </w:p>
    <w:p>
      <w:pPr>
        <w:spacing w:after="0" w:line="211" w:lineRule="exact"/>
        <w:rPr>
          <w:rFonts w:ascii="Times New Roman" w:cs="Times New Roman" w:eastAsia="Times New Roman" w:hAnsi="Times New Roman"/>
          <w:sz w:val="22"/>
          <w:szCs w:val="22"/>
          <w:color w:val="auto"/>
        </w:rPr>
      </w:pPr>
    </w:p>
    <w:p>
      <w:pPr>
        <w:jc w:val="both"/>
        <w:ind w:firstLine="656"/>
        <w:spacing w:after="0" w:line="263" w:lineRule="auto"/>
        <w:tabs>
          <w:tab w:leader="none" w:pos="967"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description of the Registrant’s Ordinary Shares contained in the prospectus included in the Registrant’s registration statement on </w:t>
      </w:r>
      <w:hyperlink r:id="rId20">
        <w:r>
          <w:rPr>
            <w:rFonts w:ascii="Times New Roman" w:cs="Times New Roman" w:eastAsia="Times New Roman" w:hAnsi="Times New Roman"/>
            <w:sz w:val="22"/>
            <w:szCs w:val="22"/>
            <w:u w:val="single" w:color="auto"/>
            <w:color w:val="0000EE"/>
          </w:rPr>
          <w:t>Form F-1</w:t>
        </w:r>
        <w:r>
          <w:rPr>
            <w:rFonts w:ascii="Times New Roman" w:cs="Times New Roman" w:eastAsia="Times New Roman" w:hAnsi="Times New Roman"/>
            <w:sz w:val="22"/>
            <w:szCs w:val="22"/>
            <w:u w:val="single" w:color="auto"/>
            <w:color w:val="auto"/>
          </w:rPr>
          <w:t xml:space="preserve"> </w:t>
        </w:r>
      </w:hyperlink>
      <w:r>
        <w:rPr>
          <w:rFonts w:ascii="Times New Roman" w:cs="Times New Roman" w:eastAsia="Times New Roman" w:hAnsi="Times New Roman"/>
          <w:sz w:val="22"/>
          <w:szCs w:val="22"/>
          <w:color w:val="auto"/>
        </w:rPr>
        <w:t xml:space="preserve">originally filed with the Commission on May 17, 2021, as amended (File No. 333-256219), which description is incorporated by reference into the Registrant’s registration statement on </w:t>
      </w:r>
      <w:hyperlink r:id="rId21">
        <w:r>
          <w:rPr>
            <w:rFonts w:ascii="Times New Roman" w:cs="Times New Roman" w:eastAsia="Times New Roman" w:hAnsi="Times New Roman"/>
            <w:sz w:val="22"/>
            <w:szCs w:val="22"/>
            <w:u w:val="single" w:color="auto"/>
            <w:color w:val="0000EE"/>
          </w:rPr>
          <w:t>Form 8-A</w:t>
        </w:r>
        <w:r>
          <w:rPr>
            <w:rFonts w:ascii="Times New Roman" w:cs="Times New Roman" w:eastAsia="Times New Roman" w:hAnsi="Times New Roman"/>
            <w:sz w:val="22"/>
            <w:szCs w:val="22"/>
            <w:u w:val="single" w:color="auto"/>
            <w:color w:val="auto"/>
          </w:rPr>
          <w:t xml:space="preserve"> </w:t>
        </w:r>
      </w:hyperlink>
      <w:r>
        <w:rPr>
          <w:rFonts w:ascii="Times New Roman" w:cs="Times New Roman" w:eastAsia="Times New Roman" w:hAnsi="Times New Roman"/>
          <w:sz w:val="22"/>
          <w:szCs w:val="22"/>
          <w:color w:val="auto"/>
        </w:rPr>
        <w:t>(File No. 001-40490), filed by the Registrant with the Commission under Section 12(b) of the Exchange Act, on June 11, 2021, including any amendments or reports filed for the purpose of updating such description.</w:t>
      </w:r>
    </w:p>
    <w:p>
      <w:pPr>
        <w:spacing w:after="0" w:line="234" w:lineRule="exact"/>
        <w:rPr>
          <w:rFonts w:ascii="Times New Roman" w:cs="Times New Roman" w:eastAsia="Times New Roman" w:hAnsi="Times New Roman"/>
          <w:sz w:val="22"/>
          <w:szCs w:val="22"/>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All documents, reports and definitive proxy or information statements filed pursuant to Section 13(a), 13(c), 14 or 15(d) of the Exchange Act and certain Reports on Form 6-K furnished by the Registrant to the Commission (which indicate that they are incorporated herein by reference)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provided, however, that documents, reports and definitive proxy or information statements, or portions thereof, which are furnished and not filed in accordance with the rules of the Commission shall not be deemed incorporated by reference into this Registration Statement.</w:t>
      </w:r>
    </w:p>
    <w:p>
      <w:pPr>
        <w:spacing w:after="0" w:line="238" w:lineRule="exact"/>
        <w:rPr>
          <w:rFonts w:ascii="Times New Roman" w:cs="Times New Roman" w:eastAsia="Times New Roman" w:hAnsi="Times New Roman"/>
          <w:sz w:val="22"/>
          <w:szCs w:val="22"/>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Any statement contained in a document incorporated or deemed to be incorporated herein by reference shall be deemed to be modified or superseded for purposes of this Registration Statement to the extent that a statement herein or in any other subsequently filed document which also is or is deemed to be incorporated by reference herein modifies or supersedes that statement. Any such statement so modified or superseded shall not constitute a part of this Registration Statement, except as so modified or superseded.</w:t>
      </w:r>
    </w:p>
    <w:p>
      <w:pPr>
        <w:spacing w:after="0" w:line="20" w:lineRule="exact"/>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color w:val="auto"/>
        </w:rPr>
        <w:t>Item 8. Exhibits.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19"/>
                <w:szCs w:val="19"/>
                <w:color w:val="auto"/>
              </w:rPr>
            </w:pPr>
          </w:p>
        </w:tc>
        <w:tc>
          <w:tcPr>
            <w:tcW w:w="90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14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0" w:type="dxa"/>
            <w:vAlign w:val="bottom"/>
          </w:tcPr>
          <w:p>
            <w:pPr>
              <w:spacing w:after="0"/>
              <w:rPr>
                <w:sz w:val="1"/>
                <w:szCs w:val="1"/>
                <w:color w:val="auto"/>
              </w:rPr>
            </w:pPr>
          </w:p>
        </w:tc>
      </w:tr>
      <w:tr>
        <w:trPr>
          <w:trHeight w:val="238"/>
        </w:trPr>
        <w:tc>
          <w:tcPr>
            <w:tcW w:w="114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6140" w:type="dxa"/>
            <w:vAlign w:val="bottom"/>
            <w:gridSpan w:val="8"/>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4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r:id="rId23">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Amended and Restated Articles of Association of the Registrant (1)</w:t>
              </w:r>
            </w:hyperlink>
          </w:p>
        </w:tc>
        <w:tc>
          <w:tcPr>
            <w:tcW w:w="12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5"/>
              </w:rPr>
              <w:t>5.</w:t>
            </w:r>
            <w:r>
              <w:rPr>
                <w:rFonts w:ascii="Times New Roman" w:cs="Times New Roman" w:eastAsia="Times New Roman" w:hAnsi="Times New Roman"/>
                <w:sz w:val="18"/>
                <w:szCs w:val="18"/>
                <w:u w:val="single" w:color="auto"/>
                <w:color w:val="0000EE"/>
                <w:w w:val="95"/>
              </w:rPr>
              <w:t>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1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Opinion of Meitar | Law Offices as to the legality of the Registrant’s Ordinary Shares</w:t>
            </w:r>
          </w:p>
        </w:tc>
        <w:tc>
          <w:tcPr>
            <w:tcW w:w="0" w:type="dxa"/>
            <w:vAlign w:val="bottom"/>
          </w:tcPr>
          <w:p>
            <w:pPr>
              <w:spacing w:after="0"/>
              <w:rPr>
                <w:sz w:val="1"/>
                <w:szCs w:val="1"/>
                <w:color w:val="auto"/>
              </w:rPr>
            </w:pPr>
          </w:p>
        </w:tc>
      </w:tr>
      <w:tr>
        <w:trPr>
          <w:trHeight w:val="210"/>
        </w:trPr>
        <w:tc>
          <w:tcPr>
            <w:tcW w:w="4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23.</w:t>
            </w:r>
            <w:r>
              <w:rPr>
                <w:rFonts w:ascii="Times New Roman" w:cs="Times New Roman" w:eastAsia="Times New Roman" w:hAnsi="Times New Roman"/>
                <w:sz w:val="18"/>
                <w:szCs w:val="18"/>
                <w:u w:val="single" w:color="auto"/>
                <w:color w:val="0000EE"/>
                <w:w w:val="98"/>
              </w:rPr>
              <w:t>1*</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9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Consent of Kost, Forer, Gabbay and Kasierer, a member of Ernst &amp; Young Global</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8"/>
              </w:rPr>
              <w:t>23.</w:t>
            </w:r>
            <w:r>
              <w:rPr>
                <w:rFonts w:ascii="Times New Roman" w:cs="Times New Roman" w:eastAsia="Times New Roman" w:hAnsi="Times New Roman"/>
                <w:sz w:val="18"/>
                <w:szCs w:val="18"/>
                <w:u w:val="single" w:color="auto"/>
                <w:color w:val="0000EE"/>
                <w:w w:val="98"/>
              </w:rPr>
              <w:t>2*</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1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Consent of Meitar | Law Offices (included in Exhibit 5.1)</w:t>
            </w:r>
          </w:p>
        </w:tc>
        <w:tc>
          <w:tcPr>
            <w:tcW w:w="0" w:type="dxa"/>
            <w:vAlign w:val="bottom"/>
          </w:tcPr>
          <w:p>
            <w:pPr>
              <w:spacing w:after="0"/>
              <w:rPr>
                <w:sz w:val="1"/>
                <w:szCs w:val="1"/>
                <w:color w:val="auto"/>
              </w:rPr>
            </w:pPr>
          </w:p>
        </w:tc>
      </w:tr>
      <w:tr>
        <w:trPr>
          <w:trHeight w:val="20"/>
        </w:trPr>
        <w:tc>
          <w:tcPr>
            <w:tcW w:w="4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24.</w:t>
            </w:r>
            <w:r>
              <w:rPr>
                <w:rFonts w:ascii="Times New Roman" w:cs="Times New Roman" w:eastAsia="Times New Roman" w:hAnsi="Times New Roman"/>
                <w:sz w:val="18"/>
                <w:szCs w:val="18"/>
                <w:u w:val="single" w:color="auto"/>
                <w:color w:val="0000EE"/>
                <w:w w:val="98"/>
              </w:rPr>
              <w:t>1*</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9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Power of Attorney (included on the signature page of this Registration Statement)</w:t>
            </w:r>
          </w:p>
        </w:tc>
        <w:tc>
          <w:tcPr>
            <w:tcW w:w="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5"/>
              </w:rPr>
            </w:pPr>
            <w:hyperlink r:id="rId24">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hyperlink>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1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WalkMe Ltd. 2021 Share Incentive Plan (2)</w:t>
              </w:r>
            </w:hyperlink>
          </w:p>
        </w:tc>
        <w:tc>
          <w:tcPr>
            <w:tcW w:w="298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2"/>
          </w:tcPr>
          <w:p>
            <w:pPr>
              <w:spacing w:after="0"/>
              <w:rPr>
                <w:rFonts w:ascii="Times New Roman" w:cs="Times New Roman" w:eastAsia="Times New Roman" w:hAnsi="Times New Roman"/>
                <w:sz w:val="18"/>
                <w:szCs w:val="18"/>
                <w:color w:val="0000EE"/>
                <w:w w:val="95"/>
              </w:rPr>
            </w:pPr>
            <w:hyperlink r:id="rId25">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hyperlink>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140" w:type="dxa"/>
            <w:vAlign w:val="bottom"/>
            <w:gridSpan w:val="8"/>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WalkMe Ltd. 2021 Employee Share Purchase Plan (3)</w:t>
              </w:r>
            </w:hyperlink>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107.</w:t>
            </w:r>
            <w:r>
              <w:rPr>
                <w:rFonts w:ascii="Times New Roman" w:cs="Times New Roman" w:eastAsia="Times New Roman" w:hAnsi="Times New Roman"/>
                <w:sz w:val="18"/>
                <w:szCs w:val="18"/>
                <w:u w:val="single" w:color="auto"/>
                <w:color w:val="0000EE"/>
                <w:w w:val="96"/>
              </w:rPr>
              <w:t>1*</w:t>
            </w:r>
          </w:p>
        </w:tc>
        <w:tc>
          <w:tcPr>
            <w:tcW w:w="640" w:type="dxa"/>
            <w:vAlign w:val="bottom"/>
          </w:tcPr>
          <w:p>
            <w:pPr>
              <w:spacing w:after="0"/>
              <w:rPr>
                <w:sz w:val="18"/>
                <w:szCs w:val="18"/>
                <w:color w:val="auto"/>
              </w:rPr>
            </w:pPr>
          </w:p>
        </w:tc>
        <w:tc>
          <w:tcPr>
            <w:tcW w:w="11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Filing Fee Table</w:t>
            </w:r>
          </w:p>
        </w:tc>
        <w:tc>
          <w:tcPr>
            <w:tcW w:w="496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00" w:right="140" w:hanging="292"/>
        <w:spacing w:after="0" w:line="297" w:lineRule="auto"/>
        <w:tabs>
          <w:tab w:leader="none" w:pos="34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1.1 to the Registrant's Annual Report on Form 20-F (File No. 001-40490), filed with the Commission on March 14, 2023.</w:t>
      </w:r>
    </w:p>
    <w:p>
      <w:pPr>
        <w:spacing w:after="0" w:line="149" w:lineRule="exact"/>
        <w:rPr>
          <w:rFonts w:ascii="Times New Roman" w:cs="Times New Roman" w:eastAsia="Times New Roman" w:hAnsi="Times New Roman"/>
          <w:sz w:val="18"/>
          <w:szCs w:val="18"/>
          <w:color w:val="auto"/>
        </w:rPr>
      </w:pPr>
    </w:p>
    <w:p>
      <w:pPr>
        <w:ind w:left="300" w:hanging="292"/>
        <w:spacing w:after="0" w:line="297" w:lineRule="auto"/>
        <w:tabs>
          <w:tab w:leader="none" w:pos="34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10.2 to the Registrant’s Registration Statement on Form F-1 (File No. 333-256219), filed with the SEC on June 7, 2021.</w:t>
      </w:r>
    </w:p>
    <w:p>
      <w:pPr>
        <w:spacing w:after="0" w:line="149" w:lineRule="exact"/>
        <w:rPr>
          <w:rFonts w:ascii="Times New Roman" w:cs="Times New Roman" w:eastAsia="Times New Roman" w:hAnsi="Times New Roman"/>
          <w:sz w:val="18"/>
          <w:szCs w:val="18"/>
          <w:color w:val="auto"/>
        </w:rPr>
      </w:pPr>
    </w:p>
    <w:p>
      <w:pPr>
        <w:ind w:left="300" w:hanging="292"/>
        <w:spacing w:after="0" w:line="297" w:lineRule="auto"/>
        <w:tabs>
          <w:tab w:leader="none" w:pos="34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10.3 to the Registrant’s Registration Statement on Form F-1 (File No. 333-256219), filed with the SEC on June 7, 2021.</w:t>
      </w:r>
    </w:p>
    <w:p>
      <w:pPr>
        <w:spacing w:after="0" w:line="149" w:lineRule="exact"/>
        <w:rPr>
          <w:sz w:val="20"/>
          <w:szCs w:val="20"/>
          <w:color w:val="auto"/>
        </w:rPr>
      </w:pPr>
    </w:p>
    <w:p>
      <w:pPr>
        <w:ind w:left="300" w:hanging="292"/>
        <w:spacing w:after="0"/>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91"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22"/>
          <w:szCs w:val="22"/>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Tel Aviv, Israel, on this 14th day of March, 2023.</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WALKME LTD.</w:t>
      </w:r>
    </w:p>
    <w:p>
      <w:pPr>
        <w:spacing w:after="0" w:line="25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Dan Adika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26035</wp:posOffset>
            </wp:positionV>
            <wp:extent cx="141414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Name:Dan Adika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9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color w:val="auto"/>
        </w:rPr>
        <w:t>KNOW ALL PERSONS BY THESE PRESENTS that each person whose signature appears below hereby constitutes and appoints Dan Adika and Hagit Ynon and each of them, his or her true and lawful attorneys-in-fact and agents, with full power to act separately and full power of substitution and resubstitution, for him or her and in his or her name, place and stead, in any and all capacities, to sign any and all amendments (including post-effective amendments) to this registration statement, and to file the same, with all exhibits thereto, and all other documents in connection therewith, with the Securities and Exchange Commission, granting unto each said attorney-in-fact and agent full power and authority to do and perform each and every act in person, hereby ratifying and confirming all that said attorneys-in-fact and agents or either of them or his or her or their substitute or substitutes may lawfully do or cause to be done by virtue hereof.</w:t>
      </w:r>
    </w:p>
    <w:p>
      <w:pPr>
        <w:spacing w:after="0" w:line="238"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Act of 1933, this registration statement has been signed by the following persons in the capacities and on the date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60" w:type="dxa"/>
            <w:vAlign w:val="bottom"/>
            <w:gridSpan w:val="9"/>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8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72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18"/>
        </w:trPr>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gridSpan w:val="10"/>
          </w:tcPr>
          <w:p>
            <w:pPr>
              <w:jc w:val="center"/>
              <w:ind w:right="1520"/>
              <w:spacing w:after="0"/>
              <w:rPr>
                <w:sz w:val="20"/>
                <w:szCs w:val="20"/>
                <w:color w:val="auto"/>
              </w:rPr>
            </w:pPr>
            <w:r>
              <w:rPr>
                <w:rFonts w:ascii="Times New Roman" w:cs="Times New Roman" w:eastAsia="Times New Roman" w:hAnsi="Times New Roman"/>
                <w:sz w:val="18"/>
                <w:szCs w:val="18"/>
                <w:color w:val="auto"/>
                <w:w w:val="99"/>
              </w:rPr>
              <w:t>/s/ Dan Adika</w:t>
            </w:r>
          </w:p>
        </w:tc>
        <w:tc>
          <w:tcPr>
            <w:tcW w:w="4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72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March 14, 2023</w:t>
            </w:r>
          </w:p>
        </w:tc>
      </w:tr>
      <w:tr>
        <w:trPr>
          <w:trHeight w:val="250"/>
        </w:trPr>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Dan Adika</w:t>
            </w:r>
          </w:p>
        </w:tc>
        <w:tc>
          <w:tcPr>
            <w:tcW w:w="1520" w:type="dxa"/>
            <w:vAlign w:val="bottom"/>
            <w:gridSpan w:val="7"/>
          </w:tcPr>
          <w:p>
            <w:pPr>
              <w:spacing w:after="0"/>
              <w:rPr>
                <w:sz w:val="21"/>
                <w:szCs w:val="21"/>
                <w:color w:val="auto"/>
              </w:rPr>
            </w:pPr>
          </w:p>
        </w:tc>
        <w:tc>
          <w:tcPr>
            <w:tcW w:w="4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2720" w:type="dxa"/>
            <w:vAlign w:val="bottom"/>
          </w:tcPr>
          <w:p>
            <w:pPr>
              <w:spacing w:after="0"/>
              <w:rPr>
                <w:sz w:val="21"/>
                <w:szCs w:val="21"/>
                <w:color w:val="auto"/>
              </w:rPr>
            </w:pPr>
          </w:p>
        </w:tc>
      </w:tr>
      <w:tr>
        <w:trPr>
          <w:trHeight w:val="405"/>
        </w:trPr>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9"/>
              </w:rPr>
              <w:t>/s/ Hagit Ynon</w:t>
            </w:r>
          </w:p>
        </w:tc>
        <w:tc>
          <w:tcPr>
            <w:tcW w:w="1480" w:type="dxa"/>
            <w:vAlign w:val="bottom"/>
            <w:gridSpan w:val="5"/>
          </w:tcPr>
          <w:p>
            <w:pPr>
              <w:spacing w:after="0"/>
              <w:rPr>
                <w:sz w:val="24"/>
                <w:szCs w:val="24"/>
                <w:color w:val="auto"/>
              </w:rPr>
            </w:pPr>
          </w:p>
        </w:tc>
        <w:tc>
          <w:tcPr>
            <w:tcW w:w="4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72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March 14, 2023</w:t>
            </w:r>
          </w:p>
        </w:tc>
      </w:tr>
      <w:tr>
        <w:trPr>
          <w:trHeight w:val="232"/>
        </w:trPr>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60" w:type="dxa"/>
            <w:vAlign w:val="bottom"/>
            <w:gridSpan w:val="9"/>
          </w:tcPr>
          <w:p>
            <w:pPr>
              <w:jc w:val="center"/>
              <w:ind w:right="1580"/>
              <w:spacing w:after="0"/>
              <w:rPr>
                <w:sz w:val="20"/>
                <w:szCs w:val="20"/>
                <w:color w:val="auto"/>
              </w:rPr>
            </w:pPr>
            <w:r>
              <w:rPr>
                <w:rFonts w:ascii="Times New Roman" w:cs="Times New Roman" w:eastAsia="Times New Roman" w:hAnsi="Times New Roman"/>
                <w:sz w:val="18"/>
                <w:szCs w:val="18"/>
                <w:color w:val="auto"/>
                <w:w w:val="99"/>
              </w:rPr>
              <w:t>Hagit Ynon</w:t>
            </w:r>
          </w:p>
        </w:tc>
        <w:tc>
          <w:tcPr>
            <w:tcW w:w="4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(Principal Financial Officer and</w:t>
            </w:r>
          </w:p>
        </w:tc>
        <w:tc>
          <w:tcPr>
            <w:tcW w:w="2720" w:type="dxa"/>
            <w:vAlign w:val="bottom"/>
          </w:tcPr>
          <w:p>
            <w:pPr>
              <w:spacing w:after="0"/>
              <w:rPr>
                <w:sz w:val="20"/>
                <w:szCs w:val="20"/>
                <w:color w:val="auto"/>
              </w:rPr>
            </w:pPr>
          </w:p>
        </w:tc>
      </w:tr>
      <w:tr>
        <w:trPr>
          <w:trHeight w:val="234"/>
        </w:trPr>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720" w:type="dxa"/>
            <w:vAlign w:val="bottom"/>
          </w:tcPr>
          <w:p>
            <w:pPr>
              <w:spacing w:after="0"/>
              <w:rPr>
                <w:sz w:val="20"/>
                <w:szCs w:val="20"/>
                <w:color w:val="auto"/>
              </w:rPr>
            </w:pPr>
          </w:p>
        </w:tc>
      </w:tr>
      <w:tr>
        <w:trPr>
          <w:trHeight w:val="418"/>
        </w:trPr>
        <w:tc>
          <w:tcPr>
            <w:tcW w:w="3720" w:type="dxa"/>
            <w:vAlign w:val="bottom"/>
            <w:gridSpan w:val="16"/>
          </w:tcPr>
          <w:p>
            <w:pPr>
              <w:jc w:val="center"/>
              <w:ind w:right="320"/>
              <w:spacing w:after="0"/>
              <w:rPr>
                <w:sz w:val="20"/>
                <w:szCs w:val="20"/>
                <w:color w:val="auto"/>
              </w:rPr>
            </w:pPr>
            <w:r>
              <w:rPr>
                <w:rFonts w:ascii="Times New Roman" w:cs="Times New Roman" w:eastAsia="Times New Roman" w:hAnsi="Times New Roman"/>
                <w:sz w:val="18"/>
                <w:szCs w:val="18"/>
                <w:color w:val="auto"/>
                <w:w w:val="99"/>
              </w:rPr>
              <w:t>/s/ Michele Bettencourt</w:t>
            </w:r>
          </w:p>
        </w:tc>
        <w:tc>
          <w:tcPr>
            <w:tcW w:w="4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Chairperson of the Board</w:t>
            </w:r>
          </w:p>
        </w:tc>
        <w:tc>
          <w:tcPr>
            <w:tcW w:w="272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March 14, 2023</w:t>
            </w:r>
          </w:p>
        </w:tc>
      </w:tr>
      <w:tr>
        <w:trPr>
          <w:trHeight w:val="250"/>
        </w:trPr>
        <w:tc>
          <w:tcPr>
            <w:tcW w:w="860" w:type="dxa"/>
            <w:vAlign w:val="bottom"/>
          </w:tcPr>
          <w:p>
            <w:pPr>
              <w:spacing w:after="0"/>
              <w:rPr>
                <w:sz w:val="21"/>
                <w:szCs w:val="21"/>
                <w:color w:val="auto"/>
              </w:rPr>
            </w:pPr>
          </w:p>
        </w:tc>
        <w:tc>
          <w:tcPr>
            <w:tcW w:w="1680" w:type="dxa"/>
            <w:vAlign w:val="bottom"/>
            <w:tcBorders>
              <w:top w:val="single" w:sz="8" w:color="auto"/>
            </w:tcBorders>
            <w:gridSpan w:val="14"/>
          </w:tcPr>
          <w:p>
            <w:pPr>
              <w:jc w:val="center"/>
              <w:spacing w:after="0"/>
              <w:rPr>
                <w:sz w:val="20"/>
                <w:szCs w:val="20"/>
                <w:color w:val="auto"/>
              </w:rPr>
            </w:pPr>
            <w:r>
              <w:rPr>
                <w:rFonts w:ascii="Times New Roman" w:cs="Times New Roman" w:eastAsia="Times New Roman" w:hAnsi="Times New Roman"/>
                <w:sz w:val="18"/>
                <w:szCs w:val="18"/>
                <w:color w:val="auto"/>
              </w:rPr>
              <w:t>Michele Bettencourt</w:t>
            </w:r>
          </w:p>
        </w:tc>
        <w:tc>
          <w:tcPr>
            <w:tcW w:w="118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720" w:type="dxa"/>
            <w:vAlign w:val="bottom"/>
          </w:tcPr>
          <w:p>
            <w:pPr>
              <w:spacing w:after="0"/>
              <w:rPr>
                <w:sz w:val="21"/>
                <w:szCs w:val="21"/>
                <w:color w:val="auto"/>
              </w:rPr>
            </w:pPr>
          </w:p>
        </w:tc>
      </w:tr>
      <w:tr>
        <w:trPr>
          <w:trHeight w:val="405"/>
        </w:trPr>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gridSpan w:val="13"/>
          </w:tcPr>
          <w:p>
            <w:pPr>
              <w:jc w:val="center"/>
              <w:ind w:right="1380"/>
              <w:spacing w:after="0"/>
              <w:rPr>
                <w:sz w:val="20"/>
                <w:szCs w:val="20"/>
                <w:color w:val="auto"/>
              </w:rPr>
            </w:pPr>
            <w:r>
              <w:rPr>
                <w:rFonts w:ascii="Times New Roman" w:cs="Times New Roman" w:eastAsia="Times New Roman" w:hAnsi="Times New Roman"/>
                <w:sz w:val="18"/>
                <w:szCs w:val="18"/>
                <w:color w:val="auto"/>
                <w:w w:val="99"/>
              </w:rPr>
              <w:t>/s/ Haleli Barath</w:t>
            </w:r>
          </w:p>
        </w:tc>
        <w:tc>
          <w:tcPr>
            <w:tcW w:w="4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Director</w:t>
            </w:r>
          </w:p>
        </w:tc>
        <w:tc>
          <w:tcPr>
            <w:tcW w:w="272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March 14, 2023</w:t>
            </w:r>
          </w:p>
        </w:tc>
      </w:tr>
      <w:tr>
        <w:trPr>
          <w:trHeight w:val="250"/>
        </w:trPr>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6"/>
          </w:tcPr>
          <w:p>
            <w:pPr>
              <w:jc w:val="center"/>
              <w:ind w:right="100"/>
              <w:spacing w:after="0"/>
              <w:rPr>
                <w:sz w:val="20"/>
                <w:szCs w:val="20"/>
                <w:color w:val="auto"/>
              </w:rPr>
            </w:pPr>
            <w:r>
              <w:rPr>
                <w:rFonts w:ascii="Times New Roman" w:cs="Times New Roman" w:eastAsia="Times New Roman" w:hAnsi="Times New Roman"/>
                <w:sz w:val="18"/>
                <w:szCs w:val="18"/>
                <w:color w:val="auto"/>
                <w:w w:val="99"/>
              </w:rPr>
              <w:t>Haleli Barath</w:t>
            </w:r>
          </w:p>
        </w:tc>
        <w:tc>
          <w:tcPr>
            <w:tcW w:w="1420" w:type="dxa"/>
            <w:vAlign w:val="bottom"/>
            <w:gridSpan w:val="4"/>
          </w:tcPr>
          <w:p>
            <w:pPr>
              <w:spacing w:after="0"/>
              <w:rPr>
                <w:sz w:val="21"/>
                <w:szCs w:val="21"/>
                <w:color w:val="auto"/>
              </w:rPr>
            </w:pPr>
          </w:p>
        </w:tc>
        <w:tc>
          <w:tcPr>
            <w:tcW w:w="4800" w:type="dxa"/>
            <w:vAlign w:val="bottom"/>
          </w:tcPr>
          <w:p>
            <w:pPr>
              <w:spacing w:after="0"/>
              <w:rPr>
                <w:sz w:val="21"/>
                <w:szCs w:val="21"/>
                <w:color w:val="auto"/>
              </w:rPr>
            </w:pPr>
          </w:p>
        </w:tc>
        <w:tc>
          <w:tcPr>
            <w:tcW w:w="2720" w:type="dxa"/>
            <w:vAlign w:val="bottom"/>
          </w:tcPr>
          <w:p>
            <w:pPr>
              <w:spacing w:after="0"/>
              <w:rPr>
                <w:sz w:val="21"/>
                <w:szCs w:val="21"/>
                <w:color w:val="auto"/>
              </w:rPr>
            </w:pPr>
          </w:p>
        </w:tc>
      </w:tr>
      <w:tr>
        <w:trPr>
          <w:trHeight w:val="405"/>
        </w:trPr>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gridSpan w:val="13"/>
          </w:tcPr>
          <w:p>
            <w:pPr>
              <w:jc w:val="center"/>
              <w:ind w:right="1400"/>
              <w:spacing w:after="0"/>
              <w:rPr>
                <w:sz w:val="20"/>
                <w:szCs w:val="20"/>
                <w:color w:val="auto"/>
              </w:rPr>
            </w:pPr>
            <w:r>
              <w:rPr>
                <w:rFonts w:ascii="Times New Roman" w:cs="Times New Roman" w:eastAsia="Times New Roman" w:hAnsi="Times New Roman"/>
                <w:sz w:val="18"/>
                <w:szCs w:val="18"/>
                <w:color w:val="auto"/>
                <w:w w:val="99"/>
              </w:rPr>
              <w:t>/s/ Menashe Ezra</w:t>
            </w:r>
          </w:p>
        </w:tc>
        <w:tc>
          <w:tcPr>
            <w:tcW w:w="4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Director</w:t>
            </w:r>
          </w:p>
        </w:tc>
        <w:tc>
          <w:tcPr>
            <w:tcW w:w="272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March 14, 2023</w:t>
            </w:r>
          </w:p>
        </w:tc>
      </w:tr>
      <w:tr>
        <w:trPr>
          <w:trHeight w:val="250"/>
        </w:trPr>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gridSpan w:val="8"/>
          </w:tcPr>
          <w:p>
            <w:pPr>
              <w:jc w:val="center"/>
              <w:ind w:right="80"/>
              <w:spacing w:after="0"/>
              <w:rPr>
                <w:sz w:val="20"/>
                <w:szCs w:val="20"/>
                <w:color w:val="auto"/>
              </w:rPr>
            </w:pPr>
            <w:r>
              <w:rPr>
                <w:rFonts w:ascii="Times New Roman" w:cs="Times New Roman" w:eastAsia="Times New Roman" w:hAnsi="Times New Roman"/>
                <w:sz w:val="18"/>
                <w:szCs w:val="18"/>
                <w:color w:val="auto"/>
                <w:w w:val="99"/>
              </w:rPr>
              <w:t>Menashe Ezra</w:t>
            </w:r>
          </w:p>
        </w:tc>
        <w:tc>
          <w:tcPr>
            <w:tcW w:w="1400" w:type="dxa"/>
            <w:vAlign w:val="bottom"/>
            <w:gridSpan w:val="3"/>
          </w:tcPr>
          <w:p>
            <w:pPr>
              <w:spacing w:after="0"/>
              <w:rPr>
                <w:sz w:val="21"/>
                <w:szCs w:val="21"/>
                <w:color w:val="auto"/>
              </w:rPr>
            </w:pPr>
          </w:p>
        </w:tc>
        <w:tc>
          <w:tcPr>
            <w:tcW w:w="4800" w:type="dxa"/>
            <w:vAlign w:val="bottom"/>
          </w:tcPr>
          <w:p>
            <w:pPr>
              <w:spacing w:after="0"/>
              <w:rPr>
                <w:sz w:val="21"/>
                <w:szCs w:val="21"/>
                <w:color w:val="auto"/>
              </w:rPr>
            </w:pPr>
          </w:p>
        </w:tc>
        <w:tc>
          <w:tcPr>
            <w:tcW w:w="2720" w:type="dxa"/>
            <w:vAlign w:val="bottom"/>
          </w:tcPr>
          <w:p>
            <w:pPr>
              <w:spacing w:after="0"/>
              <w:rPr>
                <w:sz w:val="21"/>
                <w:szCs w:val="21"/>
                <w:color w:val="auto"/>
              </w:rPr>
            </w:pPr>
          </w:p>
        </w:tc>
      </w:tr>
      <w:tr>
        <w:trPr>
          <w:trHeight w:val="405"/>
        </w:trPr>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40" w:type="dxa"/>
            <w:vAlign w:val="bottom"/>
            <w:gridSpan w:val="11"/>
          </w:tcPr>
          <w:p>
            <w:pPr>
              <w:jc w:val="center"/>
              <w:ind w:right="1480"/>
              <w:spacing w:after="0"/>
              <w:rPr>
                <w:sz w:val="20"/>
                <w:szCs w:val="20"/>
                <w:color w:val="auto"/>
              </w:rPr>
            </w:pPr>
            <w:r>
              <w:rPr>
                <w:rFonts w:ascii="Times New Roman" w:cs="Times New Roman" w:eastAsia="Times New Roman" w:hAnsi="Times New Roman"/>
                <w:sz w:val="18"/>
                <w:szCs w:val="18"/>
                <w:color w:val="auto"/>
                <w:w w:val="99"/>
              </w:rPr>
              <w:t>/s/ Ron Gutler</w:t>
            </w:r>
          </w:p>
        </w:tc>
        <w:tc>
          <w:tcPr>
            <w:tcW w:w="4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Director</w:t>
            </w:r>
          </w:p>
        </w:tc>
        <w:tc>
          <w:tcPr>
            <w:tcW w:w="272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March 14, 2023</w:t>
            </w:r>
          </w:p>
        </w:tc>
      </w:tr>
      <w:tr>
        <w:trPr>
          <w:trHeight w:val="250"/>
        </w:trPr>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Ron Gutler</w:t>
            </w:r>
          </w:p>
        </w:tc>
        <w:tc>
          <w:tcPr>
            <w:tcW w:w="1500" w:type="dxa"/>
            <w:vAlign w:val="bottom"/>
            <w:gridSpan w:val="6"/>
          </w:tcPr>
          <w:p>
            <w:pPr>
              <w:spacing w:after="0"/>
              <w:rPr>
                <w:sz w:val="21"/>
                <w:szCs w:val="21"/>
                <w:color w:val="auto"/>
              </w:rPr>
            </w:pPr>
          </w:p>
        </w:tc>
        <w:tc>
          <w:tcPr>
            <w:tcW w:w="4800" w:type="dxa"/>
            <w:vAlign w:val="bottom"/>
          </w:tcPr>
          <w:p>
            <w:pPr>
              <w:spacing w:after="0"/>
              <w:rPr>
                <w:sz w:val="21"/>
                <w:szCs w:val="21"/>
                <w:color w:val="auto"/>
              </w:rPr>
            </w:pPr>
          </w:p>
        </w:tc>
        <w:tc>
          <w:tcPr>
            <w:tcW w:w="2720" w:type="dxa"/>
            <w:vAlign w:val="bottom"/>
          </w:tcPr>
          <w:p>
            <w:pPr>
              <w:spacing w:after="0"/>
              <w:rPr>
                <w:sz w:val="21"/>
                <w:szCs w:val="21"/>
                <w:color w:val="auto"/>
              </w:rPr>
            </w:pPr>
          </w:p>
        </w:tc>
      </w:tr>
      <w:tr>
        <w:trPr>
          <w:trHeight w:val="405"/>
        </w:trPr>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40" w:type="dxa"/>
            <w:vAlign w:val="bottom"/>
            <w:gridSpan w:val="11"/>
          </w:tcPr>
          <w:p>
            <w:pPr>
              <w:jc w:val="center"/>
              <w:ind w:right="1500"/>
              <w:spacing w:after="0"/>
              <w:rPr>
                <w:sz w:val="20"/>
                <w:szCs w:val="20"/>
                <w:color w:val="auto"/>
              </w:rPr>
            </w:pPr>
            <w:r>
              <w:rPr>
                <w:rFonts w:ascii="Times New Roman" w:cs="Times New Roman" w:eastAsia="Times New Roman" w:hAnsi="Times New Roman"/>
                <w:sz w:val="18"/>
                <w:szCs w:val="18"/>
                <w:color w:val="auto"/>
                <w:w w:val="99"/>
              </w:rPr>
              <w:t>/s/ Jeff Horing</w:t>
            </w:r>
          </w:p>
        </w:tc>
        <w:tc>
          <w:tcPr>
            <w:tcW w:w="4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Director</w:t>
            </w:r>
          </w:p>
        </w:tc>
        <w:tc>
          <w:tcPr>
            <w:tcW w:w="272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March 14, 2023</w:t>
            </w:r>
          </w:p>
        </w:tc>
      </w:tr>
      <w:tr>
        <w:trPr>
          <w:trHeight w:val="250"/>
        </w:trPr>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Jeff Horing</w:t>
            </w:r>
          </w:p>
        </w:tc>
        <w:tc>
          <w:tcPr>
            <w:tcW w:w="1500" w:type="dxa"/>
            <w:vAlign w:val="bottom"/>
            <w:gridSpan w:val="6"/>
          </w:tcPr>
          <w:p>
            <w:pPr>
              <w:spacing w:after="0"/>
              <w:rPr>
                <w:sz w:val="21"/>
                <w:szCs w:val="21"/>
                <w:color w:val="auto"/>
              </w:rPr>
            </w:pPr>
          </w:p>
        </w:tc>
        <w:tc>
          <w:tcPr>
            <w:tcW w:w="4800" w:type="dxa"/>
            <w:vAlign w:val="bottom"/>
          </w:tcPr>
          <w:p>
            <w:pPr>
              <w:spacing w:after="0"/>
              <w:rPr>
                <w:sz w:val="21"/>
                <w:szCs w:val="21"/>
                <w:color w:val="auto"/>
              </w:rPr>
            </w:pPr>
          </w:p>
        </w:tc>
        <w:tc>
          <w:tcPr>
            <w:tcW w:w="2720" w:type="dxa"/>
            <w:vAlign w:val="bottom"/>
          </w:tcPr>
          <w:p>
            <w:pPr>
              <w:spacing w:after="0"/>
              <w:rPr>
                <w:sz w:val="21"/>
                <w:szCs w:val="21"/>
                <w:color w:val="auto"/>
              </w:rPr>
            </w:pPr>
          </w:p>
        </w:tc>
      </w:tr>
      <w:tr>
        <w:trPr>
          <w:trHeight w:val="405"/>
        </w:trPr>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Borders>
              <w:bottom w:val="single" w:sz="8" w:color="auto"/>
            </w:tcBorders>
            <w:gridSpan w:val="12"/>
          </w:tcPr>
          <w:p>
            <w:pPr>
              <w:jc w:val="center"/>
              <w:spacing w:after="0"/>
              <w:rPr>
                <w:sz w:val="20"/>
                <w:szCs w:val="20"/>
                <w:color w:val="auto"/>
              </w:rPr>
            </w:pPr>
            <w:r>
              <w:rPr>
                <w:rFonts w:ascii="Times New Roman" w:cs="Times New Roman" w:eastAsia="Times New Roman" w:hAnsi="Times New Roman"/>
                <w:sz w:val="18"/>
                <w:szCs w:val="18"/>
                <w:color w:val="auto"/>
              </w:rPr>
              <w:t>/s/ Rory O’Driscoll</w:t>
            </w:r>
          </w:p>
        </w:tc>
        <w:tc>
          <w:tcPr>
            <w:tcW w:w="1320" w:type="dxa"/>
            <w:vAlign w:val="bottom"/>
            <w:gridSpan w:val="2"/>
          </w:tcPr>
          <w:p>
            <w:pPr>
              <w:spacing w:after="0"/>
              <w:rPr>
                <w:sz w:val="24"/>
                <w:szCs w:val="24"/>
                <w:color w:val="auto"/>
              </w:rPr>
            </w:pPr>
          </w:p>
        </w:tc>
        <w:tc>
          <w:tcPr>
            <w:tcW w:w="4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Director</w:t>
            </w:r>
          </w:p>
        </w:tc>
        <w:tc>
          <w:tcPr>
            <w:tcW w:w="272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March 14, 2023</w:t>
            </w:r>
          </w:p>
        </w:tc>
      </w:tr>
      <w:tr>
        <w:trPr>
          <w:trHeight w:val="250"/>
        </w:trPr>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0" w:type="dxa"/>
            <w:vAlign w:val="bottom"/>
            <w:gridSpan w:val="12"/>
          </w:tcPr>
          <w:p>
            <w:pPr>
              <w:jc w:val="center"/>
              <w:ind w:right="1440"/>
              <w:spacing w:after="0"/>
              <w:rPr>
                <w:sz w:val="20"/>
                <w:szCs w:val="20"/>
                <w:color w:val="auto"/>
              </w:rPr>
            </w:pPr>
            <w:r>
              <w:rPr>
                <w:rFonts w:ascii="Times New Roman" w:cs="Times New Roman" w:eastAsia="Times New Roman" w:hAnsi="Times New Roman"/>
                <w:sz w:val="18"/>
                <w:szCs w:val="18"/>
                <w:color w:val="auto"/>
                <w:w w:val="98"/>
              </w:rPr>
              <w:t>Rory O’Driscoll</w:t>
            </w:r>
          </w:p>
        </w:tc>
        <w:tc>
          <w:tcPr>
            <w:tcW w:w="4800" w:type="dxa"/>
            <w:vAlign w:val="bottom"/>
          </w:tcPr>
          <w:p>
            <w:pPr>
              <w:spacing w:after="0"/>
              <w:rPr>
                <w:sz w:val="21"/>
                <w:szCs w:val="21"/>
                <w:color w:val="auto"/>
              </w:rPr>
            </w:pPr>
          </w:p>
        </w:tc>
        <w:tc>
          <w:tcPr>
            <w:tcW w:w="2720" w:type="dxa"/>
            <w:vAlign w:val="bottom"/>
          </w:tcPr>
          <w:p>
            <w:pPr>
              <w:spacing w:after="0"/>
              <w:rPr>
                <w:sz w:val="21"/>
                <w:szCs w:val="21"/>
                <w:color w:val="auto"/>
              </w:rPr>
            </w:pPr>
          </w:p>
        </w:tc>
      </w:tr>
      <w:tr>
        <w:trPr>
          <w:trHeight w:val="441"/>
        </w:trPr>
        <w:tc>
          <w:tcPr>
            <w:tcW w:w="3720" w:type="dxa"/>
            <w:vAlign w:val="bottom"/>
            <w:gridSpan w:val="16"/>
          </w:tcPr>
          <w:p>
            <w:pPr>
              <w:jc w:val="center"/>
              <w:ind w:right="320"/>
              <w:spacing w:after="0"/>
              <w:rPr>
                <w:sz w:val="20"/>
                <w:szCs w:val="20"/>
                <w:color w:val="auto"/>
              </w:rPr>
            </w:pPr>
            <w:r>
              <w:rPr>
                <w:rFonts w:ascii="Times New Roman" w:cs="Times New Roman" w:eastAsia="Times New Roman" w:hAnsi="Times New Roman"/>
                <w:sz w:val="18"/>
                <w:szCs w:val="18"/>
                <w:color w:val="auto"/>
                <w:w w:val="99"/>
              </w:rPr>
              <w:t>____________________</w:t>
            </w:r>
          </w:p>
        </w:tc>
        <w:tc>
          <w:tcPr>
            <w:tcW w:w="4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Director</w:t>
            </w:r>
          </w:p>
        </w:tc>
        <w:tc>
          <w:tcPr>
            <w:tcW w:w="272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March 14, 2023</w:t>
            </w:r>
          </w:p>
        </w:tc>
      </w:tr>
      <w:tr>
        <w:trPr>
          <w:trHeight w:val="234"/>
        </w:trPr>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13"/>
          </w:tcPr>
          <w:p>
            <w:pPr>
              <w:jc w:val="center"/>
              <w:ind w:right="1380"/>
              <w:spacing w:after="0"/>
              <w:rPr>
                <w:sz w:val="20"/>
                <w:szCs w:val="20"/>
                <w:color w:val="auto"/>
              </w:rPr>
            </w:pPr>
            <w:r>
              <w:rPr>
                <w:rFonts w:ascii="Times New Roman" w:cs="Times New Roman" w:eastAsia="Times New Roman" w:hAnsi="Times New Roman"/>
                <w:sz w:val="18"/>
                <w:szCs w:val="18"/>
                <w:color w:val="auto"/>
                <w:w w:val="99"/>
              </w:rPr>
              <w:t>Michael Risman</w:t>
            </w:r>
          </w:p>
        </w:tc>
        <w:tc>
          <w:tcPr>
            <w:tcW w:w="480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391"/>
        </w:trPr>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60" w:type="dxa"/>
            <w:vAlign w:val="bottom"/>
            <w:gridSpan w:val="9"/>
          </w:tcPr>
          <w:p>
            <w:pPr>
              <w:jc w:val="center"/>
              <w:ind w:right="1580"/>
              <w:spacing w:after="0"/>
              <w:rPr>
                <w:sz w:val="20"/>
                <w:szCs w:val="20"/>
                <w:color w:val="auto"/>
              </w:rPr>
            </w:pPr>
            <w:r>
              <w:rPr>
                <w:rFonts w:ascii="Times New Roman" w:cs="Times New Roman" w:eastAsia="Times New Roman" w:hAnsi="Times New Roman"/>
                <w:sz w:val="18"/>
                <w:szCs w:val="18"/>
                <w:color w:val="auto"/>
                <w:w w:val="99"/>
              </w:rPr>
              <w:t>/s/ Roy Saar</w:t>
            </w:r>
          </w:p>
        </w:tc>
        <w:tc>
          <w:tcPr>
            <w:tcW w:w="4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Director</w:t>
            </w:r>
          </w:p>
        </w:tc>
        <w:tc>
          <w:tcPr>
            <w:tcW w:w="272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March 14, 2023</w:t>
            </w:r>
          </w:p>
        </w:tc>
      </w:tr>
      <w:tr>
        <w:trPr>
          <w:trHeight w:val="250"/>
        </w:trPr>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Roy Saar</w:t>
            </w:r>
          </w:p>
        </w:tc>
        <w:tc>
          <w:tcPr>
            <w:tcW w:w="1580" w:type="dxa"/>
            <w:vAlign w:val="bottom"/>
            <w:gridSpan w:val="8"/>
          </w:tcPr>
          <w:p>
            <w:pPr>
              <w:spacing w:after="0"/>
              <w:rPr>
                <w:sz w:val="21"/>
                <w:szCs w:val="21"/>
                <w:color w:val="auto"/>
              </w:rPr>
            </w:pPr>
          </w:p>
        </w:tc>
        <w:tc>
          <w:tcPr>
            <w:tcW w:w="4800" w:type="dxa"/>
            <w:vAlign w:val="bottom"/>
          </w:tcPr>
          <w:p>
            <w:pPr>
              <w:spacing w:after="0"/>
              <w:rPr>
                <w:sz w:val="21"/>
                <w:szCs w:val="21"/>
                <w:color w:val="auto"/>
              </w:rPr>
            </w:pPr>
          </w:p>
        </w:tc>
        <w:tc>
          <w:tcPr>
            <w:tcW w:w="2720" w:type="dxa"/>
            <w:vAlign w:val="bottom"/>
          </w:tcPr>
          <w:p>
            <w:pPr>
              <w:spacing w:after="0"/>
              <w:rPr>
                <w:sz w:val="21"/>
                <w:szCs w:val="21"/>
                <w:color w:val="auto"/>
              </w:rPr>
            </w:pPr>
          </w:p>
        </w:tc>
      </w:tr>
      <w:tr>
        <w:trPr>
          <w:trHeight w:val="427"/>
        </w:trPr>
        <w:tc>
          <w:tcPr>
            <w:tcW w:w="3720" w:type="dxa"/>
            <w:vAlign w:val="bottom"/>
            <w:gridSpan w:val="16"/>
          </w:tcPr>
          <w:p>
            <w:pPr>
              <w:jc w:val="center"/>
              <w:ind w:right="320"/>
              <w:spacing w:after="0"/>
              <w:rPr>
                <w:sz w:val="20"/>
                <w:szCs w:val="20"/>
                <w:color w:val="auto"/>
              </w:rPr>
            </w:pPr>
            <w:r>
              <w:rPr>
                <w:rFonts w:ascii="Times New Roman" w:cs="Times New Roman" w:eastAsia="Times New Roman" w:hAnsi="Times New Roman"/>
                <w:sz w:val="18"/>
                <w:szCs w:val="18"/>
                <w:color w:val="auto"/>
                <w:w w:val="99"/>
              </w:rPr>
              <w:t>____________________</w:t>
            </w:r>
          </w:p>
        </w:tc>
        <w:tc>
          <w:tcPr>
            <w:tcW w:w="4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Director</w:t>
            </w:r>
          </w:p>
        </w:tc>
        <w:tc>
          <w:tcPr>
            <w:tcW w:w="272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March 14, 2023</w:t>
            </w:r>
          </w:p>
        </w:tc>
      </w:tr>
      <w:tr>
        <w:trPr>
          <w:trHeight w:val="234"/>
        </w:trPr>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40" w:type="dxa"/>
            <w:vAlign w:val="bottom"/>
            <w:gridSpan w:val="11"/>
          </w:tcPr>
          <w:p>
            <w:pPr>
              <w:jc w:val="center"/>
              <w:ind w:right="1500"/>
              <w:spacing w:after="0"/>
              <w:rPr>
                <w:sz w:val="20"/>
                <w:szCs w:val="20"/>
                <w:color w:val="auto"/>
              </w:rPr>
            </w:pPr>
            <w:r>
              <w:rPr>
                <w:rFonts w:ascii="Times New Roman" w:cs="Times New Roman" w:eastAsia="Times New Roman" w:hAnsi="Times New Roman"/>
                <w:sz w:val="18"/>
                <w:szCs w:val="18"/>
                <w:color w:val="auto"/>
                <w:w w:val="98"/>
              </w:rPr>
              <w:t>Rafael Sweary</w:t>
            </w:r>
          </w:p>
        </w:tc>
        <w:tc>
          <w:tcPr>
            <w:tcW w:w="480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52"/>
        </w:trPr>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AUTHORIZED REPRESENTATIVE</w:t>
      </w:r>
    </w:p>
    <w:p>
      <w:pPr>
        <w:spacing w:after="0" w:line="29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Act of 1933, as amended, the undersigned, the duly authorized representative in the United States of WalkMe Ltd. has signed this registration statement on March 14,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WALKME, INC.</w:t>
      </w:r>
    </w:p>
    <w:p>
      <w:pPr>
        <w:spacing w:after="0" w:line="25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Paul Bradley Shinn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26035</wp:posOffset>
            </wp:positionV>
            <wp:extent cx="141414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Name:Paul Bradley Shinn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193675</wp:posOffset>
            </wp:positionV>
            <wp:extent cx="5400675" cy="8401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5400675"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March 14, 2023</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WalkMe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Walter Moses St.,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RE: </w:t>
      </w:r>
      <w:r>
        <w:rPr>
          <w:rFonts w:ascii="Times New Roman" w:cs="Times New Roman" w:eastAsia="Times New Roman" w:hAnsi="Times New Roman"/>
          <w:sz w:val="22"/>
          <w:szCs w:val="22"/>
          <w:b w:val="1"/>
          <w:bCs w:val="1"/>
          <w:u w:val="single" w:color="auto"/>
          <w:color w:val="auto"/>
        </w:rPr>
        <w:t>Registration on Form S-8</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83"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22"/>
          <w:szCs w:val="22"/>
          <w:color w:val="auto"/>
        </w:rPr>
        <w:t>We have acted as Israeli counsel to WalkMe Ltd., an Israeli company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in connection with its filing of a registration statement on Form S-8 on or about March 14, 2023 (the “</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 under the Securities Act of 1933, as amended (the “</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relating to the registration of (i) 4,339,004 additional ordinary shares, no par value (“</w:t>
      </w:r>
      <w:r>
        <w:rPr>
          <w:rFonts w:ascii="Times New Roman" w:cs="Times New Roman" w:eastAsia="Times New Roman" w:hAnsi="Times New Roman"/>
          <w:sz w:val="22"/>
          <w:szCs w:val="22"/>
          <w:b w:val="1"/>
          <w:bCs w:val="1"/>
          <w:color w:val="auto"/>
        </w:rPr>
        <w:t>Ordinary Shares</w:t>
      </w:r>
      <w:r>
        <w:rPr>
          <w:rFonts w:ascii="Times New Roman" w:cs="Times New Roman" w:eastAsia="Times New Roman" w:hAnsi="Times New Roman"/>
          <w:sz w:val="22"/>
          <w:szCs w:val="22"/>
          <w:color w:val="auto"/>
        </w:rPr>
        <w:t>”), of the Company reserved for issuance under the WalkMe Ltd. 2021 Share Incentive Plan (the “</w:t>
      </w:r>
      <w:r>
        <w:rPr>
          <w:rFonts w:ascii="Times New Roman" w:cs="Times New Roman" w:eastAsia="Times New Roman" w:hAnsi="Times New Roman"/>
          <w:sz w:val="22"/>
          <w:szCs w:val="22"/>
          <w:b w:val="1"/>
          <w:bCs w:val="1"/>
          <w:color w:val="auto"/>
        </w:rPr>
        <w:t>2021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resulting from an automatic annual increase as of January 1, 2023 and (ii) 1,057,521 additional Ordinary Shares reserved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issuance under the WalkMe Ltd. 2021 Employee Share Purchase Plan (the “</w:t>
      </w:r>
      <w:r>
        <w:rPr>
          <w:rFonts w:ascii="Times New Roman" w:cs="Times New Roman" w:eastAsia="Times New Roman" w:hAnsi="Times New Roman"/>
          <w:sz w:val="22"/>
          <w:szCs w:val="22"/>
          <w:b w:val="1"/>
          <w:bCs w:val="1"/>
          <w:color w:val="auto"/>
        </w:rPr>
        <w:t>ESPP</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color w:val="auto"/>
        </w:rPr>
        <w:t>Plans</w:t>
      </w:r>
      <w:r>
        <w:rPr>
          <w:rFonts w:ascii="Times New Roman" w:cs="Times New Roman" w:eastAsia="Times New Roman" w:hAnsi="Times New Roman"/>
          <w:sz w:val="22"/>
          <w:szCs w:val="22"/>
          <w:color w:val="auto"/>
        </w:rPr>
        <w:t>”) resulting from an automatic annual increase as of January 1, 2023.</w:t>
      </w:r>
    </w:p>
    <w:p>
      <w:pPr>
        <w:spacing w:after="0" w:line="23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22"/>
          <w:szCs w:val="22"/>
          <w:color w:val="auto"/>
        </w:rPr>
        <w:t>In our capacity as counsel to the Company, we have examined originals or copies, certified or otherwise identified to our satisfaction, of the Company’s (i) amended and restated articles of association (the “</w:t>
      </w:r>
      <w:r>
        <w:rPr>
          <w:rFonts w:ascii="Times New Roman" w:cs="Times New Roman" w:eastAsia="Times New Roman" w:hAnsi="Times New Roman"/>
          <w:sz w:val="22"/>
          <w:szCs w:val="22"/>
          <w:b w:val="1"/>
          <w:bCs w:val="1"/>
          <w:color w:val="auto"/>
        </w:rPr>
        <w:t>Articles</w:t>
      </w:r>
      <w:r>
        <w:rPr>
          <w:rFonts w:ascii="Times New Roman" w:cs="Times New Roman" w:eastAsia="Times New Roman" w:hAnsi="Times New Roman"/>
          <w:sz w:val="22"/>
          <w:szCs w:val="22"/>
          <w:color w:val="auto"/>
        </w:rPr>
        <w:t>”), (ii) the Plans, (iii) resolutions of the Company’s board of directors and (iv) other statements of corporate officers and other representatives of the Company and other documents provided to us by the Company as we have deemed necessary or appropriate as a basis for this opinion. In such examination, we have assumed the genuineness of all signatures, the legal capacity of natural persons, the authenticity of all documents submitted to us as originals and the conformity with the original documents of all documents submitted to us as copies or facsimiles. As to any facts material to this opinion, to the extent that we did not independently establish relevant facts, we have relied on certificates of public officials and certificates of officers or other representatives of the Company. We have also assumed the truth of all facts communicated to us by the Company and that all consents, minutes and protocols of meetings of the Company’s board of directors, which have been provided to us, are true and accurate and prepared in accordance with the Articles and all applicable laws. In addition, we have assumed that the Company will receive the full consideration for the Ordinary Shares (which may consist, in part or in full, of services performed for the Company).</w:t>
      </w:r>
    </w:p>
    <w:p>
      <w:pPr>
        <w:spacing w:after="0" w:line="247" w:lineRule="exact"/>
        <w:rPr>
          <w:sz w:val="20"/>
          <w:szCs w:val="20"/>
          <w:color w:val="auto"/>
        </w:rPr>
      </w:pPr>
    </w:p>
    <w:p>
      <w:pPr>
        <w:ind w:right="200" w:firstLine="324"/>
        <w:spacing w:after="0" w:line="284" w:lineRule="auto"/>
        <w:rPr>
          <w:sz w:val="20"/>
          <w:szCs w:val="20"/>
          <w:color w:val="auto"/>
        </w:rPr>
      </w:pPr>
      <w:r>
        <w:rPr>
          <w:rFonts w:ascii="Times New Roman" w:cs="Times New Roman" w:eastAsia="Times New Roman" w:hAnsi="Times New Roman"/>
          <w:sz w:val="22"/>
          <w:szCs w:val="22"/>
          <w:color w:val="auto"/>
        </w:rPr>
        <w:t>We are admitted to practice law in the State of Israel and the opinion expressed herein is expressly limited to the laws of the State of Israel.</w:t>
      </w:r>
    </w:p>
    <w:p>
      <w:pPr>
        <w:spacing w:after="0" w:line="211" w:lineRule="exact"/>
        <w:rPr>
          <w:sz w:val="20"/>
          <w:szCs w:val="20"/>
          <w:color w:val="auto"/>
        </w:rPr>
      </w:pPr>
    </w:p>
    <w:p>
      <w:pPr>
        <w:ind w:right="20" w:firstLine="324"/>
        <w:spacing w:after="0" w:line="265" w:lineRule="auto"/>
        <w:rPr>
          <w:sz w:val="20"/>
          <w:szCs w:val="20"/>
          <w:color w:val="auto"/>
        </w:rPr>
      </w:pPr>
      <w:r>
        <w:rPr>
          <w:rFonts w:ascii="Times New Roman" w:cs="Times New Roman" w:eastAsia="Times New Roman" w:hAnsi="Times New Roman"/>
          <w:sz w:val="22"/>
          <w:szCs w:val="22"/>
          <w:color w:val="auto"/>
        </w:rPr>
        <w:t>On the basis of the foregoing, we are of the opinion that the Ordinary Shares being registered pursuant to the Registration Statement, when issued and paid for in accordance with the respective Plan, pursuant to agreements with respect to the respective Plan and, as the case may be, pursuant to the terms of the awards that have been or may be granted under the respective Plan, will be validly issued, fully paid and non-assessable.</w:t>
      </w:r>
    </w:p>
    <w:p>
      <w:pPr>
        <w:spacing w:after="0" w:line="233" w:lineRule="exact"/>
        <w:rPr>
          <w:sz w:val="20"/>
          <w:szCs w:val="20"/>
          <w:color w:val="auto"/>
        </w:rPr>
      </w:pPr>
    </w:p>
    <w:p>
      <w:pPr>
        <w:ind w:right="160" w:firstLine="324"/>
        <w:spacing w:after="0" w:line="265" w:lineRule="auto"/>
        <w:rPr>
          <w:sz w:val="20"/>
          <w:szCs w:val="20"/>
          <w:color w:val="auto"/>
        </w:rPr>
      </w:pPr>
      <w:r>
        <w:rPr>
          <w:rFonts w:ascii="Times New Roman" w:cs="Times New Roman" w:eastAsia="Times New Roman" w:hAnsi="Times New Roman"/>
          <w:sz w:val="22"/>
          <w:szCs w:val="22"/>
          <w:color w:val="auto"/>
        </w:rPr>
        <w:t>We hereby consent to the filing of this opinion as an exhibit to the Registration Statement. In giving this opinion and such consent, we do not admit that we are within the category of persons whose consent is required under Section 7 of the Securities Act, the rules and regulations of the Securities and Exchange Commission promulgated thereunder or Item 509 of Regulation S-K promulgated under the Securities Act.</w:t>
      </w:r>
    </w:p>
    <w:p>
      <w:pPr>
        <w:spacing w:after="0" w:line="233" w:lineRule="exact"/>
        <w:rPr>
          <w:sz w:val="20"/>
          <w:szCs w:val="20"/>
          <w:color w:val="auto"/>
        </w:rPr>
      </w:pPr>
    </w:p>
    <w:p>
      <w:pPr>
        <w:ind w:right="180" w:firstLine="324"/>
        <w:spacing w:after="0" w:line="270" w:lineRule="auto"/>
        <w:rPr>
          <w:sz w:val="20"/>
          <w:szCs w:val="20"/>
          <w:color w:val="auto"/>
        </w:rPr>
      </w:pPr>
      <w:r>
        <w:rPr>
          <w:rFonts w:ascii="Times New Roman" w:cs="Times New Roman" w:eastAsia="Times New Roman" w:hAnsi="Times New Roman"/>
          <w:sz w:val="22"/>
          <w:szCs w:val="22"/>
          <w:color w:val="auto"/>
        </w:rPr>
        <w:t>This opinion letter is rendered as of the date hereof and we disclaim any obligation to advise you of facts, circumstances, events or developments that may be brought to our attention after the effective date of the Registration Statement that may alter, affect or modify the opinions expressed herein.</w:t>
      </w:r>
    </w:p>
    <w:p>
      <w:pPr>
        <w:spacing w:after="0" w:line="2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ectPr>
          <w:pgSz w:w="11900" w:h="16838" w:orient="portrait"/>
          <w:cols w:equalWidth="0" w:num="1">
            <w:col w:w="11240"/>
          </w:cols>
          <w:pgMar w:left="320" w:top="432" w:right="339" w:bottom="152" w:gutter="0" w:footer="0" w:header="0"/>
        </w:sectPr>
      </w:pPr>
    </w:p>
    <w:p>
      <w:pPr>
        <w:spacing w:after="0" w:line="2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/s/ Meitar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27305</wp:posOffset>
            </wp:positionV>
            <wp:extent cx="142303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42303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361315</wp:posOffset>
            </wp:positionV>
            <wp:extent cx="713232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38" w:orient="portrait"/>
          <w:cols w:equalWidth="0" w:num="1">
            <w:col w:w="11240"/>
          </w:cols>
          <w:pgMar w:left="320" w:top="432" w:right="339" w:bottom="152" w:gutter="0" w:footer="0" w:header="0"/>
          <w:type w:val="continuous"/>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t>Exhibit 107.1</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S-8</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Type)</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WALKME LTD.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Table 1: Newly Registered Securities</w:t>
      </w:r>
    </w:p>
    <w:p>
      <w:pPr>
        <w:spacing w:after="0" w:line="285"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1140" w:type="dxa"/>
            <w:vAlign w:val="bottom"/>
            <w:tcBorders>
              <w:top w:val="single" w:sz="8" w:color="auto"/>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Plan</w:t>
            </w:r>
          </w:p>
        </w:tc>
        <w:tc>
          <w:tcPr>
            <w:tcW w:w="980" w:type="dxa"/>
            <w:vAlign w:val="bottom"/>
            <w:tcBorders>
              <w:top w:val="single" w:sz="8" w:color="auto"/>
              <w:right w:val="single" w:sz="8" w:color="auto"/>
            </w:tcBorders>
          </w:tcPr>
          <w:p>
            <w:pPr>
              <w:spacing w:after="0"/>
              <w:rPr>
                <w:sz w:val="23"/>
                <w:szCs w:val="23"/>
                <w:color w:val="auto"/>
              </w:rPr>
            </w:pPr>
          </w:p>
        </w:tc>
        <w:tc>
          <w:tcPr>
            <w:tcW w:w="1000" w:type="dxa"/>
            <w:vAlign w:val="bottom"/>
            <w:tcBorders>
              <w:top w:val="single" w:sz="8" w:color="auto"/>
              <w:right w:val="single" w:sz="8" w:color="auto"/>
            </w:tcBorders>
          </w:tcPr>
          <w:p>
            <w:pPr>
              <w:spacing w:after="0"/>
              <w:rPr>
                <w:sz w:val="23"/>
                <w:szCs w:val="23"/>
                <w:color w:val="auto"/>
              </w:rPr>
            </w:pPr>
          </w:p>
        </w:tc>
        <w:tc>
          <w:tcPr>
            <w:tcW w:w="1320" w:type="dxa"/>
            <w:vAlign w:val="bottom"/>
            <w:tcBorders>
              <w:top w:val="single" w:sz="8" w:color="auto"/>
              <w:right w:val="single" w:sz="8" w:color="auto"/>
            </w:tcBorders>
          </w:tcPr>
          <w:p>
            <w:pPr>
              <w:spacing w:after="0"/>
              <w:rPr>
                <w:sz w:val="23"/>
                <w:szCs w:val="23"/>
                <w:color w:val="auto"/>
              </w:rPr>
            </w:pPr>
          </w:p>
        </w:tc>
        <w:tc>
          <w:tcPr>
            <w:tcW w:w="1240" w:type="dxa"/>
            <w:vAlign w:val="bottom"/>
            <w:tcBorders>
              <w:top w:val="single" w:sz="8" w:color="auto"/>
              <w:right w:val="single" w:sz="8" w:color="auto"/>
            </w:tcBorders>
          </w:tcPr>
          <w:p>
            <w:pPr>
              <w:spacing w:after="0"/>
              <w:rPr>
                <w:sz w:val="23"/>
                <w:szCs w:val="23"/>
                <w:color w:val="auto"/>
              </w:rPr>
            </w:pPr>
          </w:p>
        </w:tc>
        <w:tc>
          <w:tcPr>
            <w:tcW w:w="1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920" w:type="dxa"/>
            <w:vAlign w:val="bottom"/>
            <w:tcBorders>
              <w:top w:val="single" w:sz="8" w:color="auto"/>
              <w:right w:val="single" w:sz="8" w:color="auto"/>
            </w:tcBorders>
          </w:tcPr>
          <w:p>
            <w:pPr>
              <w:spacing w:after="0"/>
              <w:rPr>
                <w:sz w:val="23"/>
                <w:szCs w:val="23"/>
                <w:color w:val="auto"/>
              </w:rPr>
            </w:pPr>
          </w:p>
        </w:tc>
        <w:tc>
          <w:tcPr>
            <w:tcW w:w="940" w:type="dxa"/>
            <w:vAlign w:val="bottom"/>
            <w:tcBorders>
              <w:top w:val="single" w:sz="8" w:color="auto"/>
              <w:right w:val="single" w:sz="8" w:color="auto"/>
            </w:tcBorders>
          </w:tcPr>
          <w:p>
            <w:pPr>
              <w:spacing w:after="0"/>
              <w:rPr>
                <w:sz w:val="23"/>
                <w:szCs w:val="23"/>
                <w:color w:val="auto"/>
              </w:rPr>
            </w:pPr>
          </w:p>
        </w:tc>
        <w:tc>
          <w:tcPr>
            <w:tcW w:w="140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9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40" w:type="dxa"/>
            <w:vAlign w:val="bottom"/>
            <w:tcBorders>
              <w:left w:val="single" w:sz="8" w:color="auto"/>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192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9"/>
        </w:trPr>
        <w:tc>
          <w:tcPr>
            <w:tcW w:w="1140" w:type="dxa"/>
            <w:vAlign w:val="bottom"/>
            <w:tcBorders>
              <w:left w:val="single" w:sz="8" w:color="auto"/>
              <w:right w:val="single" w:sz="8" w:color="auto"/>
            </w:tcBorders>
          </w:tcPr>
          <w:p>
            <w:pPr>
              <w:spacing w:after="0"/>
              <w:rPr>
                <w:sz w:val="5"/>
                <w:szCs w:val="5"/>
                <w:color w:val="auto"/>
              </w:rPr>
            </w:pPr>
          </w:p>
        </w:tc>
        <w:tc>
          <w:tcPr>
            <w:tcW w:w="98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100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Fee Calculation</w:t>
            </w:r>
          </w:p>
        </w:tc>
        <w:tc>
          <w:tcPr>
            <w:tcW w:w="1240" w:type="dxa"/>
            <w:vAlign w:val="bottom"/>
            <w:tcBorders>
              <w:right w:val="single" w:sz="8" w:color="auto"/>
            </w:tcBorders>
            <w:vMerge w:val="continue"/>
          </w:tcPr>
          <w:p>
            <w:pPr>
              <w:spacing w:after="0"/>
              <w:rPr>
                <w:sz w:val="5"/>
                <w:szCs w:val="5"/>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Per Unit</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Maximum Aggregate</w:t>
            </w:r>
          </w:p>
        </w:tc>
        <w:tc>
          <w:tcPr>
            <w:tcW w:w="94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0" w:type="dxa"/>
            <w:vAlign w:val="bottom"/>
          </w:tcPr>
          <w:p>
            <w:pPr>
              <w:spacing w:after="0"/>
              <w:rPr>
                <w:sz w:val="1"/>
                <w:szCs w:val="1"/>
                <w:color w:val="auto"/>
              </w:rPr>
            </w:pPr>
          </w:p>
        </w:tc>
      </w:tr>
      <w:tr>
        <w:trPr>
          <w:trHeight w:val="152"/>
        </w:trPr>
        <w:tc>
          <w:tcPr>
            <w:tcW w:w="1140" w:type="dxa"/>
            <w:vAlign w:val="bottom"/>
            <w:tcBorders>
              <w:left w:val="single" w:sz="8" w:color="auto"/>
              <w:right w:val="single" w:sz="8" w:color="auto"/>
            </w:tcBorders>
          </w:tcPr>
          <w:p>
            <w:pPr>
              <w:spacing w:after="0"/>
              <w:rPr>
                <w:sz w:val="13"/>
                <w:szCs w:val="13"/>
                <w:color w:val="auto"/>
              </w:rPr>
            </w:pPr>
          </w:p>
        </w:tc>
        <w:tc>
          <w:tcPr>
            <w:tcW w:w="980" w:type="dxa"/>
            <w:vAlign w:val="bottom"/>
            <w:tcBorders>
              <w:right w:val="single" w:sz="8" w:color="auto"/>
            </w:tcBorders>
            <w:vMerge w:val="continue"/>
          </w:tcPr>
          <w:p>
            <w:pPr>
              <w:spacing w:after="0"/>
              <w:rPr>
                <w:sz w:val="13"/>
                <w:szCs w:val="13"/>
                <w:color w:val="auto"/>
              </w:rPr>
            </w:pPr>
          </w:p>
        </w:tc>
        <w:tc>
          <w:tcPr>
            <w:tcW w:w="1000" w:type="dxa"/>
            <w:vAlign w:val="bottom"/>
            <w:tcBorders>
              <w:right w:val="single" w:sz="8" w:color="auto"/>
            </w:tcBorders>
            <w:vMerge w:val="continue"/>
          </w:tcPr>
          <w:p>
            <w:pPr>
              <w:spacing w:after="0"/>
              <w:rPr>
                <w:sz w:val="13"/>
                <w:szCs w:val="13"/>
                <w:color w:val="auto"/>
              </w:rPr>
            </w:pPr>
          </w:p>
        </w:tc>
        <w:tc>
          <w:tcPr>
            <w:tcW w:w="1320" w:type="dxa"/>
            <w:vAlign w:val="bottom"/>
            <w:tcBorders>
              <w:right w:val="single" w:sz="8" w:color="auto"/>
            </w:tcBorders>
            <w:vMerge w:val="continue"/>
          </w:tcPr>
          <w:p>
            <w:pPr>
              <w:spacing w:after="0"/>
              <w:rPr>
                <w:sz w:val="13"/>
                <w:szCs w:val="13"/>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300" w:type="dxa"/>
            <w:vAlign w:val="bottom"/>
            <w:tcBorders>
              <w:right w:val="single" w:sz="8" w:color="auto"/>
            </w:tcBorders>
            <w:vMerge w:val="continue"/>
          </w:tcPr>
          <w:p>
            <w:pPr>
              <w:spacing w:after="0"/>
              <w:rPr>
                <w:sz w:val="13"/>
                <w:szCs w:val="13"/>
                <w:color w:val="auto"/>
              </w:rPr>
            </w:pPr>
          </w:p>
        </w:tc>
        <w:tc>
          <w:tcPr>
            <w:tcW w:w="1920" w:type="dxa"/>
            <w:vAlign w:val="bottom"/>
            <w:tcBorders>
              <w:right w:val="single" w:sz="8" w:color="auto"/>
            </w:tcBorders>
            <w:vMerge w:val="continue"/>
          </w:tcPr>
          <w:p>
            <w:pPr>
              <w:spacing w:after="0"/>
              <w:rPr>
                <w:sz w:val="13"/>
                <w:szCs w:val="13"/>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4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140" w:type="dxa"/>
            <w:vAlign w:val="bottom"/>
            <w:tcBorders>
              <w:left w:val="single" w:sz="8" w:color="auto"/>
              <w:right w:val="single" w:sz="8" w:color="auto"/>
            </w:tcBorders>
          </w:tcPr>
          <w:p>
            <w:pPr>
              <w:spacing w:after="0"/>
              <w:rPr>
                <w:sz w:val="4"/>
                <w:szCs w:val="4"/>
                <w:color w:val="auto"/>
              </w:rPr>
            </w:pPr>
          </w:p>
        </w:tc>
        <w:tc>
          <w:tcPr>
            <w:tcW w:w="98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Type</w:t>
            </w:r>
          </w:p>
        </w:tc>
        <w:tc>
          <w:tcPr>
            <w:tcW w:w="10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Class Title</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240" w:type="dxa"/>
            <w:vAlign w:val="bottom"/>
            <w:tcBorders>
              <w:right w:val="single" w:sz="8" w:color="auto"/>
            </w:tcBorders>
            <w:vMerge w:val="continue"/>
          </w:tcPr>
          <w:p>
            <w:pPr>
              <w:spacing w:after="0"/>
              <w:rPr>
                <w:sz w:val="4"/>
                <w:szCs w:val="4"/>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(2)</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Offering Price</w:t>
            </w:r>
          </w:p>
        </w:tc>
        <w:tc>
          <w:tcPr>
            <w:tcW w:w="940" w:type="dxa"/>
            <w:vAlign w:val="bottom"/>
            <w:tcBorders>
              <w:right w:val="single" w:sz="8" w:color="auto"/>
            </w:tcBorders>
            <w:vMerge w:val="continue"/>
          </w:tcPr>
          <w:p>
            <w:pPr>
              <w:spacing w:after="0"/>
              <w:rPr>
                <w:sz w:val="4"/>
                <w:szCs w:val="4"/>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Registration Fee</w:t>
            </w:r>
          </w:p>
        </w:tc>
        <w:tc>
          <w:tcPr>
            <w:tcW w:w="0" w:type="dxa"/>
            <w:vAlign w:val="bottom"/>
          </w:tcPr>
          <w:p>
            <w:pPr>
              <w:spacing w:after="0"/>
              <w:rPr>
                <w:sz w:val="1"/>
                <w:szCs w:val="1"/>
                <w:color w:val="auto"/>
              </w:rPr>
            </w:pPr>
          </w:p>
        </w:tc>
      </w:tr>
      <w:tr>
        <w:trPr>
          <w:trHeight w:val="198"/>
        </w:trPr>
        <w:tc>
          <w:tcPr>
            <w:tcW w:w="1140" w:type="dxa"/>
            <w:vAlign w:val="bottom"/>
            <w:tcBorders>
              <w:left w:val="single" w:sz="8" w:color="auto"/>
              <w:right w:val="single" w:sz="8" w:color="auto"/>
            </w:tcBorders>
          </w:tcPr>
          <w:p>
            <w:pPr>
              <w:spacing w:after="0"/>
              <w:rPr>
                <w:sz w:val="17"/>
                <w:szCs w:val="17"/>
                <w:color w:val="auto"/>
              </w:rPr>
            </w:pPr>
          </w:p>
        </w:tc>
        <w:tc>
          <w:tcPr>
            <w:tcW w:w="980" w:type="dxa"/>
            <w:vAlign w:val="bottom"/>
            <w:tcBorders>
              <w:right w:val="single" w:sz="8" w:color="auto"/>
            </w:tcBorders>
            <w:vMerge w:val="continue"/>
          </w:tcPr>
          <w:p>
            <w:pPr>
              <w:spacing w:after="0"/>
              <w:rPr>
                <w:sz w:val="17"/>
                <w:szCs w:val="17"/>
                <w:color w:val="auto"/>
              </w:rPr>
            </w:pPr>
          </w:p>
        </w:tc>
        <w:tc>
          <w:tcPr>
            <w:tcW w:w="1000" w:type="dxa"/>
            <w:vAlign w:val="bottom"/>
            <w:tcBorders>
              <w:right w:val="single" w:sz="8" w:color="auto"/>
            </w:tcBorders>
            <w:vMerge w:val="continue"/>
          </w:tcPr>
          <w:p>
            <w:pPr>
              <w:spacing w:after="0"/>
              <w:rPr>
                <w:sz w:val="17"/>
                <w:szCs w:val="17"/>
                <w:color w:val="auto"/>
              </w:rPr>
            </w:pPr>
          </w:p>
        </w:tc>
        <w:tc>
          <w:tcPr>
            <w:tcW w:w="1320" w:type="dxa"/>
            <w:vAlign w:val="bottom"/>
            <w:tcBorders>
              <w:right w:val="single" w:sz="8" w:color="auto"/>
            </w:tcBorders>
            <w:vMerge w:val="continue"/>
          </w:tcPr>
          <w:p>
            <w:pPr>
              <w:spacing w:after="0"/>
              <w:rPr>
                <w:sz w:val="17"/>
                <w:szCs w:val="17"/>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(1)(3)</w:t>
            </w:r>
          </w:p>
        </w:tc>
        <w:tc>
          <w:tcPr>
            <w:tcW w:w="1300" w:type="dxa"/>
            <w:vAlign w:val="bottom"/>
            <w:tcBorders>
              <w:right w:val="single" w:sz="8" w:color="auto"/>
            </w:tcBorders>
            <w:vMerge w:val="continue"/>
          </w:tcPr>
          <w:p>
            <w:pPr>
              <w:spacing w:after="0"/>
              <w:rPr>
                <w:sz w:val="17"/>
                <w:szCs w:val="17"/>
                <w:color w:val="auto"/>
              </w:rPr>
            </w:pPr>
          </w:p>
        </w:tc>
        <w:tc>
          <w:tcPr>
            <w:tcW w:w="1920" w:type="dxa"/>
            <w:vAlign w:val="bottom"/>
            <w:tcBorders>
              <w:right w:val="single" w:sz="8" w:color="auto"/>
            </w:tcBorders>
            <w:vMerge w:val="continue"/>
          </w:tcPr>
          <w:p>
            <w:pPr>
              <w:spacing w:after="0"/>
              <w:rPr>
                <w:sz w:val="17"/>
                <w:szCs w:val="17"/>
                <w:color w:val="auto"/>
              </w:rPr>
            </w:pPr>
          </w:p>
        </w:tc>
        <w:tc>
          <w:tcPr>
            <w:tcW w:w="940" w:type="dxa"/>
            <w:vAlign w:val="bottom"/>
            <w:tcBorders>
              <w:right w:val="single" w:sz="8" w:color="auto"/>
            </w:tcBorders>
            <w:vMerge w:val="continue"/>
          </w:tcPr>
          <w:p>
            <w:pPr>
              <w:spacing w:after="0"/>
              <w:rPr>
                <w:sz w:val="17"/>
                <w:szCs w:val="17"/>
                <w:color w:val="auto"/>
              </w:rPr>
            </w:pPr>
          </w:p>
        </w:tc>
        <w:tc>
          <w:tcPr>
            <w:tcW w:w="14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1140" w:type="dxa"/>
            <w:vAlign w:val="bottom"/>
            <w:tcBorders>
              <w:left w:val="single" w:sz="8" w:color="auto"/>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1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2021 Share</w:t>
            </w:r>
          </w:p>
        </w:tc>
        <w:tc>
          <w:tcPr>
            <w:tcW w:w="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10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Ordinary</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Rule 457(c)</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4,339,004</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$10.07</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$43,693,770.28</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$110.20</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$4,815.06</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Incentive</w:t>
            </w: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shares, no</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 457(h)</w:t>
            </w:r>
          </w:p>
        </w:tc>
        <w:tc>
          <w:tcPr>
            <w:tcW w:w="12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million</w:t>
            </w: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Plan</w:t>
            </w:r>
          </w:p>
        </w:tc>
        <w:tc>
          <w:tcPr>
            <w:tcW w:w="98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par value</w:t>
            </w:r>
          </w:p>
        </w:tc>
        <w:tc>
          <w:tcPr>
            <w:tcW w:w="132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dollars</w:t>
            </w:r>
          </w:p>
        </w:tc>
        <w:tc>
          <w:tcPr>
            <w:tcW w:w="1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40" w:type="dxa"/>
            <w:vAlign w:val="bottom"/>
            <w:tcBorders>
              <w:left w:val="single" w:sz="8" w:color="auto"/>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 share</w:t>
            </w:r>
          </w:p>
        </w:tc>
        <w:tc>
          <w:tcPr>
            <w:tcW w:w="132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1140" w:type="dxa"/>
            <w:vAlign w:val="bottom"/>
            <w:tcBorders>
              <w:left w:val="single" w:sz="8" w:color="auto"/>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1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2021</w:t>
            </w:r>
          </w:p>
        </w:tc>
        <w:tc>
          <w:tcPr>
            <w:tcW w:w="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10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Ordinary</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Rule 457(c)</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1,057,521</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$10.07</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$10,649,236.47</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$110.20</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$1,173.55</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Employee</w:t>
            </w: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shares, no</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 457(h)</w:t>
            </w:r>
          </w:p>
        </w:tc>
        <w:tc>
          <w:tcPr>
            <w:tcW w:w="12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million</w:t>
            </w: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w:t>
            </w:r>
          </w:p>
        </w:tc>
        <w:tc>
          <w:tcPr>
            <w:tcW w:w="98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par value</w:t>
            </w:r>
          </w:p>
        </w:tc>
        <w:tc>
          <w:tcPr>
            <w:tcW w:w="132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dollars</w:t>
            </w:r>
          </w:p>
        </w:tc>
        <w:tc>
          <w:tcPr>
            <w:tcW w:w="1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Purchase</w:t>
            </w:r>
          </w:p>
        </w:tc>
        <w:tc>
          <w:tcPr>
            <w:tcW w:w="98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 share</w:t>
            </w:r>
          </w:p>
        </w:tc>
        <w:tc>
          <w:tcPr>
            <w:tcW w:w="132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Plan</w:t>
            </w:r>
          </w:p>
        </w:tc>
        <w:tc>
          <w:tcPr>
            <w:tcW w:w="98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140" w:type="dxa"/>
            <w:vAlign w:val="bottom"/>
            <w:tcBorders>
              <w:left w:val="single" w:sz="8" w:color="auto"/>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140" w:type="dxa"/>
            <w:vAlign w:val="bottom"/>
            <w:tcBorders>
              <w:left w:val="single" w:sz="8" w:color="auto"/>
              <w:right w:val="single" w:sz="8" w:color="auto"/>
            </w:tcBorders>
          </w:tcPr>
          <w:p>
            <w:pPr>
              <w:spacing w:after="0"/>
              <w:rPr>
                <w:sz w:val="22"/>
                <w:szCs w:val="22"/>
                <w:color w:val="auto"/>
              </w:rPr>
            </w:pPr>
          </w:p>
        </w:tc>
        <w:tc>
          <w:tcPr>
            <w:tcW w:w="1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1320" w:type="dxa"/>
            <w:vAlign w:val="bottom"/>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2"/>
                <w:szCs w:val="22"/>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$54,343,006.75</w:t>
            </w:r>
          </w:p>
        </w:tc>
        <w:tc>
          <w:tcPr>
            <w:tcW w:w="94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$5,988.60</w:t>
            </w:r>
          </w:p>
        </w:tc>
        <w:tc>
          <w:tcPr>
            <w:tcW w:w="0" w:type="dxa"/>
            <w:vAlign w:val="bottom"/>
          </w:tcPr>
          <w:p>
            <w:pPr>
              <w:spacing w:after="0"/>
              <w:rPr>
                <w:sz w:val="1"/>
                <w:szCs w:val="1"/>
                <w:color w:val="auto"/>
              </w:rPr>
            </w:pPr>
          </w:p>
        </w:tc>
      </w:tr>
      <w:tr>
        <w:trPr>
          <w:trHeight w:val="61"/>
        </w:trPr>
        <w:tc>
          <w:tcPr>
            <w:tcW w:w="1140" w:type="dxa"/>
            <w:vAlign w:val="bottom"/>
            <w:tcBorders>
              <w:left w:val="single" w:sz="8" w:color="auto"/>
              <w:bottom w:val="single" w:sz="8" w:color="auto"/>
              <w:right w:val="single" w:sz="8" w:color="auto"/>
            </w:tcBorders>
          </w:tcPr>
          <w:p>
            <w:pPr>
              <w:spacing w:after="0"/>
              <w:rPr>
                <w:sz w:val="5"/>
                <w:szCs w:val="5"/>
                <w:color w:val="auto"/>
              </w:rPr>
            </w:pPr>
          </w:p>
        </w:tc>
        <w:tc>
          <w:tcPr>
            <w:tcW w:w="1980" w:type="dxa"/>
            <w:vAlign w:val="bottom"/>
            <w:tcBorders>
              <w:bottom w:val="single" w:sz="8" w:color="auto"/>
            </w:tcBorders>
            <w:gridSpan w:val="2"/>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140" w:type="dxa"/>
            <w:vAlign w:val="bottom"/>
            <w:tcBorders>
              <w:left w:val="single" w:sz="8" w:color="auto"/>
              <w:bottom w:val="single" w:sz="8" w:color="auto"/>
              <w:right w:val="single" w:sz="8" w:color="auto"/>
            </w:tcBorders>
          </w:tcPr>
          <w:p>
            <w:pPr>
              <w:spacing w:after="0"/>
              <w:rPr>
                <w:sz w:val="24"/>
                <w:szCs w:val="24"/>
                <w:color w:val="auto"/>
              </w:rPr>
            </w:pPr>
          </w:p>
        </w:tc>
        <w:tc>
          <w:tcPr>
            <w:tcW w:w="1980" w:type="dxa"/>
            <w:vAlign w:val="bottom"/>
            <w:tcBorders>
              <w:bottom w:val="single" w:sz="8" w:color="auto"/>
            </w:tcBorders>
            <w:gridSpan w:val="2"/>
          </w:tcPr>
          <w:p>
            <w:pPr>
              <w:ind w:left="40"/>
              <w:spacing w:after="0" w:line="310" w:lineRule="exact"/>
              <w:rPr>
                <w:sz w:val="20"/>
                <w:szCs w:val="20"/>
                <w:color w:val="auto"/>
              </w:rPr>
            </w:pPr>
            <w:r>
              <w:rPr>
                <w:rFonts w:ascii="Times New Roman" w:cs="Times New Roman" w:eastAsia="Times New Roman" w:hAnsi="Times New Roman"/>
                <w:sz w:val="18"/>
                <w:szCs w:val="18"/>
                <w:b w:val="1"/>
                <w:bCs w:val="1"/>
                <w:color w:val="auto"/>
              </w:rPr>
              <w:t>Total Fee Offsets</w:t>
            </w:r>
            <w:r>
              <w:rPr>
                <w:rFonts w:ascii="Times New Roman" w:cs="Times New Roman" w:eastAsia="Times New Roman" w:hAnsi="Times New Roman"/>
                <w:sz w:val="29"/>
                <w:szCs w:val="29"/>
                <w:color w:val="auto"/>
                <w:vertAlign w:val="superscript"/>
              </w:rPr>
              <w:t>(4)</w:t>
            </w:r>
          </w:p>
        </w:tc>
        <w:tc>
          <w:tcPr>
            <w:tcW w:w="1320" w:type="dxa"/>
            <w:vAlign w:val="bottom"/>
            <w:tcBorders>
              <w:bottom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140" w:type="dxa"/>
            <w:vAlign w:val="bottom"/>
            <w:tcBorders>
              <w:left w:val="single" w:sz="8" w:color="auto"/>
              <w:right w:val="single" w:sz="8" w:color="auto"/>
            </w:tcBorders>
          </w:tcPr>
          <w:p>
            <w:pPr>
              <w:spacing w:after="0"/>
              <w:rPr>
                <w:sz w:val="22"/>
                <w:szCs w:val="22"/>
                <w:color w:val="auto"/>
              </w:rPr>
            </w:pPr>
          </w:p>
        </w:tc>
        <w:tc>
          <w:tcPr>
            <w:tcW w:w="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5"/>
              </w:rPr>
              <w:t>Net Fee Due</w:t>
            </w:r>
          </w:p>
        </w:tc>
        <w:tc>
          <w:tcPr>
            <w:tcW w:w="10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2"/>
                <w:szCs w:val="22"/>
                <w:color w:val="auto"/>
              </w:rPr>
            </w:pPr>
          </w:p>
        </w:tc>
        <w:tc>
          <w:tcPr>
            <w:tcW w:w="1920" w:type="dxa"/>
            <w:vAlign w:val="bottom"/>
            <w:tcBorders>
              <w:right w:val="single" w:sz="8" w:color="auto"/>
            </w:tcBorders>
          </w:tcPr>
          <w:p>
            <w:pPr>
              <w:spacing w:after="0"/>
              <w:rPr>
                <w:sz w:val="22"/>
                <w:szCs w:val="22"/>
                <w:color w:val="auto"/>
              </w:rPr>
            </w:pPr>
          </w:p>
        </w:tc>
        <w:tc>
          <w:tcPr>
            <w:tcW w:w="94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$5,988.60</w:t>
            </w:r>
          </w:p>
        </w:tc>
        <w:tc>
          <w:tcPr>
            <w:tcW w:w="0" w:type="dxa"/>
            <w:vAlign w:val="bottom"/>
          </w:tcPr>
          <w:p>
            <w:pPr>
              <w:spacing w:after="0"/>
              <w:rPr>
                <w:sz w:val="1"/>
                <w:szCs w:val="1"/>
                <w:color w:val="auto"/>
              </w:rPr>
            </w:pPr>
          </w:p>
        </w:tc>
      </w:tr>
      <w:tr>
        <w:trPr>
          <w:trHeight w:val="61"/>
        </w:trPr>
        <w:tc>
          <w:tcPr>
            <w:tcW w:w="1140" w:type="dxa"/>
            <w:vAlign w:val="bottom"/>
            <w:tcBorders>
              <w:left w:val="single" w:sz="8" w:color="auto"/>
              <w:bottom w:val="single" w:sz="8" w:color="auto"/>
              <w:right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firstLine="8"/>
        <w:spacing w:after="0" w:line="264" w:lineRule="auto"/>
        <w:tabs>
          <w:tab w:leader="none" w:pos="30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Rule 416(a) under the Securities Act of 1933, as amended (the “</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this Registration Statement shall also cover any additional ordinary shares that become issuable under the WalkMe Ltd. 2021 Share Incentive Plan (the “</w:t>
      </w:r>
      <w:r>
        <w:rPr>
          <w:rFonts w:ascii="Times New Roman" w:cs="Times New Roman" w:eastAsia="Times New Roman" w:hAnsi="Times New Roman"/>
          <w:sz w:val="22"/>
          <w:szCs w:val="22"/>
          <w:b w:val="1"/>
          <w:bCs w:val="1"/>
          <w:i w:val="1"/>
          <w:iCs w:val="1"/>
          <w:color w:val="auto"/>
        </w:rPr>
        <w:t>2021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and WalkMe Ltd. 2021 Employee Share Purchase Plan (the “</w:t>
      </w:r>
      <w:r>
        <w:rPr>
          <w:rFonts w:ascii="Times New Roman" w:cs="Times New Roman" w:eastAsia="Times New Roman" w:hAnsi="Times New Roman"/>
          <w:sz w:val="22"/>
          <w:szCs w:val="22"/>
          <w:b w:val="1"/>
          <w:bCs w:val="1"/>
          <w:i w:val="1"/>
          <w:iCs w:val="1"/>
          <w:color w:val="auto"/>
        </w:rPr>
        <w:t>2021 ESPP</w:t>
      </w:r>
      <w:r>
        <w:rPr>
          <w:rFonts w:ascii="Times New Roman" w:cs="Times New Roman" w:eastAsia="Times New Roman" w:hAnsi="Times New Roman"/>
          <w:sz w:val="22"/>
          <w:szCs w:val="22"/>
          <w:color w:val="auto"/>
        </w:rPr>
        <w:t>”) by reason of any share dividend, share split,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recapitalization, or any other similar transaction without receipt of consideration which results in an increase in the number of outstanding ordinary shares.</w:t>
      </w:r>
    </w:p>
    <w:p>
      <w:pPr>
        <w:spacing w:after="0" w:line="234" w:lineRule="exact"/>
        <w:rPr>
          <w:rFonts w:ascii="Times New Roman" w:cs="Times New Roman" w:eastAsia="Times New Roman" w:hAnsi="Times New Roman"/>
          <w:sz w:val="22"/>
          <w:szCs w:val="22"/>
          <w:color w:val="auto"/>
        </w:rPr>
      </w:pPr>
    </w:p>
    <w:p>
      <w:pPr>
        <w:jc w:val="both"/>
        <w:ind w:right="20" w:firstLine="8"/>
        <w:spacing w:after="0" w:line="265" w:lineRule="auto"/>
        <w:tabs>
          <w:tab w:leader="none" w:pos="32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computing the registration fee only. Pursuant to Rule 457(c) of the Securities Act, the Proposed Maximum Offering Price Per Share with respect to the 2021 Plan and the 2021 ESPP is based upon the average of the high and low prices of the Registrant’s ordinary shares, as reported on the Nasdaq Global Select Market on March 7, 2023, which date is within five business days prior to the filing of this Registration Statement.</w:t>
      </w:r>
    </w:p>
    <w:p>
      <w:pPr>
        <w:spacing w:after="0" w:line="232" w:lineRule="exact"/>
        <w:rPr>
          <w:rFonts w:ascii="Times New Roman" w:cs="Times New Roman" w:eastAsia="Times New Roman" w:hAnsi="Times New Roman"/>
          <w:sz w:val="22"/>
          <w:szCs w:val="22"/>
          <w:color w:val="auto"/>
        </w:rPr>
      </w:pPr>
    </w:p>
    <w:p>
      <w:pPr>
        <w:jc w:val="both"/>
        <w:ind w:firstLine="8"/>
        <w:spacing w:after="0" w:line="270" w:lineRule="auto"/>
        <w:tabs>
          <w:tab w:leader="none" w:pos="349"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4,339,004 ordinary shares to be issued pursuant to an automatic increase to the number of ordinary shares available for issuance under the 2021 Plan, effective January 1, 2023 and 1,057,521 shares to be issued pursuant to an automatic increase to the number of ordinary shares available for issuance under the 2021 ESPP, effective January 1, 2023.</w:t>
      </w:r>
    </w:p>
    <w:p>
      <w:pPr>
        <w:spacing w:after="0" w:line="226"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Registrant does not have any fee offsets.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23.1</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9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We consent to the incorporation by reference in the Registration Statement (Form S-8) pertaining to the 2021 Share Incentive Plan and the 2021 Employee Share Purchase Plan of WalkMe Ltd., of our report dated March 14, 2023, with respect to the consolidated financial statements of WalkMe Ltd. and its subsidiaries, included in its Annual Report (Form 20-F) for the year ended December 31, 2022 filed with the Securities and Exchange Commission.</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Tel Aviv, Israel</w:t>
            </w:r>
          </w:p>
        </w:tc>
        <w:tc>
          <w:tcPr>
            <w:tcW w:w="680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99"/>
              </w:rPr>
              <w:t>/s/ Kost Forer Gabbay &amp; Kasierer</w:t>
            </w: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March 14, 2023</w:t>
            </w:r>
          </w:p>
        </w:tc>
        <w:tc>
          <w:tcPr>
            <w:tcW w:w="6800" w:type="dxa"/>
            <w:vAlign w:val="bottom"/>
          </w:tcPr>
          <w:p>
            <w:pPr>
              <w:jc w:val="center"/>
              <w:ind w:left="2310"/>
              <w:spacing w:after="0"/>
              <w:rPr>
                <w:sz w:val="20"/>
                <w:szCs w:val="20"/>
                <w:color w:val="auto"/>
              </w:rPr>
            </w:pPr>
            <w:r>
              <w:rPr>
                <w:rFonts w:ascii="Times New Roman" w:cs="Times New Roman" w:eastAsia="Times New Roman" w:hAnsi="Times New Roman"/>
                <w:sz w:val="18"/>
                <w:szCs w:val="18"/>
                <w:color w:val="auto"/>
                <w:w w:val="99"/>
              </w:rPr>
              <w:t>A Member of Ernst &amp; Young Global</w:t>
            </w:r>
          </w:p>
        </w:tc>
      </w:tr>
      <w:tr>
        <w:trPr>
          <w:trHeight w:val="365"/>
        </w:trPr>
        <w:tc>
          <w:tcPr>
            <w:tcW w:w="444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r>
      <w:tr>
        <w:trPr>
          <w:trHeight w:val="163"/>
        </w:trPr>
        <w:tc>
          <w:tcPr>
            <w:tcW w:w="4440" w:type="dxa"/>
            <w:vAlign w:val="bottom"/>
            <w:tcBorders>
              <w:bottom w:val="single" w:sz="8" w:color="auto"/>
            </w:tcBorders>
          </w:tcPr>
          <w:p>
            <w:pPr>
              <w:spacing w:after="0"/>
              <w:rPr>
                <w:sz w:val="14"/>
                <w:szCs w:val="14"/>
                <w:color w:val="auto"/>
              </w:rPr>
            </w:pPr>
          </w:p>
        </w:tc>
        <w:tc>
          <w:tcPr>
            <w:tcW w:w="680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240"/>
      </w:cols>
      <w:pgMar w:left="320" w:top="4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2"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jpe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17" Type="http://schemas.openxmlformats.org/officeDocument/2006/relationships/hyperlink" Target="https://www.sec.gov/Archives/edgar/data/1847584/000117891322001252/zk2227507.htm" TargetMode="External"/><Relationship Id="rId18" Type="http://schemas.openxmlformats.org/officeDocument/2006/relationships/hyperlink" Target="https://www.sec.gov/Archives/edgar/data/1847584/000119312521198719/d148372ds8.htm" TargetMode="External"/><Relationship Id="rId19" Type="http://schemas.openxmlformats.org/officeDocument/2006/relationships/hyperlink" Target="https://www.sec.gov/Archives/edgar/data/1847584/000117891323000983/0001178913-23-000983-index.htm" TargetMode="External"/><Relationship Id="rId20" Type="http://schemas.openxmlformats.org/officeDocument/2006/relationships/hyperlink" Target="https://www.sec.gov/Archives/edgar/data/1847584/000119312521163950/0001193125-21-163950-index.htm" TargetMode="External"/><Relationship Id="rId21" Type="http://schemas.openxmlformats.org/officeDocument/2006/relationships/hyperlink" Target="https://www.sec.gov/Archives/edgar/data/1847584/000119312521188895/0001193125-21-188895-index.htm" TargetMode="External"/><Relationship Id="rId23" Type="http://schemas.openxmlformats.org/officeDocument/2006/relationships/hyperlink" Target="https://www.sec.gov/Archives/edgar/data/1847584/000117891322001250/exhibit_1-1.htm" TargetMode="External"/><Relationship Id="rId24" Type="http://schemas.openxmlformats.org/officeDocument/2006/relationships/hyperlink" Target="https://www.sec.gov/Archives/edgar/data/1847584/000119312521183894/d143770dex102.htm" TargetMode="External"/><Relationship Id="rId25" Type="http://schemas.openxmlformats.org/officeDocument/2006/relationships/hyperlink" Target="https://www.sec.gov/Archives/edgar/data/1847584/000119312521183894/d143770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2023-03-14T17:58:55Z</dcterms:created>
  <dcterms:modified xsi:type="dcterms:W3CDTF">2023-03-14T17:58:55Z</dcterms:modified>
</cp:coreProperties>
</file>