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059"/>
        <w:spacing w:after="0"/>
        <w:rPr>
          <w:sz w:val="20"/>
          <w:szCs w:val="20"/>
          <w:color w:val="auto"/>
        </w:rPr>
      </w:pPr>
      <w:r>
        <w:rPr>
          <w:rFonts w:ascii="Arial" w:cs="Arial" w:eastAsia="Arial" w:hAnsi="Arial"/>
          <w:sz w:val="25"/>
          <w:szCs w:val="25"/>
          <w:b w:val="1"/>
          <w:bCs w:val="1"/>
          <w:color w:val="auto"/>
        </w:rPr>
        <w:t>FORM 6-K</w:t>
      </w:r>
    </w:p>
    <w:p>
      <w:pPr>
        <w:spacing w:after="0" w:line="302" w:lineRule="exact"/>
        <w:rPr>
          <w:sz w:val="24"/>
          <w:szCs w:val="24"/>
          <w:color w:val="auto"/>
        </w:rPr>
      </w:pPr>
    </w:p>
    <w:p>
      <w:pPr>
        <w:jc w:val="center"/>
        <w:ind w:left="1380" w:right="1940"/>
        <w:spacing w:after="0" w:line="287"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214"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For the month of August 2023</w:t>
      </w:r>
    </w:p>
    <w:p>
      <w:pPr>
        <w:spacing w:after="0" w:line="28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Commission File Number: 001-40490</w:t>
      </w:r>
    </w:p>
    <w:p>
      <w:pPr>
        <w:spacing w:after="0" w:line="282" w:lineRule="exact"/>
        <w:rPr>
          <w:sz w:val="24"/>
          <w:szCs w:val="24"/>
          <w:color w:val="auto"/>
        </w:rPr>
      </w:pPr>
    </w:p>
    <w:p>
      <w:pPr>
        <w:jc w:val="center"/>
        <w:ind w:right="-1059"/>
        <w:spacing w:after="0"/>
        <w:rPr>
          <w:sz w:val="20"/>
          <w:szCs w:val="20"/>
          <w:color w:val="auto"/>
        </w:rPr>
      </w:pPr>
      <w:r>
        <w:rPr>
          <w:rFonts w:ascii="Arial" w:cs="Arial" w:eastAsia="Arial" w:hAnsi="Arial"/>
          <w:sz w:val="29"/>
          <w:szCs w:val="29"/>
          <w:b w:val="1"/>
          <w:bCs w:val="1"/>
          <w:color w:val="auto"/>
        </w:rPr>
        <w:t>WalkMe Ltd.</w:t>
      </w:r>
    </w:p>
    <w:p>
      <w:pPr>
        <w:spacing w:after="0" w:line="41"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(Translation of registrant’s name into English)</w:t>
      </w:r>
    </w:p>
    <w:p>
      <w:pPr>
        <w:spacing w:after="0" w:line="268"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1 Walter Moses St.</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Tel Aviv 6789903, Israel</w:t>
      </w:r>
    </w:p>
    <w:p>
      <w:pPr>
        <w:spacing w:after="0" w:line="1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+972 (3) 763-0333</w:t>
      </w:r>
    </w:p>
    <w:p>
      <w:pPr>
        <w:spacing w:after="0" w:line="17" w:lineRule="exact"/>
        <w:rPr>
          <w:sz w:val="24"/>
          <w:szCs w:val="24"/>
          <w:color w:val="auto"/>
        </w:rPr>
      </w:pPr>
    </w:p>
    <w:p>
      <w:pPr>
        <w:jc w:val="center"/>
        <w:ind w:right="-10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68" w:lineRule="exact"/>
        <w:rPr>
          <w:sz w:val="24"/>
          <w:szCs w:val="24"/>
          <w:color w:val="auto"/>
        </w:rPr>
      </w:pPr>
    </w:p>
    <w:p>
      <w:pPr>
        <w:ind w:left="442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787" w:right="137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Results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On August 10, 2023, WalkMe Ltd. (the “Company”) issued a press release titled “WalkMe Ltd. Announces Second Quarter 2023 Financial Results.” A copy of the press release is furnished as Exhibit 99.1 herewith.</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Other than as indicated below, the information in this Form 6-K (including in Exhibits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is hereby incorporated by reference into the Company’s Registration Statements on Form S-8 (File Nos. 333-257354, 333-263823 and 333-270537).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ind w:left="4780"/>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exhibits are furnished as part of this Form 6-K: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10360" w:type="dxa"/>
            <w:vAlign w:val="bottom"/>
            <w:gridSpan w:val="4"/>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26"/>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10360" w:type="dxa"/>
            <w:vAlign w:val="bottom"/>
            <w:gridSpan w:val="4"/>
          </w:tcPr>
          <w:p>
            <w:pPr>
              <w:ind w:left="480"/>
              <w:spacing w:after="0"/>
              <w:rPr>
                <w:sz w:val="20"/>
                <w:szCs w:val="20"/>
                <w:color w:val="auto"/>
              </w:rPr>
            </w:pPr>
            <w:r>
              <w:rPr>
                <w:rFonts w:ascii="Arial" w:cs="Arial" w:eastAsia="Arial" w:hAnsi="Arial"/>
                <w:sz w:val="18"/>
                <w:szCs w:val="18"/>
                <w:color w:val="0000EE"/>
              </w:rPr>
              <w:t>Press Release dated August 10, 2023 titled “WalkMe Ltd. Announces Second Quarter 2023 Financial Results”</w:t>
            </w:r>
          </w:p>
        </w:tc>
      </w:tr>
      <w:tr>
        <w:trPr>
          <w:trHeight w:val="48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7040" w:type="dxa"/>
            <w:vAlign w:val="bottom"/>
            <w:tcBorders>
              <w:top w:val="single" w:sz="8" w:color="0000EE"/>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040"/>
              <w:spacing w:after="0"/>
              <w:rPr>
                <w:sz w:val="20"/>
                <w:szCs w:val="20"/>
                <w:color w:val="auto"/>
              </w:rPr>
            </w:pPr>
            <w:r>
              <w:rPr>
                <w:rFonts w:ascii="Arial" w:cs="Arial" w:eastAsia="Arial" w:hAnsi="Arial"/>
                <w:sz w:val="18"/>
                <w:szCs w:val="18"/>
                <w:b w:val="1"/>
                <w:bCs w:val="1"/>
                <w:color w:val="auto"/>
              </w:rPr>
              <w:t>WalkMe Ltd.</w:t>
            </w:r>
          </w:p>
        </w:tc>
      </w:tr>
      <w:tr>
        <w:trPr>
          <w:trHeight w:val="452"/>
        </w:trPr>
        <w:tc>
          <w:tcPr>
            <w:tcW w:w="3680" w:type="dxa"/>
            <w:vAlign w:val="bottom"/>
          </w:tcPr>
          <w:p>
            <w:pPr>
              <w:spacing w:after="0"/>
              <w:rPr>
                <w:sz w:val="20"/>
                <w:szCs w:val="20"/>
                <w:color w:val="auto"/>
              </w:rPr>
            </w:pPr>
            <w:r>
              <w:rPr>
                <w:rFonts w:ascii="Arial" w:cs="Arial" w:eastAsia="Arial" w:hAnsi="Arial"/>
                <w:sz w:val="18"/>
                <w:szCs w:val="18"/>
                <w:color w:val="auto"/>
              </w:rPr>
              <w:t>Date: August 10, 2023</w:t>
            </w:r>
          </w:p>
        </w:tc>
        <w:tc>
          <w:tcPr>
            <w:tcW w:w="7560" w:type="dxa"/>
            <w:vAlign w:val="bottom"/>
            <w:gridSpan w:val="2"/>
          </w:tcPr>
          <w:p>
            <w:pPr>
              <w:ind w:left="2040"/>
              <w:spacing w:after="0"/>
              <w:rPr>
                <w:sz w:val="20"/>
                <w:szCs w:val="20"/>
                <w:color w:val="auto"/>
              </w:rPr>
            </w:pPr>
            <w:r>
              <w:rPr>
                <w:rFonts w:ascii="Arial" w:cs="Arial" w:eastAsia="Arial" w:hAnsi="Arial"/>
                <w:sz w:val="18"/>
                <w:szCs w:val="18"/>
                <w:color w:val="auto"/>
              </w:rPr>
              <w:t>By:  /s/ Hagit Ynon</w:t>
            </w:r>
          </w:p>
        </w:tc>
      </w:tr>
      <w:tr>
        <w:trPr>
          <w:trHeight w:val="215"/>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Hagit Ynon</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92"/>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63"/>
        </w:trPr>
        <w:tc>
          <w:tcPr>
            <w:tcW w:w="36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WalkMe Ltd. Announces Second Quarter 2023 Financial Results</w:t>
      </w:r>
    </w:p>
    <w:p>
      <w:pPr>
        <w:spacing w:after="0" w:line="287" w:lineRule="exact"/>
        <w:rPr>
          <w:sz w:val="20"/>
          <w:szCs w:val="20"/>
          <w:color w:val="auto"/>
        </w:rPr>
      </w:pPr>
    </w:p>
    <w:p>
      <w:pPr>
        <w:ind w:left="740" w:hanging="31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Achieved record positive Free Cash Flow of $5.2M and 8% FCF margin- two quarters ahead of plan.</w:t>
      </w:r>
    </w:p>
    <w:p>
      <w:pPr>
        <w:spacing w:after="0" w:line="23" w:lineRule="exact"/>
        <w:rPr>
          <w:rFonts w:ascii="Arial" w:cs="Arial" w:eastAsia="Arial" w:hAnsi="Arial"/>
          <w:sz w:val="18"/>
          <w:szCs w:val="18"/>
          <w:color w:val="auto"/>
        </w:rPr>
      </w:pPr>
    </w:p>
    <w:p>
      <w:pPr>
        <w:ind w:left="740" w:hanging="318"/>
        <w:spacing w:after="0"/>
        <w:tabs>
          <w:tab w:leader="none" w:pos="7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Improved Non-GAAP operating margin to (3.5%) from (27.8%) last year and GAAP operating margin of (23.9%) compared to (52.1%) last year.</w:t>
      </w:r>
    </w:p>
    <w:p>
      <w:pPr>
        <w:spacing w:after="0" w:line="32" w:lineRule="exact"/>
        <w:rPr>
          <w:rFonts w:ascii="Arial" w:cs="Arial" w:eastAsia="Arial" w:hAnsi="Arial"/>
          <w:sz w:val="16"/>
          <w:szCs w:val="16"/>
          <w:color w:val="auto"/>
        </w:rPr>
      </w:pPr>
    </w:p>
    <w:p>
      <w:pPr>
        <w:ind w:left="740" w:hanging="31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Non-GAAP Net Loss Per Share of ($0.00) and GAAP Net Loss Per Share of ($0.15).</w:t>
      </w:r>
    </w:p>
    <w:p>
      <w:pPr>
        <w:spacing w:after="0" w:line="9" w:lineRule="exact"/>
        <w:rPr>
          <w:rFonts w:ascii="Arial" w:cs="Arial" w:eastAsia="Arial" w:hAnsi="Arial"/>
          <w:sz w:val="18"/>
          <w:szCs w:val="18"/>
          <w:color w:val="auto"/>
        </w:rPr>
      </w:pPr>
    </w:p>
    <w:p>
      <w:pPr>
        <w:ind w:left="740" w:hanging="31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WalkMe Discovery and UII Data AI solutions grew its employee coverage 100% quarter over quarter.</w:t>
      </w:r>
    </w:p>
    <w:p>
      <w:pPr>
        <w:spacing w:after="0" w:line="265"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SAN FRANCISCO, August 10, 2023 </w:t>
      </w:r>
      <w:r>
        <w:rPr>
          <w:rFonts w:ascii="Arial" w:cs="Arial" w:eastAsia="Arial" w:hAnsi="Arial"/>
          <w:sz w:val="22"/>
          <w:szCs w:val="22"/>
          <w:color w:val="auto"/>
        </w:rPr>
        <w:t>-- WalkMe Ltd. (NASDAQ:WKME), a leading provider of digital adoption solutions,</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financial results for its second quarter ended June 30, 2023.</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Commentary</w:t>
      </w:r>
    </w:p>
    <w:p>
      <w:pPr>
        <w:spacing w:after="0" w:line="293" w:lineRule="exact"/>
        <w:rPr>
          <w:sz w:val="20"/>
          <w:szCs w:val="20"/>
          <w:color w:val="auto"/>
        </w:rPr>
      </w:pPr>
    </w:p>
    <w:p>
      <w:pPr>
        <w:jc w:val="both"/>
        <w:ind w:right="120"/>
        <w:spacing w:after="0" w:line="262" w:lineRule="auto"/>
        <w:rPr>
          <w:sz w:val="20"/>
          <w:szCs w:val="20"/>
          <w:color w:val="auto"/>
        </w:rPr>
      </w:pPr>
      <w:r>
        <w:rPr>
          <w:rFonts w:ascii="Arial" w:cs="Arial" w:eastAsia="Arial" w:hAnsi="Arial"/>
          <w:sz w:val="22"/>
          <w:szCs w:val="22"/>
          <w:color w:val="auto"/>
        </w:rPr>
        <w:t>“We are seeing positive trends all across the business, our path to profitability is clearer and closer than ever. With over $300M cash in the bank, strong unit economics, improved internal execution and advancements in AI and product innovation - WalkMe is well positioned to increase market share and make the right investments as we shift our focus towards profitable growth,” said Dan Adika, CEO of WalkMe.</w:t>
      </w:r>
    </w:p>
    <w:p>
      <w:pPr>
        <w:spacing w:after="0" w:line="245" w:lineRule="exact"/>
        <w:rPr>
          <w:sz w:val="20"/>
          <w:szCs w:val="20"/>
          <w:color w:val="auto"/>
        </w:rPr>
      </w:pPr>
    </w:p>
    <w:p>
      <w:pPr>
        <w:ind w:right="120"/>
        <w:spacing w:after="0" w:line="266" w:lineRule="auto"/>
        <w:rPr>
          <w:sz w:val="20"/>
          <w:szCs w:val="20"/>
          <w:color w:val="auto"/>
        </w:rPr>
      </w:pPr>
      <w:r>
        <w:rPr>
          <w:rFonts w:ascii="Arial" w:cs="Arial" w:eastAsia="Arial" w:hAnsi="Arial"/>
          <w:sz w:val="22"/>
          <w:szCs w:val="22"/>
          <w:color w:val="auto"/>
        </w:rPr>
        <w:t>"We are very pleased with the financial achievements, reaching cash flow positive two quarters ahead of plan and improving our operating margin for six consecutive quarters," said Hagit Ynon, CFO of WalkMe. “Walkme is well capitalized and we will continue to invest in our growth and explore strategic investment opportunities”.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2023 Financial Highlights:</w:t>
      </w:r>
    </w:p>
    <w:p>
      <w:pPr>
        <w:spacing w:after="0" w:line="283" w:lineRule="exact"/>
        <w:rPr>
          <w:sz w:val="20"/>
          <w:szCs w:val="20"/>
          <w:color w:val="auto"/>
        </w:rPr>
      </w:pPr>
    </w:p>
    <w:p>
      <w:pPr>
        <w:ind w:left="740" w:right="20" w:hanging="318"/>
        <w:spacing w:after="0" w:line="261"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$66.2 million, an increase of 10% year-over-year. Subscription revenue was $61.4 million, an increase of 13% year-over-year.</w:t>
      </w:r>
    </w:p>
    <w:p>
      <w:pPr>
        <w:ind w:left="740" w:hanging="31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Gross Margin</w:t>
      </w:r>
      <w:r>
        <w:rPr>
          <w:rFonts w:ascii="Arial" w:cs="Arial" w:eastAsia="Arial" w:hAnsi="Arial"/>
          <w:sz w:val="18"/>
          <w:szCs w:val="18"/>
          <w:color w:val="auto"/>
        </w:rPr>
        <w:t>: GAAP Gross margin was 82% compared to 76% in the second quarter of 2022 and Non-GAAP was 84% compared to 78%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2022.</w:t>
      </w:r>
    </w:p>
    <w:p>
      <w:pPr>
        <w:ind w:left="740" w:hanging="31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GAAP Operating Loss</w:t>
      </w:r>
      <w:r>
        <w:rPr>
          <w:rFonts w:ascii="Arial" w:cs="Arial" w:eastAsia="Arial" w:hAnsi="Arial"/>
          <w:sz w:val="17"/>
          <w:szCs w:val="17"/>
          <w:color w:val="auto"/>
        </w:rPr>
        <w:t>: was $15.8 million, or 24% of total revenue, compared to $31.2 million, or 52% in the second quarter of 2022.</w:t>
      </w:r>
    </w:p>
    <w:p>
      <w:pPr>
        <w:spacing w:after="0" w:line="20" w:lineRule="exact"/>
        <w:rPr>
          <w:rFonts w:ascii="Arial" w:cs="Arial" w:eastAsia="Arial" w:hAnsi="Arial"/>
          <w:sz w:val="17"/>
          <w:szCs w:val="17"/>
          <w:color w:val="auto"/>
        </w:rPr>
      </w:pPr>
    </w:p>
    <w:p>
      <w:pPr>
        <w:ind w:left="740" w:hanging="31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Non-GAAP Operating Loss: </w:t>
      </w:r>
      <w:r>
        <w:rPr>
          <w:rFonts w:ascii="Arial" w:cs="Arial" w:eastAsia="Arial" w:hAnsi="Arial"/>
          <w:sz w:val="17"/>
          <w:szCs w:val="17"/>
          <w:color w:val="auto"/>
        </w:rPr>
        <w:t>was $2.3 million or 4% of total revenue, compared to $16.7 million, or 28% in the second quarter of 2022.</w:t>
      </w:r>
    </w:p>
    <w:p>
      <w:pPr>
        <w:spacing w:after="0" w:line="20" w:lineRule="exact"/>
        <w:rPr>
          <w:rFonts w:ascii="Arial" w:cs="Arial" w:eastAsia="Arial" w:hAnsi="Arial"/>
          <w:sz w:val="17"/>
          <w:szCs w:val="17"/>
          <w:color w:val="auto"/>
        </w:rPr>
      </w:pPr>
    </w:p>
    <w:p>
      <w:pPr>
        <w:ind w:left="740" w:right="400" w:hanging="31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Operating Cash Flow</w:t>
      </w:r>
      <w:r>
        <w:rPr>
          <w:rFonts w:ascii="Arial" w:cs="Arial" w:eastAsia="Arial" w:hAnsi="Arial"/>
          <w:sz w:val="18"/>
          <w:szCs w:val="18"/>
          <w:color w:val="auto"/>
        </w:rPr>
        <w:t>: Net cash provided by operating activity was $6.2 million, or 9% of total revenue, compared to $10.0 million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activity or 17% in the second quarter of 2022.</w:t>
      </w:r>
    </w:p>
    <w:p>
      <w:pPr>
        <w:ind w:left="740" w:hanging="318"/>
        <w:spacing w:after="0"/>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Free Cash Flow</w:t>
      </w:r>
      <w:r>
        <w:rPr>
          <w:rFonts w:ascii="Arial" w:cs="Arial" w:eastAsia="Arial" w:hAnsi="Arial"/>
          <w:sz w:val="16"/>
          <w:szCs w:val="16"/>
          <w:color w:val="auto"/>
        </w:rPr>
        <w:t>: was a positive $5.2 million or 8% of total revenue, compared to negative $12.2 million, or 20% in the second quarter of 2022.</w:t>
      </w:r>
    </w:p>
    <w:p>
      <w:pPr>
        <w:spacing w:after="0" w:line="32" w:lineRule="exact"/>
        <w:rPr>
          <w:rFonts w:ascii="Arial" w:cs="Arial" w:eastAsia="Arial" w:hAnsi="Arial"/>
          <w:sz w:val="16"/>
          <w:szCs w:val="16"/>
          <w:color w:val="auto"/>
        </w:rPr>
      </w:pPr>
    </w:p>
    <w:p>
      <w:pPr>
        <w:ind w:left="740" w:hanging="31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Cash, Cash Equivalents, Short-term Deposits and Marketable Securities: </w:t>
      </w:r>
      <w:r>
        <w:rPr>
          <w:rFonts w:ascii="Arial" w:cs="Arial" w:eastAsia="Arial" w:hAnsi="Arial"/>
          <w:sz w:val="18"/>
          <w:szCs w:val="18"/>
          <w:color w:val="auto"/>
        </w:rPr>
        <w:t>were $304.6 million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Second Quarter and Recent Business Highlights:</w:t>
      </w:r>
    </w:p>
    <w:p>
      <w:pPr>
        <w:spacing w:after="0" w:line="287" w:lineRule="exact"/>
        <w:rPr>
          <w:sz w:val="20"/>
          <w:szCs w:val="20"/>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successful launch of WalkMe Discovery, Data AI solutions grew 100% quarter over quarter on the number of employees covered.</w:t>
      </w:r>
    </w:p>
    <w:p>
      <w:pPr>
        <w:spacing w:after="0" w:line="23"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new pricing and packaging to accelerate land motion and deepen the expansion path to DAP.</w:t>
      </w:r>
    </w:p>
    <w:p>
      <w:pPr>
        <w:spacing w:after="0" w:line="9"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Global partner ecosystem by adding Deloitte India and Deloitte New Zealand.</w:t>
      </w:r>
    </w:p>
    <w:p>
      <w:pPr>
        <w:spacing w:after="0" w:line="9" w:lineRule="exact"/>
        <w:rPr>
          <w:rFonts w:ascii="Arial" w:cs="Arial" w:eastAsia="Arial" w:hAnsi="Arial"/>
          <w:sz w:val="18"/>
          <w:szCs w:val="18"/>
          <w:color w:val="auto"/>
        </w:rPr>
      </w:pPr>
    </w:p>
    <w:p>
      <w:pPr>
        <w:ind w:left="740" w:right="320" w:hanging="31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three net new Enterprise-Wide DAP customers during the quarter for a total of 183, representing DAP customer count growth of 29% year-over-year.</w:t>
      </w:r>
    </w:p>
    <w:p>
      <w:pPr>
        <w:ind w:left="740" w:right="100" w:hanging="31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Customers with over $1 million in ARR grew 23% year-over-year to 38. Customers with over $100,000 in ARR grew 8% year-over-year to 527 customers.</w:t>
      </w:r>
    </w:p>
    <w:p>
      <w:pPr>
        <w:ind w:left="740" w:hanging="31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WalkMe announces ‘Realize’ annual customer and partner event on October 25th 2023.</w:t>
      </w:r>
    </w:p>
    <w:p>
      <w:pPr>
        <w:spacing w:after="0" w:line="9" w:lineRule="exact"/>
        <w:rPr>
          <w:rFonts w:ascii="Arial" w:cs="Arial" w:eastAsia="Arial" w:hAnsi="Arial"/>
          <w:sz w:val="18"/>
          <w:szCs w:val="18"/>
          <w:color w:val="auto"/>
        </w:rPr>
      </w:pPr>
    </w:p>
    <w:p>
      <w:pPr>
        <w:ind w:left="740" w:hanging="31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WalkMe introduces ‘Shadow AI’ as part of WalkMe Discovery to unlock observability and compliance into AI tools consumed in the Enterprise.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For the third quarter of 2023, the Company currently expects:</w:t>
      </w:r>
    </w:p>
    <w:p>
      <w:pPr>
        <w:spacing w:after="0" w:line="281" w:lineRule="exact"/>
        <w:rPr>
          <w:sz w:val="20"/>
          <w:szCs w:val="20"/>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$66 to $68 million, representing a growth rate of 4% to 7% year-over-year</w:t>
      </w:r>
    </w:p>
    <w:p>
      <w:pPr>
        <w:spacing w:after="0" w:line="23"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Operating Loss of $3 to $2 million</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For the full year 2023, the Company currently expects:</w:t>
      </w:r>
    </w:p>
    <w:p>
      <w:pPr>
        <w:spacing w:after="0" w:line="281" w:lineRule="exact"/>
        <w:rPr>
          <w:sz w:val="20"/>
          <w:szCs w:val="20"/>
          <w:color w:val="auto"/>
        </w:rPr>
      </w:pPr>
    </w:p>
    <w:p>
      <w:pPr>
        <w:ind w:left="740" w:hanging="31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$266 to $270 million, representing a growth rate of 9% to 10% year-over-year</w:t>
      </w:r>
    </w:p>
    <w:p>
      <w:pPr>
        <w:spacing w:after="0" w:line="23" w:lineRule="exact"/>
        <w:rPr>
          <w:rFonts w:ascii="Arial" w:cs="Arial" w:eastAsia="Arial" w:hAnsi="Arial"/>
          <w:sz w:val="18"/>
          <w:szCs w:val="18"/>
          <w:color w:val="auto"/>
        </w:rPr>
      </w:pPr>
    </w:p>
    <w:p>
      <w:pPr>
        <w:ind w:left="740" w:hanging="31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Operating Loss of $16 to $14 million</w:t>
      </w:r>
    </w:p>
    <w:p>
      <w:pPr>
        <w:spacing w:after="0" w:line="271" w:lineRule="exact"/>
        <w:rPr>
          <w:sz w:val="20"/>
          <w:szCs w:val="20"/>
          <w:color w:val="auto"/>
        </w:rPr>
      </w:pPr>
    </w:p>
    <w:p>
      <w:pPr>
        <w:ind w:right="100"/>
        <w:spacing w:after="0" w:line="273" w:lineRule="auto"/>
        <w:rPr>
          <w:sz w:val="20"/>
          <w:szCs w:val="20"/>
          <w:color w:val="auto"/>
        </w:rPr>
      </w:pPr>
      <w:r>
        <w:rPr>
          <w:rFonts w:ascii="Arial" w:cs="Arial" w:eastAsia="Arial" w:hAnsi="Arial"/>
          <w:sz w:val="21"/>
          <w:szCs w:val="21"/>
          <w:color w:val="auto"/>
        </w:rPr>
        <w:t>The section titled “Non-GAAP Financial Measures and Key Performance Indicators” below contains a description of the non-GAAP financial measures and Key Performance Indicators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Information:</w:t>
      </w:r>
    </w:p>
    <w:p>
      <w:pPr>
        <w:spacing w:after="0" w:line="293"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WalkMe will host a conference call and live webcast for analysts and investors at 5:00 a.m. Pacific Time on August 10, 2023. The press release with the financial results as well as the investor presentation materials will be accessible from the Company’s website prior to the conference call.</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 live webcast of the conference call will be accessible on the WalkMe investor relations website at https://ir.walkme.com.</w:t>
      </w:r>
    </w:p>
    <w:p>
      <w:pPr>
        <w:spacing w:after="0" w:line="322" w:lineRule="exact"/>
        <w:rPr>
          <w:sz w:val="20"/>
          <w:szCs w:val="20"/>
          <w:color w:val="auto"/>
        </w:rPr>
      </w:pPr>
    </w:p>
    <w:p>
      <w:pPr>
        <w:ind w:right="300"/>
        <w:spacing w:after="0" w:line="276" w:lineRule="auto"/>
        <w:rPr>
          <w:sz w:val="20"/>
          <w:szCs w:val="20"/>
          <w:color w:val="auto"/>
        </w:rPr>
      </w:pPr>
      <w:r>
        <w:rPr>
          <w:rFonts w:ascii="Arial" w:cs="Arial" w:eastAsia="Arial" w:hAnsi="Arial"/>
          <w:sz w:val="22"/>
          <w:szCs w:val="22"/>
          <w:color w:val="auto"/>
        </w:rPr>
        <w:t>Approximately one hour after completion of the live call and for at least 30 days thereafter, an archived version of the webcast will be available on the Company’s investor relations website at https://ir.walkme.com.</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Financial and Other Information:</w:t>
      </w:r>
    </w:p>
    <w:p>
      <w:pPr>
        <w:spacing w:after="0" w:line="293" w:lineRule="exact"/>
        <w:rPr>
          <w:sz w:val="20"/>
          <w:szCs w:val="20"/>
          <w:color w:val="auto"/>
        </w:rPr>
      </w:pPr>
    </w:p>
    <w:p>
      <w:pPr>
        <w:ind w:right="40"/>
        <w:spacing w:after="0" w:line="317" w:lineRule="auto"/>
        <w:rPr>
          <w:sz w:val="20"/>
          <w:szCs w:val="20"/>
          <w:color w:val="auto"/>
        </w:rPr>
      </w:pPr>
      <w:r>
        <w:rPr>
          <w:rFonts w:ascii="Arial" w:cs="Arial" w:eastAsia="Arial" w:hAnsi="Arial"/>
          <w:sz w:val="19"/>
          <w:szCs w:val="19"/>
          <w:color w:val="auto"/>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196" w:lineRule="exact"/>
        <w:rPr>
          <w:sz w:val="20"/>
          <w:szCs w:val="20"/>
          <w:color w:val="auto"/>
        </w:rPr>
      </w:pPr>
    </w:p>
    <w:p>
      <w:pPr>
        <w:ind w:right="740"/>
        <w:spacing w:after="0" w:line="276" w:lineRule="auto"/>
        <w:rPr>
          <w:sz w:val="20"/>
          <w:szCs w:val="20"/>
          <w:color w:val="auto"/>
        </w:rPr>
      </w:pPr>
      <w:r>
        <w:rPr>
          <w:rFonts w:ascii="Arial" w:cs="Arial" w:eastAsia="Arial" w:hAnsi="Arial"/>
          <w:sz w:val="22"/>
          <w:szCs w:val="22"/>
          <w:color w:val="auto"/>
        </w:rPr>
        <w:t>Any updates to the list of disclosure channels through which we will announce information will be posted on the investor relations page of our website.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 and Key Performance Indicators:</w:t>
      </w:r>
    </w:p>
    <w:p>
      <w:pPr>
        <w:spacing w:after="0" w:line="293"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22"/>
          <w:szCs w:val="22"/>
          <w:i w:val="1"/>
          <w:iCs w:val="1"/>
          <w:color w:val="auto"/>
        </w:rPr>
        <w:t>Non-GAAP Gross Profit and Non-GAAP Gross Margin</w:t>
      </w:r>
      <w:r>
        <w:rPr>
          <w:rFonts w:ascii="Arial" w:cs="Arial" w:eastAsia="Arial" w:hAnsi="Arial"/>
          <w:sz w:val="22"/>
          <w:szCs w:val="22"/>
          <w:color w:val="auto"/>
        </w:rPr>
        <w:t>. We define Non-GAAP Gross Profit as gross profit excluding share-based</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amortization of acquired intangibles and restructuring costs.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46"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i w:val="1"/>
          <w:iCs w:val="1"/>
          <w:color w:val="auto"/>
        </w:rPr>
        <w:t xml:space="preserve">Non-GAAP Operating Income (Loss) and Non-GAAP Operating Margin. </w:t>
      </w:r>
      <w:r>
        <w:rPr>
          <w:rFonts w:ascii="Arial" w:cs="Arial" w:eastAsia="Arial" w:hAnsi="Arial"/>
          <w:sz w:val="19"/>
          <w:szCs w:val="19"/>
          <w:color w:val="auto"/>
        </w:rPr>
        <w:t>We define Non-GAAP Operating Income (Loss) as net</w:t>
      </w:r>
      <w:r>
        <w:rPr>
          <w:rFonts w:ascii="Arial" w:cs="Arial" w:eastAsia="Arial" w:hAnsi="Arial"/>
          <w:sz w:val="19"/>
          <w:szCs w:val="19"/>
          <w:i w:val="1"/>
          <w:iCs w:val="1"/>
          <w:color w:val="auto"/>
        </w:rPr>
        <w:t xml:space="preserve"> </w:t>
      </w:r>
      <w:r>
        <w:rPr>
          <w:rFonts w:ascii="Arial" w:cs="Arial" w:eastAsia="Arial" w:hAnsi="Arial"/>
          <w:sz w:val="19"/>
          <w:szCs w:val="19"/>
          <w:color w:val="auto"/>
        </w:rPr>
        <w:t>income (loss) from operations excluding share-based compensation, amortization and impairment of acquired intangible assets and restructuring costs.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i w:val="1"/>
          <w:iCs w:val="1"/>
          <w:color w:val="auto"/>
        </w:rPr>
        <w:t>Non-GAAP Net Income (Loss) attributable to WalkMe Ltd</w:t>
      </w:r>
      <w:r>
        <w:rPr>
          <w:rFonts w:ascii="Arial" w:cs="Arial" w:eastAsia="Arial" w:hAnsi="Arial"/>
          <w:sz w:val="22"/>
          <w:szCs w:val="22"/>
          <w:color w:val="auto"/>
        </w:rPr>
        <w:t>. We define Non-GAAP Net Income (Loss) attributable to WalkMe Ltd.</w:t>
      </w:r>
      <w:r>
        <w:rPr>
          <w:rFonts w:ascii="Arial" w:cs="Arial" w:eastAsia="Arial" w:hAnsi="Arial"/>
          <w:sz w:val="22"/>
          <w:szCs w:val="22"/>
          <w:i w:val="1"/>
          <w:iCs w:val="1"/>
          <w:color w:val="auto"/>
        </w:rPr>
        <w:t xml:space="preserve"> </w:t>
      </w:r>
      <w:r>
        <w:rPr>
          <w:rFonts w:ascii="Arial" w:cs="Arial" w:eastAsia="Arial" w:hAnsi="Arial"/>
          <w:sz w:val="22"/>
          <w:szCs w:val="22"/>
          <w:color w:val="auto"/>
        </w:rPr>
        <w:t>as Net Income (Loss) attributable to WalkMe Ltd. excluding share-based compensation, amortization and impairment of acquired intangibles, restructuring costs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outstanding.</w:t>
      </w:r>
    </w:p>
    <w:p>
      <w:pPr>
        <w:spacing w:after="0" w:line="246"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i w:val="1"/>
          <w:iCs w:val="1"/>
          <w:color w:val="auto"/>
        </w:rPr>
        <w:t xml:space="preserve">Free Cash Flow. </w:t>
      </w:r>
      <w:r>
        <w:rPr>
          <w:rFonts w:ascii="Arial" w:cs="Arial" w:eastAsia="Arial" w:hAnsi="Arial"/>
          <w:sz w:val="22"/>
          <w:szCs w:val="22"/>
          <w:color w:val="auto"/>
        </w:rPr>
        <w:t>We define Free Cash Flow as net cash provided by (used in) operating activities, less cash used for purchases of</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and equipment 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45" w:lineRule="exact"/>
        <w:rPr>
          <w:sz w:val="20"/>
          <w:szCs w:val="20"/>
          <w:color w:val="auto"/>
        </w:rPr>
      </w:pPr>
    </w:p>
    <w:p>
      <w:pPr>
        <w:ind w:right="60"/>
        <w:spacing w:after="0" w:line="266" w:lineRule="auto"/>
        <w:rPr>
          <w:sz w:val="20"/>
          <w:szCs w:val="20"/>
          <w:color w:val="auto"/>
        </w:rPr>
      </w:pPr>
      <w:r>
        <w:rPr>
          <w:rFonts w:ascii="Arial" w:cs="Arial" w:eastAsia="Arial" w:hAnsi="Arial"/>
          <w:sz w:val="22"/>
          <w:szCs w:val="22"/>
          <w:color w:val="auto"/>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spacing w:after="0" w:line="239" w:lineRule="exact"/>
        <w:rPr>
          <w:sz w:val="20"/>
          <w:szCs w:val="20"/>
          <w:color w:val="auto"/>
        </w:rPr>
      </w:pPr>
    </w:p>
    <w:p>
      <w:pPr>
        <w:spacing w:after="0" w:line="304" w:lineRule="auto"/>
        <w:rPr>
          <w:sz w:val="20"/>
          <w:szCs w:val="20"/>
          <w:color w:val="auto"/>
        </w:rPr>
      </w:pPr>
      <w:r>
        <w:rPr>
          <w:rFonts w:ascii="Arial" w:cs="Arial" w:eastAsia="Arial" w:hAnsi="Arial"/>
          <w:sz w:val="19"/>
          <w:szCs w:val="19"/>
          <w:i w:val="1"/>
          <w:iCs w:val="1"/>
          <w:color w:val="auto"/>
        </w:rPr>
        <w:t xml:space="preserve">ARR. </w:t>
      </w:r>
      <w:r>
        <w:rPr>
          <w:rFonts w:ascii="Arial" w:cs="Arial" w:eastAsia="Arial" w:hAnsi="Arial"/>
          <w:sz w:val="19"/>
          <w:szCs w:val="19"/>
          <w:color w:val="auto"/>
        </w:rPr>
        <w:t>We define ARR as the annualized value of customer subscription contracts as of the measurement date, assuming any</w:t>
      </w:r>
      <w:r>
        <w:rPr>
          <w:rFonts w:ascii="Arial" w:cs="Arial" w:eastAsia="Arial" w:hAnsi="Arial"/>
          <w:sz w:val="19"/>
          <w:szCs w:val="19"/>
          <w:i w:val="1"/>
          <w:iCs w:val="1"/>
          <w:color w:val="auto"/>
        </w:rPr>
        <w:t xml:space="preserve"> </w:t>
      </w:r>
      <w:r>
        <w:rPr>
          <w:rFonts w:ascii="Arial" w:cs="Arial" w:eastAsia="Arial" w:hAnsi="Arial"/>
          <w:sz w:val="19"/>
          <w:szCs w:val="19"/>
          <w:color w:val="auto"/>
        </w:rPr>
        <w:t>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209" w:lineRule="exact"/>
        <w:rPr>
          <w:sz w:val="20"/>
          <w:szCs w:val="20"/>
          <w:color w:val="auto"/>
        </w:rPr>
      </w:pPr>
    </w:p>
    <w:p>
      <w:pPr>
        <w:ind w:right="460"/>
        <w:spacing w:after="0" w:line="358" w:lineRule="auto"/>
        <w:rPr>
          <w:sz w:val="20"/>
          <w:szCs w:val="20"/>
          <w:color w:val="auto"/>
        </w:rPr>
      </w:pPr>
      <w:r>
        <w:rPr>
          <w:rFonts w:ascii="Arial" w:cs="Arial" w:eastAsia="Arial" w:hAnsi="Arial"/>
          <w:sz w:val="19"/>
          <w:szCs w:val="19"/>
          <w:i w:val="1"/>
          <w:iCs w:val="1"/>
          <w:color w:val="auto"/>
        </w:rPr>
        <w:t xml:space="preserve">Enterprise-Wide DAP Customers: </w:t>
      </w:r>
      <w:r>
        <w:rPr>
          <w:rFonts w:ascii="Arial" w:cs="Arial" w:eastAsia="Arial" w:hAnsi="Arial"/>
          <w:sz w:val="19"/>
          <w:szCs w:val="19"/>
          <w:color w:val="auto"/>
        </w:rPr>
        <w:t>We define Enterprise-Wide DAP Customers as those who have purchased enterprise-wide</w:t>
      </w:r>
      <w:r>
        <w:rPr>
          <w:rFonts w:ascii="Arial" w:cs="Arial" w:eastAsia="Arial" w:hAnsi="Arial"/>
          <w:sz w:val="19"/>
          <w:szCs w:val="19"/>
          <w:i w:val="1"/>
          <w:iCs w:val="1"/>
          <w:color w:val="auto"/>
        </w:rPr>
        <w:t xml:space="preserve"> </w:t>
      </w:r>
      <w:r>
        <w:rPr>
          <w:rFonts w:ascii="Arial" w:cs="Arial" w:eastAsia="Arial" w:hAnsi="Arial"/>
          <w:sz w:val="19"/>
          <w:szCs w:val="19"/>
          <w:color w:val="auto"/>
        </w:rPr>
        <w:t>subscriptions or who have department-wide usage of our Digital Adoption Platform across four or more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93"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press release other than statements of historical fact, including, without limitation, statements regarding the Company’s future financial results, including revenue and non-GAAP operating loss guidance, and expectations regarding the company’s operations and future profitability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14, 2023, and other documents filed with or furnished to the SEC. These statements reflect management’s current expectations regarding future events and operating performance and speak only as of the date of this press release.</w:t>
      </w:r>
    </w:p>
    <w:p>
      <w:pPr>
        <w:spacing w:after="0" w:line="200" w:lineRule="exact"/>
        <w:rPr>
          <w:sz w:val="20"/>
          <w:szCs w:val="20"/>
          <w:color w:val="auto"/>
        </w:rPr>
      </w:pPr>
    </w:p>
    <w:p>
      <w:pPr>
        <w:spacing w:after="0" w:line="291" w:lineRule="exact"/>
        <w:rPr>
          <w:sz w:val="20"/>
          <w:szCs w:val="20"/>
          <w:color w:val="auto"/>
        </w:rPr>
      </w:pPr>
    </w:p>
    <w:p>
      <w:pPr>
        <w:ind w:right="40"/>
        <w:spacing w:after="0" w:line="311" w:lineRule="auto"/>
        <w:rPr>
          <w:sz w:val="20"/>
          <w:szCs w:val="20"/>
          <w:color w:val="auto"/>
        </w:rPr>
      </w:pPr>
      <w:r>
        <w:rPr>
          <w:rFonts w:ascii="Arial" w:cs="Arial" w:eastAsia="Arial" w:hAnsi="Arial"/>
          <w:sz w:val="19"/>
          <w:szCs w:val="19"/>
          <w:color w:val="auto"/>
        </w:rPr>
        <w:t>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WalkMe</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1"/>
          <w:szCs w:val="21"/>
          <w:color w:val="auto"/>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Christina Knittel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press@walkme.com</w:t>
      </w:r>
    </w:p>
    <w:p>
      <w:pPr>
        <w:sectPr>
          <w:pgSz w:w="11900" w:h="16838" w:orient="portrait"/>
          <w:cols w:equalWidth="0" w:num="1">
            <w:col w:w="11240"/>
          </w:cols>
          <w:pgMar w:left="320" w:top="369" w:right="339" w:bottom="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John Streppa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61,395</w:t>
            </w:r>
          </w:p>
        </w:tc>
        <w:tc>
          <w:tcPr>
            <w:tcW w:w="12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54,200</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122,024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105,589</w:t>
            </w:r>
          </w:p>
        </w:tc>
        <w:tc>
          <w:tcPr>
            <w:tcW w:w="100" w:type="dxa"/>
            <w:vAlign w:val="bottom"/>
          </w:tcPr>
          <w:p>
            <w:pPr>
              <w:spacing w:after="0"/>
              <w:rPr>
                <w:sz w:val="18"/>
                <w:szCs w:val="18"/>
                <w:color w:val="auto"/>
              </w:rPr>
            </w:pPr>
          </w:p>
        </w:tc>
      </w:tr>
      <w:tr>
        <w:trPr>
          <w:trHeight w:val="237"/>
        </w:trPr>
        <w:tc>
          <w:tcPr>
            <w:tcW w:w="59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59,942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132,050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116,790</w:t>
            </w:r>
          </w:p>
        </w:tc>
        <w:tc>
          <w:tcPr>
            <w:tcW w:w="100" w:type="dxa"/>
            <w:vAlign w:val="bottom"/>
          </w:tcPr>
          <w:p>
            <w:pPr>
              <w:spacing w:after="0"/>
              <w:rPr>
                <w:sz w:val="19"/>
                <w:szCs w:val="19"/>
                <w:color w:val="auto"/>
              </w:rPr>
            </w:pPr>
          </w:p>
        </w:tc>
      </w:tr>
      <w:tr>
        <w:trPr>
          <w:trHeight w:val="216"/>
        </w:trPr>
        <w:tc>
          <w:tcPr>
            <w:tcW w:w="5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60" w:type="dxa"/>
            <w:vAlign w:val="bottom"/>
            <w:tcBorders>
              <w:right w:val="single" w:sz="8" w:color="CCEEFF"/>
            </w:tcBorders>
            <w:shd w:val="clear" w:color="auto" w:fill="CCEEFF"/>
          </w:tcPr>
          <w:p>
            <w:pPr>
              <w:ind w:left="140"/>
              <w:spacing w:after="0" w:line="230" w:lineRule="exact"/>
              <w:rPr>
                <w:sz w:val="20"/>
                <w:szCs w:val="20"/>
                <w:color w:val="auto"/>
              </w:rPr>
            </w:pPr>
            <w:r>
              <w:rPr>
                <w:rFonts w:ascii="Arial" w:cs="Arial" w:eastAsia="Arial" w:hAnsi="Arial"/>
                <w:sz w:val="16"/>
                <w:szCs w:val="16"/>
                <w:color w:val="auto"/>
              </w:rPr>
              <w:t>Subscription</w:t>
            </w:r>
            <w:r>
              <w:rPr>
                <w:rFonts w:ascii="Arial" w:cs="Arial" w:eastAsia="Arial" w:hAnsi="Arial"/>
                <w:sz w:val="26"/>
                <w:szCs w:val="26"/>
                <w:color w:val="auto"/>
                <w:vertAlign w:val="superscript"/>
              </w:rPr>
              <w:t>(1)(2)(3)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shd w:val="clear" w:color="auto" w:fill="CCEEFF"/>
          </w:tcPr>
          <w:p>
            <w:pPr>
              <w:spacing w:after="0"/>
              <w:rPr>
                <w:sz w:val="19"/>
                <w:szCs w:val="19"/>
                <w:color w:val="auto"/>
              </w:rPr>
            </w:pPr>
          </w:p>
        </w:tc>
      </w:tr>
      <w:tr>
        <w:trPr>
          <w:trHeight w:val="223"/>
        </w:trPr>
        <w:tc>
          <w:tcPr>
            <w:tcW w:w="5960" w:type="dxa"/>
            <w:vAlign w:val="bottom"/>
          </w:tcPr>
          <w:p>
            <w:pPr>
              <w:ind w:left="140"/>
              <w:spacing w:after="0" w:line="216" w:lineRule="exact"/>
              <w:rPr>
                <w:sz w:val="20"/>
                <w:szCs w:val="20"/>
                <w:color w:val="auto"/>
              </w:rPr>
            </w:pPr>
            <w:r>
              <w:rPr>
                <w:rFonts w:ascii="Arial" w:cs="Arial" w:eastAsia="Arial" w:hAnsi="Arial"/>
                <w:sz w:val="16"/>
                <w:szCs w:val="16"/>
                <w:color w:val="auto"/>
              </w:rPr>
              <w:t>Professional services</w:t>
            </w:r>
            <w:r>
              <w:rPr>
                <w:rFonts w:ascii="Arial" w:cs="Arial" w:eastAsia="Arial" w:hAnsi="Arial"/>
                <w:sz w:val="25"/>
                <w:szCs w:val="25"/>
                <w:color w:val="auto"/>
                <w:vertAlign w:val="superscript"/>
              </w:rPr>
              <w:t>(1)(3)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19"/>
                <w:szCs w:val="19"/>
                <w:color w:val="auto"/>
              </w:rPr>
            </w:pPr>
          </w:p>
        </w:tc>
      </w:tr>
      <w:tr>
        <w:trPr>
          <w:trHeight w:val="237"/>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88,932</w:t>
            </w: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60" w:type="dxa"/>
            <w:vAlign w:val="bottom"/>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6"/>
                <w:szCs w:val="26"/>
                <w:color w:val="auto"/>
                <w:vertAlign w:val="superscript"/>
              </w:rPr>
              <w:t>(1)(3)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31,595</w:t>
            </w:r>
          </w:p>
        </w:tc>
        <w:tc>
          <w:tcPr>
            <w:tcW w:w="100" w:type="dxa"/>
            <w:vAlign w:val="bottom"/>
          </w:tcPr>
          <w:p>
            <w:pPr>
              <w:spacing w:after="0"/>
              <w:rPr>
                <w:sz w:val="19"/>
                <w:szCs w:val="19"/>
                <w:color w:val="auto"/>
              </w:rPr>
            </w:pPr>
          </w:p>
        </w:tc>
      </w:tr>
      <w:tr>
        <w:trPr>
          <w:trHeight w:val="230"/>
        </w:trPr>
        <w:tc>
          <w:tcPr>
            <w:tcW w:w="5960" w:type="dxa"/>
            <w:vAlign w:val="bottom"/>
            <w:tcBorders>
              <w:right w:val="single" w:sz="8" w:color="CCEEFF"/>
            </w:tcBorders>
            <w:shd w:val="clear" w:color="auto" w:fill="CCEEFF"/>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6"/>
                <w:szCs w:val="26"/>
                <w:color w:val="auto"/>
                <w:vertAlign w:val="superscript"/>
              </w:rPr>
              <w:t>(1)(3)</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85,192</w:t>
            </w:r>
          </w:p>
        </w:tc>
        <w:tc>
          <w:tcPr>
            <w:tcW w:w="100" w:type="dxa"/>
            <w:vAlign w:val="bottom"/>
            <w:shd w:val="clear" w:color="auto" w:fill="CCEEFF"/>
          </w:tcPr>
          <w:p>
            <w:pPr>
              <w:spacing w:after="0"/>
              <w:rPr>
                <w:sz w:val="19"/>
                <w:szCs w:val="19"/>
                <w:color w:val="auto"/>
              </w:rPr>
            </w:pPr>
          </w:p>
        </w:tc>
      </w:tr>
      <w:tr>
        <w:trPr>
          <w:trHeight w:val="223"/>
        </w:trPr>
        <w:tc>
          <w:tcPr>
            <w:tcW w:w="5960" w:type="dxa"/>
            <w:vAlign w:val="bottom"/>
          </w:tcPr>
          <w:p>
            <w:pPr>
              <w:ind w:left="1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5"/>
                <w:szCs w:val="25"/>
                <w:color w:val="auto"/>
                <w:vertAlign w:val="superscript"/>
              </w:rPr>
              <w:t>(1)(2)(3)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17,850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33,018</w:t>
            </w:r>
          </w:p>
        </w:tc>
        <w:tc>
          <w:tcPr>
            <w:tcW w:w="100" w:type="dxa"/>
            <w:vAlign w:val="bottom"/>
          </w:tcPr>
          <w:p>
            <w:pPr>
              <w:spacing w:after="0"/>
              <w:rPr>
                <w:sz w:val="19"/>
                <w:szCs w:val="19"/>
                <w:color w:val="auto"/>
              </w:rPr>
            </w:pPr>
          </w:p>
        </w:tc>
      </w:tr>
      <w:tr>
        <w:trPr>
          <w:trHeight w:val="237"/>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149,622</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149,805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(31,231)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(41,619)</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(60,873)</w:t>
            </w:r>
          </w:p>
        </w:tc>
      </w:tr>
      <w:tr>
        <w:trPr>
          <w:trHeight w:val="223"/>
        </w:trPr>
        <w:tc>
          <w:tcPr>
            <w:tcW w:w="59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Financial income, net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(30,680)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(35,130)</w:t>
            </w: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(59,746)</w:t>
            </w:r>
          </w:p>
        </w:tc>
      </w:tr>
      <w:tr>
        <w:trPr>
          <w:trHeight w:val="230"/>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r>
      <w:tr>
        <w:trPr>
          <w:trHeight w:val="27"/>
        </w:trPr>
        <w:tc>
          <w:tcPr>
            <w:tcW w:w="59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(31,159)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(37,627)</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(60,904)</w:t>
            </w: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Adjustment attributable to non-controlling interest</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(9,632)</w:t>
            </w:r>
          </w:p>
        </w:tc>
      </w:tr>
      <w:tr>
        <w:trPr>
          <w:trHeight w:val="223"/>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WalkMe Ltd.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loss per share attributable to WalkMe Ltd.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Weighted-average shares used in computing net loss per share attributable to</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1"/>
        </w:trPr>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shareholders, basic and diluted</w:t>
            </w: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88,604,385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84,727,799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87,949,871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84,348,046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22"/>
          <w:szCs w:val="22"/>
          <w:color w:val="auto"/>
        </w:rPr>
        <w:t xml:space="preserve"> Includes share-based compensation expense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 of professional services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11,973</w:t>
            </w:r>
          </w:p>
        </w:tc>
        <w:tc>
          <w:tcPr>
            <w:tcW w:w="100" w:type="dxa"/>
            <w:vAlign w:val="bottom"/>
          </w:tcPr>
          <w:p>
            <w:pPr>
              <w:spacing w:after="0"/>
              <w:rPr>
                <w:sz w:val="18"/>
                <w:szCs w:val="18"/>
                <w:color w:val="auto"/>
              </w:rPr>
            </w:pP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13,418</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28,870</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29"/>
                <w:szCs w:val="29"/>
                <w:color w:val="auto"/>
                <w:w w:val="98"/>
                <w:vertAlign w:val="superscript"/>
              </w:rPr>
              <w:t>(2)</w:t>
            </w:r>
            <w:r>
              <w:rPr>
                <w:rFonts w:ascii="Arial" w:cs="Arial" w:eastAsia="Arial" w:hAnsi="Arial"/>
                <w:sz w:val="18"/>
                <w:szCs w:val="18"/>
                <w:color w:val="auto"/>
                <w:w w:val="98"/>
              </w:rPr>
              <w:t xml:space="preserve"> Includes amortization and impairment of acquired intangibles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and impairment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5960" w:type="dxa"/>
            <w:vAlign w:val="bottom"/>
            <w:tcBorders>
              <w:top w:val="single" w:sz="8" w:color="CCEEFF"/>
            </w:tcBorders>
          </w:tcPr>
          <w:p>
            <w:pPr>
              <w:spacing w:after="0"/>
              <w:rPr>
                <w:sz w:val="20"/>
                <w:szCs w:val="20"/>
                <w:color w:val="auto"/>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Includes restructuring expense as follows:</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 of professional services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restructuring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94,105</w:t>
            </w: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Short-term deposits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125,231</w:t>
            </w: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Trade receivables, net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45,024</w:t>
            </w: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contract acquisition costs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40,110</w:t>
            </w: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447,390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445,206</w:t>
            </w:r>
          </w:p>
        </w:tc>
        <w:tc>
          <w:tcPr>
            <w:tcW w:w="100" w:type="dxa"/>
            <w:vAlign w:val="bottom"/>
            <w:shd w:val="clear" w:color="auto" w:fill="CCEEFF"/>
          </w:tcPr>
          <w:p>
            <w:pPr>
              <w:spacing w:after="0"/>
              <w:rPr>
                <w:sz w:val="23"/>
                <w:szCs w:val="23"/>
                <w:color w:val="auto"/>
              </w:rPr>
            </w:pPr>
          </w:p>
        </w:tc>
      </w:tr>
      <w:tr>
        <w:trPr>
          <w:trHeight w:val="210"/>
        </w:trPr>
        <w:tc>
          <w:tcPr>
            <w:tcW w:w="73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shareholders’ equity</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53,414</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Long-term liabilities: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190,537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182,952</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Share capital and additional paid-in capital</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719,391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688,636</w:t>
            </w: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(2,555)</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(470,125)</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(432,645)</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246,711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non-controlling interest and shareholders’ equity</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447,390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445,206</w:t>
            </w:r>
          </w:p>
        </w:tc>
        <w:tc>
          <w:tcPr>
            <w:tcW w:w="100" w:type="dxa"/>
            <w:vAlign w:val="bottom"/>
            <w:shd w:val="clear" w:color="auto" w:fill="CCEEFF"/>
          </w:tcPr>
          <w:p>
            <w:pPr>
              <w:spacing w:after="0"/>
              <w:rPr>
                <w:sz w:val="23"/>
                <w:szCs w:val="23"/>
                <w:color w:val="auto"/>
              </w:rPr>
            </w:pPr>
          </w:p>
        </w:tc>
      </w:tr>
      <w:tr>
        <w:trPr>
          <w:trHeight w:val="446"/>
        </w:trPr>
        <w:tc>
          <w:tcPr>
            <w:tcW w:w="732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3"/>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(13,981)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(31,159)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(37,627)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(60,904)</w:t>
            </w:r>
          </w:p>
        </w:tc>
      </w:tr>
      <w:tr>
        <w:trPr>
          <w:trHeight w:val="216"/>
        </w:trPr>
        <w:tc>
          <w:tcPr>
            <w:tcW w:w="63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w w:val="91"/>
              </w:rPr>
              <w:t>Adjustments to reconcile net loss to net cash provided by (used in) operating activities: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and liabilities, net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Finance income</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3"/>
              </w:rPr>
              <w:t>Amortization of premium and accretion of discount on marketable securities, net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Decrease (increase) in trade receivables, net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(3,194)</w:t>
            </w: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0"/>
              </w:rPr>
              <w:t>Decrease (increase) in prepaid expenses and other current and non-current assets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Decrease (increase) in deferred contract acquisition costs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(3,175)</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Decrease in trade payables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Increase (decrease) in accrued expenses and other current liabilities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(7,789)</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(7,954)</w:t>
            </w: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deferred revenues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shd w:val="clear" w:color="auto" w:fill="CCEEFF"/>
          </w:tcPr>
          <w:p>
            <w:pPr>
              <w:spacing w:after="0"/>
              <w:rPr>
                <w:sz w:val="19"/>
                <w:szCs w:val="19"/>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Increase in other long-term liabilities</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Investment in short-term deposits</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(43,500)</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deposits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57,257</w:t>
            </w:r>
          </w:p>
        </w:tc>
        <w:tc>
          <w:tcPr>
            <w:tcW w:w="10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Investment in marketable securities</w:t>
            </w: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(23,809)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restricted deposits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3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software development costs</w:t>
            </w: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w:t>
            </w:r>
          </w:p>
        </w:tc>
      </w:tr>
      <w:tr>
        <w:trPr>
          <w:trHeight w:val="223"/>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38,111</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23,594</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74,467</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top w:val="single" w:sz="8" w:color="CCEEFF"/>
            </w:tcBorders>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Proceeds from exercise of options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employees share purchase plan</w:t>
            </w: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100" w:type="dxa"/>
            <w:vAlign w:val="bottom"/>
          </w:tcPr>
          <w:p>
            <w:pPr>
              <w:spacing w:after="0"/>
              <w:rPr>
                <w:sz w:val="20"/>
                <w:szCs w:val="20"/>
                <w:color w:val="auto"/>
              </w:rPr>
            </w:pP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currency exchange rate changes on cash, cash equivalents, and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r>
      <w:tr>
        <w:trPr>
          <w:trHeight w:val="27"/>
        </w:trPr>
        <w:tc>
          <w:tcPr>
            <w:tcW w:w="59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(10,777)</w:t>
            </w:r>
          </w:p>
        </w:tc>
      </w:tr>
      <w:tr>
        <w:trPr>
          <w:trHeight w:val="23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249,868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94,428</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277,251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169,953</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266,474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169,953</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266,474</w:t>
            </w:r>
          </w:p>
        </w:tc>
        <w:tc>
          <w:tcPr>
            <w:tcW w:w="10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5"/>
        </w:trPr>
        <w:tc>
          <w:tcPr>
            <w:tcW w:w="5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56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GAAP 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54,303</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45,852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108,003</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88,932</w:t>
            </w: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1,811</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Plus: Amortization of acquired intangibles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352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Restructuring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Non-GAAP 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55,383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46,988</w:t>
            </w:r>
          </w:p>
        </w:tc>
        <w:tc>
          <w:tcPr>
            <w:tcW w:w="3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109,974</w:t>
            </w:r>
          </w:p>
        </w:tc>
        <w:tc>
          <w:tcPr>
            <w:tcW w:w="3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91,095</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GAAP gross margin</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Non-GAAP gross margin</w:t>
            </w:r>
          </w:p>
        </w:tc>
        <w:tc>
          <w:tcPr>
            <w:tcW w:w="20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b w:val="1"/>
                <w:bCs w:val="1"/>
                <w:color w:val="auto"/>
              </w:rPr>
              <w:t>Reconciliation of 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GAAP research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16,120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31,595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(2,549)</w:t>
            </w: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(2,074)</w:t>
            </w:r>
          </w:p>
        </w:tc>
        <w:tc>
          <w:tcPr>
            <w:tcW w:w="18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(3,640)</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Restructuring expense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Non-GAAP 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11,577</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14,046</w:t>
            </w:r>
          </w:p>
        </w:tc>
        <w:tc>
          <w:tcPr>
            <w:tcW w:w="3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23,480</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27,955</w:t>
            </w:r>
          </w:p>
        </w:tc>
      </w:tr>
      <w:tr>
        <w:trPr>
          <w:trHeight w:val="21"/>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GAAP sales and marketing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39,459</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43,113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83,917</w:t>
            </w:r>
          </w:p>
        </w:tc>
        <w:tc>
          <w:tcPr>
            <w:tcW w:w="3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85,192</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(3,944)</w:t>
            </w: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(4,645)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(8,555)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(8,457)</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Less: Restructuring expense</w:t>
            </w:r>
          </w:p>
        </w:tc>
        <w:tc>
          <w:tcPr>
            <w:tcW w:w="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sales and marketing</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34,551</w:t>
            </w: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38,468</w:t>
            </w:r>
          </w:p>
        </w:tc>
        <w:tc>
          <w:tcPr>
            <w:tcW w:w="32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76,735</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10"/>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GAAP 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17,850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37,221</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33,018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(4,731)</w:t>
            </w: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(5,739)</w:t>
            </w:r>
          </w:p>
        </w:tc>
        <w:tc>
          <w:tcPr>
            <w:tcW w:w="18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(13,825)</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(10,386)</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of acquired intangibles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(979)</w:t>
            </w:r>
          </w:p>
        </w:tc>
      </w:tr>
      <w:tr>
        <w:trPr>
          <w:trHeight w:val="236"/>
        </w:trPr>
        <w:tc>
          <w:tcPr>
            <w:tcW w:w="5640" w:type="dxa"/>
            <w:vAlign w:val="bottom"/>
          </w:tcPr>
          <w:p>
            <w:pPr>
              <w:spacing w:after="0"/>
              <w:rPr>
                <w:sz w:val="20"/>
                <w:szCs w:val="20"/>
                <w:color w:val="auto"/>
              </w:rPr>
            </w:pPr>
            <w:r>
              <w:rPr>
                <w:rFonts w:ascii="Arial" w:cs="Arial" w:eastAsia="Arial" w:hAnsi="Arial"/>
                <w:sz w:val="18"/>
                <w:szCs w:val="18"/>
                <w:color w:val="auto"/>
              </w:rPr>
              <w:t>Less: Restructuring expense</w:t>
            </w:r>
          </w:p>
        </w:tc>
        <w:tc>
          <w:tcPr>
            <w:tcW w:w="200" w:type="dxa"/>
            <w:vAlign w:val="bottom"/>
          </w:tcPr>
          <w:p>
            <w:pPr>
              <w:spacing w:after="0"/>
              <w:rPr>
                <w:sz w:val="20"/>
                <w:szCs w:val="20"/>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general and administrative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10"/>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operating loss and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GAAP 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(15,842)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(31,231)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(41,619)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(60,873)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13,418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24,294</w:t>
            </w: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Plus: Amortization and impairment of acquired intangibles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1,331</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Restructuring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Non-GAAP operating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(2,328)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(16,658)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(11,140)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(35,248)</w:t>
            </w:r>
          </w:p>
        </w:tc>
      </w:tr>
      <w:tr>
        <w:trPr>
          <w:trHeight w:val="21"/>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0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Reconciliation of net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attributable to WalkMe Ltd.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(27,894)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(39,727)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(50,923)</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13,418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24,294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and impairment of acquired intangibles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1,331</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Plus: Restructuring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 Adjustment attributable to non-controlling interest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(3,174)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(9,632)</w:t>
            </w:r>
          </w:p>
        </w:tc>
      </w:tr>
      <w:tr>
        <w:trPr>
          <w:trHeight w:val="27"/>
        </w:trPr>
        <w:tc>
          <w:tcPr>
            <w:tcW w:w="5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Non-GAAP net loss attributable to WalkMe Ltd.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(16,495)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(7,001)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(34,930)</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w w:val="94"/>
              </w:rPr>
              <w:t>Non-GAAP net loss per share attributable to WalkMe Ltd.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(0.19)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(0.41)</w:t>
            </w:r>
          </w:p>
        </w:tc>
      </w:tr>
      <w:tr>
        <w:trPr>
          <w:trHeight w:val="21"/>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non-GAAP per share calculations: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w w:val="94"/>
              </w:rPr>
              <w:t>GAAP weighted-average shares used to compute net loss per share, basic</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and 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88,604,385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w w:val="95"/>
              </w:rPr>
              <w:t>84,727,799</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87,949,871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w w:val="93"/>
              </w:rPr>
              <w:t>84,348,046</w:t>
            </w:r>
          </w:p>
        </w:tc>
      </w:tr>
      <w:tr>
        <w:trPr>
          <w:trHeight w:val="222"/>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5"/>
              </w:rPr>
              <w:t>Non-GAAP weighted-average shares used to compute net loss per share,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88,604,385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5"/>
              </w:rPr>
              <w:t>84,727,799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87,949,871</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84,348,046</w:t>
            </w:r>
          </w:p>
        </w:tc>
      </w:tr>
      <w:tr>
        <w:trPr>
          <w:trHeight w:val="669"/>
        </w:trPr>
        <w:tc>
          <w:tcPr>
            <w:tcW w:w="5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ind w:right="5080"/>
        <w:spacing w:after="0" w:line="276" w:lineRule="auto"/>
        <w:rPr>
          <w:sz w:val="20"/>
          <w:szCs w:val="20"/>
          <w:color w:val="auto"/>
        </w:rPr>
      </w:pPr>
      <w:r>
        <w:rPr>
          <w:rFonts w:ascii="Arial" w:cs="Arial" w:eastAsia="Arial" w:hAnsi="Arial"/>
          <w:sz w:val="18"/>
          <w:szCs w:val="18"/>
          <w:b w:val="1"/>
          <w:bCs w:val="1"/>
          <w:color w:val="auto"/>
        </w:rPr>
        <w:t>Reconciliation of GAAP Cash Flow from Operating Activities to Free Cash Flow (in thousands;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(28,312)</w:t>
            </w:r>
          </w:p>
        </w:tc>
        <w:tc>
          <w:tcPr>
            <w:tcW w:w="100" w:type="dxa"/>
            <w:vAlign w:val="bottom"/>
            <w:shd w:val="clear" w:color="auto" w:fill="CCEEFF"/>
          </w:tcPr>
          <w:p>
            <w:pPr>
              <w:spacing w:after="0"/>
              <w:rPr>
                <w:sz w:val="19"/>
                <w:szCs w:val="19"/>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(2,038)</w:t>
            </w: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software development costs</w:t>
            </w: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w:t>
            </w:r>
          </w:p>
        </w:tc>
      </w:tr>
      <w:tr>
        <w:trPr>
          <w:trHeight w:val="216"/>
        </w:trPr>
        <w:tc>
          <w:tcPr>
            <w:tcW w:w="49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5,174</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(12,226)</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(32,535)</w:t>
            </w:r>
          </w:p>
        </w:tc>
      </w:tr>
      <w:tr>
        <w:trPr>
          <w:trHeight w:val="345"/>
        </w:trPr>
        <w:tc>
          <w:tcPr>
            <w:tcW w:w="490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49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2023-08-10T06:13:36Z</dcterms:created>
  <dcterms:modified xsi:type="dcterms:W3CDTF">2023-08-10T06:13:36Z</dcterms:modified>
</cp:coreProperties>
</file>