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k2329533.htm"/>
      <w:bookmarkStart w:id="1" w:name="kszk2329533"/>
      <w:bookmarkStart w:id="2" w:name="zk2329533.htm"/>
      <w:bookmarkStart w:id="3" w:name="kszk2329533"/>
      <w:bookmarkEnd w:id="2"/>
      <w:bookmarkEnd w:id="3"/>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UNITED STATES</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SECURITIES AND EXCHANGE COMMISSION</w:t>
      </w:r>
    </w:p>
    <w:p>
      <w:pPr>
        <w:pStyle w:val="TextBody"/>
        <w:spacing w:lineRule="auto" w:line="300" w:before="0" w:after="0"/>
        <w:jc w:val="center"/>
        <w:rPr>
          <w:b/>
        </w:rPr>
      </w:pPr>
      <w:r>
        <w:rPr>
          <w:b/>
        </w:rPr>
        <w:t>Washington, D.C. 20549</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28"/>
          <w:highlight w:val="white"/>
        </w:rPr>
      </w:pPr>
      <w:r>
        <w:rPr>
          <w:rFonts w:ascii="Times New Roman;Times;serif" w:hAnsi="Times New Roman;Times;serif"/>
          <w:b/>
          <w:i w:val="false"/>
          <w:caps w:val="false"/>
          <w:smallCaps w:val="false"/>
          <w:color w:val="000000"/>
          <w:sz w:val="28"/>
          <w:highlight w:val="white"/>
        </w:rPr>
        <w:t>FORM 6-K</w:t>
      </w:r>
    </w:p>
    <w:p>
      <w:pPr>
        <w:pStyle w:val="TextBody"/>
        <w:spacing w:lineRule="auto" w:line="300" w:before="0" w:after="0"/>
        <w:rPr/>
      </w:pPr>
      <w:r>
        <w:rPr/>
        <w:t> </w:t>
      </w:r>
    </w:p>
    <w:p>
      <w:pPr>
        <w:pStyle w:val="TextBody"/>
        <w:spacing w:lineRule="auto" w:line="300" w:before="0" w:after="0"/>
        <w:jc w:val="center"/>
        <w:rPr>
          <w:b/>
        </w:rPr>
      </w:pPr>
      <w:r>
        <w:rPr>
          <w:b/>
        </w:rPr>
        <w:t>REPORT OF FOREIGN PRIVATE ISSUER</w:t>
      </w:r>
    </w:p>
    <w:p>
      <w:pPr>
        <w:pStyle w:val="TextBody"/>
        <w:spacing w:lineRule="auto" w:line="300" w:before="0" w:after="0"/>
        <w:jc w:val="center"/>
        <w:rPr>
          <w:b/>
        </w:rPr>
      </w:pPr>
      <w:r>
        <w:rPr>
          <w:b/>
        </w:rPr>
        <w:t>PURSUANT TO SECTION 13A-16 OR 15D-16</w:t>
      </w:r>
    </w:p>
    <w:p>
      <w:pPr>
        <w:pStyle w:val="TextBody"/>
        <w:spacing w:lineRule="auto" w:line="300" w:before="0" w:after="0"/>
        <w:jc w:val="center"/>
        <w:rPr>
          <w:b/>
        </w:rPr>
      </w:pPr>
      <w:r>
        <w:rPr>
          <w:b/>
        </w:rPr>
        <w:t>UNDER THE SECURITIES EXCHANGE ACT OF 1934</w:t>
      </w:r>
    </w:p>
    <w:p>
      <w:pPr>
        <w:pStyle w:val="TextBody"/>
        <w:spacing w:lineRule="auto" w:line="300" w:before="0" w:after="0"/>
        <w:rPr/>
      </w:pPr>
      <w:r>
        <w:rPr/>
        <w:t> </w:t>
      </w:r>
    </w:p>
    <w:p>
      <w:pPr>
        <w:pStyle w:val="TextBody"/>
        <w:spacing w:lineRule="auto" w:line="300" w:before="0" w:after="0"/>
        <w:jc w:val="center"/>
        <w:rPr>
          <w:b/>
        </w:rPr>
      </w:pPr>
      <w:r>
        <w:rPr>
          <w:b/>
        </w:rPr>
        <w:t>For the month of April 2023</w:t>
      </w:r>
    </w:p>
    <w:p>
      <w:pPr>
        <w:pStyle w:val="TextBody"/>
        <w:spacing w:lineRule="auto" w:line="300" w:before="0" w:after="0"/>
        <w:rPr/>
      </w:pPr>
      <w:r>
        <w:rPr/>
        <w:t> </w:t>
      </w:r>
    </w:p>
    <w:p>
      <w:pPr>
        <w:pStyle w:val="TextBody"/>
        <w:spacing w:lineRule="auto" w:line="300" w:before="0" w:after="0"/>
        <w:jc w:val="center"/>
        <w:rPr>
          <w:b/>
        </w:rPr>
      </w:pPr>
      <w:r>
        <w:rPr>
          <w:b/>
        </w:rPr>
        <w:t>Commission File Number: 001-40490</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i w:val="false"/>
          <w:caps w:val="false"/>
          <w:smallCaps w:val="false"/>
          <w:color w:val="000000"/>
          <w:sz w:val="32"/>
          <w:highlight w:val="white"/>
        </w:rPr>
      </w:pPr>
      <w:r>
        <w:rPr>
          <w:rFonts w:ascii="Times New Roman;Times;serif" w:hAnsi="Times New Roman;Times;serif"/>
          <w:b/>
          <w:i w:val="false"/>
          <w:caps w:val="false"/>
          <w:smallCaps w:val="false"/>
          <w:color w:val="000000"/>
          <w:sz w:val="32"/>
          <w:highlight w:val="white"/>
        </w:rPr>
        <w:t>WalkMe Ltd.</w:t>
      </w:r>
    </w:p>
    <w:p>
      <w:pPr>
        <w:pStyle w:val="TextBody"/>
        <w:spacing w:lineRule="auto" w:line="300" w:before="0" w:after="0"/>
        <w:jc w:val="center"/>
        <w:rPr>
          <w:b/>
        </w:rPr>
      </w:pPr>
      <w:r>
        <w:rPr>
          <w:b/>
        </w:rPr>
        <w:t>(Translation of registrant’s name into English)</w:t>
      </w:r>
    </w:p>
    <w:p>
      <w:pPr>
        <w:pStyle w:val="TextBody"/>
        <w:spacing w:lineRule="auto" w:line="300" w:before="0" w:after="0"/>
        <w:rPr/>
      </w:pPr>
      <w:r>
        <w:rPr/>
      </w:r>
    </w:p>
    <w:p>
      <w:pPr>
        <w:pStyle w:val="TextBody"/>
        <w:spacing w:lineRule="auto" w:line="300" w:before="0" w:after="0"/>
        <w:jc w:val="center"/>
        <w:rPr>
          <w:b/>
        </w:rPr>
      </w:pPr>
      <w:r>
        <w:rPr>
          <w:b/>
        </w:rPr>
        <w:t>1 Walter Moses St.</w:t>
      </w:r>
    </w:p>
    <w:p>
      <w:pPr>
        <w:pStyle w:val="TextBody"/>
        <w:spacing w:lineRule="auto" w:line="300" w:before="0" w:after="0"/>
        <w:jc w:val="center"/>
        <w:rPr>
          <w:b/>
        </w:rPr>
      </w:pPr>
      <w:r>
        <w:rPr>
          <w:b/>
        </w:rPr>
        <w:t>Tel Aviv 6789903, Israel</w:t>
      </w:r>
    </w:p>
    <w:p>
      <w:pPr>
        <w:pStyle w:val="TextBody"/>
        <w:spacing w:lineRule="auto" w:line="300" w:before="0" w:after="0"/>
        <w:jc w:val="center"/>
        <w:rPr>
          <w:b/>
        </w:rPr>
      </w:pPr>
      <w:r>
        <w:rPr>
          <w:b/>
        </w:rPr>
        <w:t>+972 (3) 763-0333</w:t>
      </w:r>
    </w:p>
    <w:p>
      <w:pPr>
        <w:pStyle w:val="TextBody"/>
        <w:spacing w:lineRule="auto" w:line="300" w:before="0" w:after="0"/>
        <w:jc w:val="center"/>
        <w:rPr>
          <w:b/>
        </w:rPr>
      </w:pPr>
      <w:r>
        <w:rPr>
          <w:b/>
        </w:rPr>
        <w:t>(Address of principal executive office)</w:t>
      </w:r>
    </w:p>
    <w:p>
      <w:pPr>
        <w:pStyle w:val="TextBody"/>
        <w:spacing w:lineRule="auto" w:line="300" w:before="0" w:after="0"/>
        <w:rPr/>
      </w:pPr>
      <w:r>
        <w:rPr/>
        <w:t> </w:t>
      </w:r>
    </w:p>
    <w:p>
      <w:pPr>
        <w:pStyle w:val="TextBody"/>
        <w:spacing w:lineRule="auto" w:line="300" w:before="0" w:after="0"/>
        <w:rPr/>
      </w:pPr>
      <w:r>
        <w:rPr/>
        <w:t>Indicate by check mark whether the registrant files or will file annual reports under cover of Form 20-F or Form 40-F.</w:t>
      </w:r>
    </w:p>
    <w:p>
      <w:pPr>
        <w:pStyle w:val="TextBody"/>
        <w:spacing w:lineRule="auto" w:line="300" w:before="0" w:after="0"/>
        <w:rPr/>
      </w:pPr>
      <w:r>
        <w:rPr/>
        <w:t> </w:t>
      </w:r>
    </w:p>
    <w:p>
      <w:pPr>
        <w:pStyle w:val="TextBody"/>
        <w:spacing w:lineRule="auto" w:line="300" w:before="0" w:after="0"/>
        <w:jc w:val="center"/>
        <w:rPr/>
      </w:pPr>
      <w:r>
        <w:rPr/>
        <w:t>Form 20-F ☒   Form 40-F ☐</w:t>
      </w:r>
    </w:p>
    <w:p>
      <w:pPr>
        <w:pStyle w:val="TextBody"/>
        <w:spacing w:lineRule="auto" w:line="300" w:before="0" w:after="0"/>
        <w:rPr/>
      </w:pPr>
      <w:r>
        <w:rPr/>
        <w:t> </w:t>
      </w:r>
    </w:p>
    <w:p>
      <w:pPr>
        <w:pStyle w:val="TextBody"/>
        <w:spacing w:lineRule="auto" w:line="300" w:before="0" w:after="0"/>
        <w:rPr/>
      </w:pPr>
      <w:r>
        <w:rPr/>
        <w:t>Indicate by check mark if the registrant is submitting the Form 6-K in paper as permitted by Regulation S-T Rule 101(b)(1): ☐</w:t>
      </w:r>
    </w:p>
    <w:p>
      <w:pPr>
        <w:pStyle w:val="TextBody"/>
        <w:spacing w:lineRule="auto" w:line="300" w:before="0" w:after="0"/>
        <w:rPr/>
      </w:pPr>
      <w:r>
        <w:rPr/>
        <w:t> </w:t>
      </w:r>
    </w:p>
    <w:p>
      <w:pPr>
        <w:pStyle w:val="TextBody"/>
        <w:spacing w:lineRule="auto" w:line="300" w:before="0" w:after="0"/>
        <w:rPr/>
      </w:pPr>
      <w:r>
        <w:rPr/>
        <w:t>Indicate by check mark if the registrant is submitting the Form 6-K in paper as permitted by Regulation S-T Rule 101(b)(7): ☐</w:t>
      </w:r>
    </w:p>
    <w:p>
      <w:pPr>
        <w:pStyle w:val="TextBody"/>
        <w:spacing w:lineRule="auto" w:line="300" w:before="0" w:after="0"/>
        <w:rPr/>
      </w:pPr>
      <w:r>
        <w:rPr/>
      </w:r>
    </w:p>
    <w:p>
      <w:pPr>
        <w:pStyle w:val="HorizontalLine"/>
        <w:pBdr>
          <w:bottom w:val="single" w:sz="20" w:space="0" w:color="808080"/>
        </w:pBdr>
        <w:spacing w:before="200" w:after="200"/>
        <w:rPr/>
      </w:pPr>
      <w:r>
        <w:rPr/>
      </w:r>
    </w:p>
    <w:p>
      <w:pPr>
        <w:pStyle w:val="TextBody"/>
        <w:spacing w:lineRule="auto" w:line="300" w:before="0" w:after="0"/>
        <w:jc w:val="center"/>
        <w:rPr>
          <w:b/>
        </w:rPr>
      </w:pPr>
      <w:r>
        <w:rPr>
          <w:b/>
        </w:rPr>
        <w:t>EXPLANATORY NOTE</w:t>
      </w:r>
    </w:p>
    <w:p>
      <w:pPr>
        <w:pStyle w:val="TextBody"/>
        <w:spacing w:lineRule="auto" w:line="300" w:before="0" w:after="0"/>
        <w:rPr/>
      </w:pPr>
      <w:r>
        <w:rPr/>
        <w:t> </w:t>
      </w:r>
    </w:p>
    <w:p>
      <w:pPr>
        <w:pStyle w:val="TextBody"/>
        <w:spacing w:lineRule="auto" w:line="300" w:before="0" w:after="0"/>
        <w:jc w:val="both"/>
        <w:rPr/>
      </w:pPr>
      <w:r>
        <w:rPr/>
        <w:t>On April 10, 2023, WalkMe Ltd. (the “Company”) furnished a Report on Form 6-K (the “Initial 6-K”) in connection with its 2023 annual general meeting of shareholders (the “2023 Annual General Meeting”), which will be held on May 15, 2023.</w:t>
      </w:r>
    </w:p>
    <w:p>
      <w:pPr>
        <w:pStyle w:val="TextBody"/>
        <w:spacing w:lineRule="auto" w:line="300" w:before="0" w:after="0"/>
        <w:jc w:val="both"/>
        <w:rPr/>
      </w:pPr>
      <w:r>
        <w:rPr/>
        <w:t> </w:t>
      </w:r>
      <w:r>
        <w:rPr/>
        <w:br/>
        <w:t>This Report on Form 6-K hereby clarifies that the increase to the annual base salary of Dan Adika, the Company’s Chief Executive Officer, as proposed in Proposal No. 2, as further detailed in the proxy statement attached as Exhibit 99.1 to the Initial 6-K, will be effective as of January 1, 2023, provided the shareholders approve Proposal No. 2 at the 2023 Annual General Meeting.</w:t>
      </w:r>
    </w:p>
    <w:p>
      <w:pPr>
        <w:pStyle w:val="TextBody"/>
        <w:spacing w:lineRule="auto" w:line="300" w:before="0" w:after="0"/>
        <w:rPr/>
      </w:pPr>
      <w:r>
        <w:rPr/>
        <w:t> </w:t>
      </w:r>
    </w:p>
    <w:p>
      <w:pPr>
        <w:pStyle w:val="TextBody"/>
        <w:spacing w:lineRule="auto" w:line="300" w:before="0" w:after="0"/>
        <w:jc w:val="both"/>
        <w:rPr/>
      </w:pPr>
      <w:r>
        <w:rPr/>
        <w:t>This Report on Form 6-K is hereby incorporated by reference into the Company’s Registration Statements on Form S-8 (File Nos. 333-257354, 333-263823 and 333-270537).</w:t>
      </w:r>
    </w:p>
    <w:p>
      <w:pPr>
        <w:pStyle w:val="TextBody"/>
        <w:spacing w:lineRule="auto" w:line="300" w:before="0" w:after="0"/>
        <w:rPr/>
      </w:pPr>
      <w:r>
        <w:rPr/>
        <w:t> </w:t>
      </w:r>
    </w:p>
    <w:p>
      <w:pPr>
        <w:pStyle w:val="HorizontalLine"/>
        <w:pBdr>
          <w:bottom w:val="single" w:sz="20" w:space="0" w:color="808080"/>
        </w:pBdr>
        <w:spacing w:before="200" w:after="200"/>
        <w:rPr/>
      </w:pPr>
      <w:r>
        <w:rPr/>
      </w:r>
    </w:p>
    <w:p>
      <w:pPr>
        <w:pStyle w:val="TextBody"/>
        <w:spacing w:lineRule="auto" w:line="300" w:before="0" w:after="0"/>
        <w:jc w:val="center"/>
        <w:rPr>
          <w:b/>
        </w:rPr>
      </w:pPr>
      <w:r>
        <w:rPr>
          <w:b/>
        </w:rPr>
        <w:t>SIGNATURES</w:t>
      </w:r>
    </w:p>
    <w:p>
      <w:pPr>
        <w:pStyle w:val="TextBody"/>
        <w:spacing w:lineRule="auto" w:line="300" w:before="0" w:after="0"/>
        <w:rPr/>
      </w:pPr>
      <w:r>
        <w:rPr/>
        <w:t> </w:t>
      </w:r>
    </w:p>
    <w:p>
      <w:pPr>
        <w:pStyle w:val="TextBody"/>
        <w:spacing w:lineRule="auto" w:line="300" w:before="0" w:after="0"/>
        <w:rPr/>
      </w:pPr>
      <w:r>
        <w:rPr/>
        <w:t>Pursuant to the requirements of the Securities Exchange Act of 1934, as amended, the registrant has duly caused this report to be signed on its behalf by the undersigned hereunto duly authorized.</w:t>
      </w:r>
    </w:p>
    <w:p>
      <w:pPr>
        <w:pStyle w:val="TextBody"/>
        <w:spacing w:lineRule="auto" w:line="300" w:before="0" w:after="0"/>
        <w:rPr/>
      </w:pPr>
      <w:r>
        <w:rPr/>
        <w:t> </w:t>
      </w:r>
    </w:p>
    <w:p>
      <w:pPr>
        <w:pStyle w:val="Normal"/>
        <w:spacing w:before="0" w:after="0"/>
        <w:rPr>
          <w:sz w:val="4"/>
          <w:szCs w:val="4"/>
        </w:rPr>
      </w:pPr>
      <w:r>
        <w:rPr>
          <w:sz w:val="4"/>
          <w:szCs w:val="4"/>
        </w:rPr>
      </w:r>
      <w:bookmarkStart w:id="4" w:name="z030d0bfd28904dfb82f7a37bd54d27d2"/>
      <w:bookmarkStart w:id="5" w:name="z030d0bfd28904dfb82f7a37bd54d27d2"/>
      <w:bookmarkEnd w:id="5"/>
    </w:p>
    <w:tbl>
      <w:tblPr>
        <w:tblW w:w="4620" w:type="dxa"/>
        <w:jc w:val="left"/>
        <w:tblInd w:w="0" w:type="dxa"/>
        <w:tblCellMar>
          <w:top w:w="0" w:type="dxa"/>
          <w:left w:w="0" w:type="dxa"/>
          <w:bottom w:w="0" w:type="dxa"/>
          <w:right w:w="0" w:type="dxa"/>
        </w:tblCellMar>
      </w:tblPr>
      <w:tblGrid>
        <w:gridCol w:w="1985"/>
        <w:gridCol w:w="365"/>
        <w:gridCol w:w="2210"/>
        <w:gridCol w:w="60"/>
      </w:tblGrid>
      <w:tr>
        <w:trPr/>
        <w:tc>
          <w:tcPr>
            <w:tcW w:w="1985" w:type="dxa"/>
            <w:tcBorders/>
            <w:shd w:fill="auto" w:val="clear"/>
            <w:vAlign w:val="center"/>
          </w:tcPr>
          <w:p>
            <w:pPr>
              <w:pStyle w:val="TableContents"/>
              <w:spacing w:lineRule="auto" w:line="300" w:before="0" w:after="0"/>
              <w:rPr/>
            </w:pPr>
            <w:r>
              <w:rPr/>
              <w:t> </w:t>
            </w:r>
          </w:p>
        </w:tc>
        <w:tc>
          <w:tcPr>
            <w:tcW w:w="2575" w:type="dxa"/>
            <w:gridSpan w:val="2"/>
            <w:tcBorders/>
            <w:shd w:fill="auto" w:val="clear"/>
            <w:vAlign w:val="center"/>
          </w:tcPr>
          <w:p>
            <w:pPr>
              <w:pStyle w:val="TableContents"/>
              <w:spacing w:lineRule="auto" w:line="300" w:before="0" w:after="0"/>
              <w:rPr>
                <w:b/>
              </w:rPr>
            </w:pPr>
            <w:r>
              <w:rPr>
                <w:b/>
              </w:rPr>
              <w:t>WalkMe Ltd.</w:t>
            </w:r>
          </w:p>
        </w:tc>
        <w:tc>
          <w:tcPr>
            <w:tcW w:w="60" w:type="dxa"/>
            <w:tcBorders/>
            <w:shd w:fill="auto" w:val="clear"/>
            <w:vAlign w:val="center"/>
          </w:tcPr>
          <w:p>
            <w:pPr>
              <w:pStyle w:val="TableContents"/>
              <w:spacing w:lineRule="auto" w:line="300" w:before="0" w:after="0"/>
              <w:rPr/>
            </w:pPr>
            <w:r>
              <w:rPr/>
              <w:t> </w:t>
            </w:r>
          </w:p>
        </w:tc>
      </w:tr>
      <w:tr>
        <w:trPr/>
        <w:tc>
          <w:tcPr>
            <w:tcW w:w="1985" w:type="dxa"/>
            <w:tcBorders/>
            <w:shd w:fill="auto" w:val="clear"/>
            <w:vAlign w:val="center"/>
          </w:tcPr>
          <w:p>
            <w:pPr>
              <w:pStyle w:val="TableContents"/>
              <w:spacing w:lineRule="auto" w:line="300" w:before="0" w:after="0"/>
              <w:rPr/>
            </w:pPr>
            <w:r>
              <w:rPr/>
              <w:t> </w:t>
            </w:r>
          </w:p>
        </w:tc>
        <w:tc>
          <w:tcPr>
            <w:tcW w:w="365" w:type="dxa"/>
            <w:tcBorders/>
            <w:shd w:fill="auto" w:val="clear"/>
            <w:vAlign w:val="center"/>
          </w:tcPr>
          <w:p>
            <w:pPr>
              <w:pStyle w:val="TableContents"/>
              <w:spacing w:lineRule="auto" w:line="300" w:before="0" w:after="0"/>
              <w:rPr/>
            </w:pPr>
            <w:r>
              <w:rPr/>
              <w:t> </w:t>
            </w:r>
          </w:p>
        </w:tc>
        <w:tc>
          <w:tcPr>
            <w:tcW w:w="2210" w:type="dxa"/>
            <w:tcBorders/>
            <w:shd w:fill="auto" w:val="clear"/>
            <w:vAlign w:val="center"/>
          </w:tcPr>
          <w:p>
            <w:pPr>
              <w:pStyle w:val="TableContents"/>
              <w:spacing w:lineRule="auto" w:line="300" w:before="0" w:after="0"/>
              <w:rPr/>
            </w:pPr>
            <w:r>
              <w:rPr/>
              <w:t> </w:t>
            </w:r>
          </w:p>
        </w:tc>
        <w:tc>
          <w:tcPr>
            <w:tcW w:w="60" w:type="dxa"/>
            <w:tcBorders/>
            <w:shd w:fill="auto" w:val="clear"/>
            <w:vAlign w:val="center"/>
          </w:tcPr>
          <w:p>
            <w:pPr>
              <w:pStyle w:val="TableContents"/>
              <w:spacing w:lineRule="auto" w:line="300" w:before="0" w:after="0"/>
              <w:rPr/>
            </w:pPr>
            <w:r>
              <w:rPr/>
              <w:t> </w:t>
            </w:r>
          </w:p>
        </w:tc>
      </w:tr>
      <w:tr>
        <w:trPr/>
        <w:tc>
          <w:tcPr>
            <w:tcW w:w="1985" w:type="dxa"/>
            <w:tcBorders/>
            <w:shd w:fill="auto" w:val="clear"/>
            <w:vAlign w:val="center"/>
          </w:tcPr>
          <w:p>
            <w:pPr>
              <w:pStyle w:val="TableContents"/>
              <w:spacing w:lineRule="auto" w:line="300" w:before="0" w:after="0"/>
              <w:rPr/>
            </w:pPr>
            <w:r>
              <w:rPr/>
              <w:t>Date: April 17, 2023</w:t>
            </w:r>
          </w:p>
        </w:tc>
        <w:tc>
          <w:tcPr>
            <w:tcW w:w="365" w:type="dxa"/>
            <w:tcBorders/>
            <w:shd w:fill="auto" w:val="clear"/>
            <w:vAlign w:val="center"/>
          </w:tcPr>
          <w:p>
            <w:pPr>
              <w:pStyle w:val="TableContents"/>
              <w:spacing w:lineRule="auto" w:line="300" w:before="0" w:after="0"/>
              <w:rPr/>
            </w:pPr>
            <w:r>
              <w:rPr/>
              <w:t>By:</w:t>
            </w:r>
          </w:p>
        </w:tc>
        <w:tc>
          <w:tcPr>
            <w:tcW w:w="2210" w:type="dxa"/>
            <w:tcBorders>
              <w:bottom w:val="single" w:sz="12" w:space="0" w:color="000000"/>
            </w:tcBorders>
            <w:shd w:fill="auto" w:val="clear"/>
            <w:tcMar>
              <w:bottom w:w="28" w:type="dxa"/>
            </w:tcMar>
            <w:vAlign w:val="center"/>
          </w:tcPr>
          <w:p>
            <w:pPr>
              <w:pStyle w:val="TableContents"/>
              <w:spacing w:lineRule="auto" w:line="300" w:before="0" w:after="0"/>
              <w:rPr/>
            </w:pPr>
            <w:r>
              <w:rPr/>
              <w:t>/s/ Hagit Ynon</w:t>
            </w:r>
          </w:p>
        </w:tc>
        <w:tc>
          <w:tcPr>
            <w:tcW w:w="60" w:type="dxa"/>
            <w:tcBorders/>
            <w:shd w:fill="auto" w:val="clear"/>
            <w:vAlign w:val="center"/>
          </w:tcPr>
          <w:p>
            <w:pPr>
              <w:pStyle w:val="TableContents"/>
              <w:spacing w:lineRule="auto" w:line="300" w:before="0" w:after="0"/>
              <w:rPr/>
            </w:pPr>
            <w:r>
              <w:rPr/>
              <w:t> </w:t>
            </w:r>
          </w:p>
        </w:tc>
      </w:tr>
      <w:tr>
        <w:trPr/>
        <w:tc>
          <w:tcPr>
            <w:tcW w:w="1985" w:type="dxa"/>
            <w:tcBorders/>
            <w:shd w:fill="auto" w:val="clear"/>
            <w:vAlign w:val="center"/>
          </w:tcPr>
          <w:p>
            <w:pPr>
              <w:pStyle w:val="TableContents"/>
              <w:spacing w:lineRule="auto" w:line="300" w:before="0" w:after="0"/>
              <w:rPr/>
            </w:pPr>
            <w:r>
              <w:rPr/>
              <w:t> </w:t>
            </w:r>
          </w:p>
        </w:tc>
        <w:tc>
          <w:tcPr>
            <w:tcW w:w="365" w:type="dxa"/>
            <w:tcBorders/>
            <w:shd w:fill="auto" w:val="clear"/>
            <w:vAlign w:val="center"/>
          </w:tcPr>
          <w:p>
            <w:pPr>
              <w:pStyle w:val="TableContents"/>
              <w:spacing w:lineRule="auto" w:line="300" w:before="0" w:after="0"/>
              <w:rPr/>
            </w:pPr>
            <w:r>
              <w:rPr/>
              <w:t> </w:t>
            </w:r>
          </w:p>
        </w:tc>
        <w:tc>
          <w:tcPr>
            <w:tcW w:w="2210" w:type="dxa"/>
            <w:tcBorders/>
            <w:shd w:fill="auto" w:val="clear"/>
            <w:vAlign w:val="center"/>
          </w:tcPr>
          <w:p>
            <w:pPr>
              <w:pStyle w:val="TableContents"/>
              <w:spacing w:lineRule="auto" w:line="300" w:before="0" w:after="0"/>
              <w:rPr/>
            </w:pPr>
            <w:r>
              <w:rPr/>
              <w:t>Hagit Ynon</w:t>
            </w:r>
          </w:p>
        </w:tc>
        <w:tc>
          <w:tcPr>
            <w:tcW w:w="60" w:type="dxa"/>
            <w:tcBorders/>
            <w:shd w:fill="auto" w:val="clear"/>
            <w:vAlign w:val="center"/>
          </w:tcPr>
          <w:p>
            <w:pPr>
              <w:pStyle w:val="TableContents"/>
              <w:spacing w:lineRule="auto" w:line="300" w:before="0" w:after="0"/>
              <w:rPr/>
            </w:pPr>
            <w:r>
              <w:rPr/>
              <w:t> </w:t>
            </w:r>
          </w:p>
        </w:tc>
      </w:tr>
      <w:tr>
        <w:trPr/>
        <w:tc>
          <w:tcPr>
            <w:tcW w:w="1985" w:type="dxa"/>
            <w:tcBorders/>
            <w:shd w:fill="auto" w:val="clear"/>
            <w:vAlign w:val="center"/>
          </w:tcPr>
          <w:p>
            <w:pPr>
              <w:pStyle w:val="TableContents"/>
              <w:spacing w:lineRule="auto" w:line="300" w:before="0" w:after="0"/>
              <w:rPr/>
            </w:pPr>
            <w:r>
              <w:rPr/>
              <w:t> </w:t>
            </w:r>
          </w:p>
        </w:tc>
        <w:tc>
          <w:tcPr>
            <w:tcW w:w="365" w:type="dxa"/>
            <w:tcBorders/>
            <w:shd w:fill="auto" w:val="clear"/>
            <w:vAlign w:val="center"/>
          </w:tcPr>
          <w:p>
            <w:pPr>
              <w:pStyle w:val="TableContents"/>
              <w:spacing w:lineRule="auto" w:line="300" w:before="0" w:after="0"/>
              <w:rPr/>
            </w:pPr>
            <w:r>
              <w:rPr/>
              <w:t> </w:t>
            </w:r>
          </w:p>
        </w:tc>
        <w:tc>
          <w:tcPr>
            <w:tcW w:w="2210" w:type="dxa"/>
            <w:tcBorders/>
            <w:shd w:fill="auto" w:val="clear"/>
            <w:vAlign w:val="center"/>
          </w:tcPr>
          <w:p>
            <w:pPr>
              <w:pStyle w:val="TableContents"/>
              <w:spacing w:lineRule="auto" w:line="300" w:before="0" w:after="0"/>
              <w:rPr/>
            </w:pPr>
            <w:r>
              <w:rPr/>
              <w:t>Chief Financial Officer</w:t>
            </w:r>
          </w:p>
        </w:tc>
        <w:tc>
          <w:tcPr>
            <w:tcW w:w="60" w:type="dxa"/>
            <w:tcBorders/>
            <w:shd w:fill="auto" w:val="clear"/>
            <w:vAlign w:val="center"/>
          </w:tcPr>
          <w:p>
            <w:pPr>
              <w:pStyle w:val="TableContents"/>
              <w:spacing w:lineRule="auto" w:line="300" w:before="0" w:after="0"/>
              <w:rPr/>
            </w:pPr>
            <w:r>
              <w:rPr/>
              <w:t> </w:t>
            </w:r>
          </w:p>
        </w:tc>
      </w:tr>
    </w:tbl>
    <w:p>
      <w:pPr>
        <w:pStyle w:val="TextBody"/>
        <w:spacing w:lineRule="auto" w:line="300" w:before="0" w:after="0"/>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313</Words>
  <CharactersWithSpaces>1911</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