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RULE 13a-16</w:t>
      </w:r>
    </w:p>
    <w:p>
      <w:pPr>
        <w:spacing w:after="0" w:line="1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OR 15d-16 UNDER THE SECURITIES EXCHANGE ACT OF 1934</w:t>
      </w:r>
    </w:p>
    <w:p>
      <w:pPr>
        <w:spacing w:after="0" w:line="27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For the month of August 2022</w:t>
      </w:r>
    </w:p>
    <w:p>
      <w:pPr>
        <w:spacing w:after="0" w:line="28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Commission file number: 001-40490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1 Walter Moses St.</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Tel Aviv 6789903, Israel</w:t>
      </w:r>
    </w:p>
    <w:p>
      <w:pPr>
        <w:spacing w:after="0" w:line="1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+972 (3) 763-0333</w:t>
      </w:r>
    </w:p>
    <w:p>
      <w:pPr>
        <w:spacing w:after="0" w:line="1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53" w:lineRule="exact"/>
        <w:rPr>
          <w:sz w:val="24"/>
          <w:szCs w:val="24"/>
          <w:color w:val="auto"/>
        </w:rPr>
      </w:pPr>
    </w:p>
    <w:p>
      <w:pPr>
        <w:jc w:val="center"/>
        <w:ind w:right="-219"/>
        <w:spacing w:after="0" w:line="253" w:lineRule="exact"/>
        <w:tabs>
          <w:tab w:leader="none" w:pos="62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Form 40-F </w:t>
      </w:r>
      <w:r>
        <w:rPr>
          <w:rFonts w:ascii="MS PGothic" w:cs="MS PGothic" w:eastAsia="MS PGothic" w:hAnsi="MS PGothic"/>
          <w:sz w:val="22"/>
          <w:szCs w:val="22"/>
          <w:color w:val="auto"/>
        </w:rPr>
        <w:t>☐</w:t>
      </w:r>
    </w:p>
    <w:p>
      <w:pPr>
        <w:spacing w:after="0" w:line="28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101(b)(1): </w:t>
      </w:r>
      <w:r>
        <w:rPr>
          <w:rFonts w:ascii="MS PGothic" w:cs="MS PGothic" w:eastAsia="MS PGothic" w:hAnsi="MS PGothic"/>
          <w:sz w:val="21"/>
          <w:szCs w:val="21"/>
          <w:color w:val="auto"/>
        </w:rPr>
        <w:t>☐</w:t>
      </w:r>
    </w:p>
    <w:p>
      <w:pPr>
        <w:spacing w:after="0" w:line="299"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101(b)(7):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86" w:right="539"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On August 11, 2022, WalkMe Ltd. issued a press release titled “WalkMe Announces Second Quarter 2022 Financial Results.” A copy of the press release is furnished as Exhibit 99.1 herewith.</w:t>
      </w:r>
    </w:p>
    <w:p>
      <w:pPr>
        <w:spacing w:after="0" w:line="21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22"/>
          <w:szCs w:val="22"/>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33"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22"/>
          <w:szCs w:val="22"/>
          <w:color w:val="auto"/>
        </w:rPr>
        <w:t>The U.S. GAAP financial information contained in the (i) condensed consolidated statements of operations, (ii) condensed consolidated balance sheets and (iii) condensed consolidated statements of cash flow included in the press release attached as Exhibit 99.1 to this Report on Form 6-K are hereby incorporated by reference into the Company’s Registration Statements on Form S-8 (File Nos. 333-257354 and 333-263823).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92"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The following exhibit is furnished as part of this Form 6-K:</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80"/>
        <w:spacing w:after="0"/>
        <w:tabs>
          <w:tab w:leader="none" w:pos="1060" w:val="left"/>
        </w:tabs>
        <w:rPr>
          <w:sz w:val="20"/>
          <w:szCs w:val="20"/>
          <w:color w:val="auto"/>
        </w:rPr>
      </w:pPr>
      <w:r>
        <w:rPr>
          <w:rFonts w:ascii="Times New Roman" w:cs="Times New Roman" w:eastAsia="Times New Roman" w:hAnsi="Times New Roman"/>
          <w:sz w:val="18"/>
          <w:szCs w:val="18"/>
          <w:b w:val="1"/>
          <w:bCs w:val="1"/>
          <w:u w:val="single" w:color="auto"/>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20" w:lineRule="exact"/>
        <w:rPr>
          <w:sz w:val="20"/>
          <w:szCs w:val="20"/>
          <w:color w:val="auto"/>
        </w:rPr>
      </w:pPr>
    </w:p>
    <w:p>
      <w:pPr>
        <w:ind w:left="16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11, 2022 titled “WalkMe Announces Second Quarter 2022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4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Andrew Casey</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 Andrew Casey</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August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WalkMe Ltd. Announces Second Quarter 2022 Financial Results</w:t>
      </w:r>
    </w:p>
    <w:p>
      <w:pPr>
        <w:spacing w:after="0" w:line="287" w:lineRule="exact"/>
        <w:rPr>
          <w:sz w:val="20"/>
          <w:szCs w:val="20"/>
          <w:color w:val="auto"/>
        </w:rPr>
      </w:pPr>
    </w:p>
    <w:p>
      <w:pPr>
        <w:ind w:left="2300" w:hanging="294"/>
        <w:spacing w:after="0"/>
        <w:tabs>
          <w:tab w:leader="none" w:pos="2300"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DAP customers grew to 142 and ARR from DAP Customers grew 60% year-over-year</w:t>
      </w:r>
    </w:p>
    <w:p>
      <w:pPr>
        <w:spacing w:after="0" w:line="287" w:lineRule="exact"/>
        <w:rPr>
          <w:rFonts w:ascii="Times New Roman" w:cs="Times New Roman" w:eastAsia="Times New Roman" w:hAnsi="Times New Roman"/>
          <w:sz w:val="22"/>
          <w:szCs w:val="22"/>
          <w:i w:val="1"/>
          <w:iCs w:val="1"/>
          <w:color w:val="auto"/>
        </w:rPr>
      </w:pPr>
    </w:p>
    <w:p>
      <w:pPr>
        <w:ind w:left="2300" w:hanging="295"/>
        <w:spacing w:after="0"/>
        <w:tabs>
          <w:tab w:leader="none" w:pos="2300"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Second Quarter Subscription revenue grew 28% year-over-year to $54.2 million</w:t>
      </w:r>
    </w:p>
    <w:p>
      <w:pPr>
        <w:spacing w:after="0" w:line="287"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SAN FRANCISCO, August 11, 2022 </w:t>
      </w:r>
      <w:r>
        <w:rPr>
          <w:rFonts w:ascii="Times New Roman" w:cs="Times New Roman" w:eastAsia="Times New Roman" w:hAnsi="Times New Roman"/>
          <w:sz w:val="22"/>
          <w:szCs w:val="22"/>
          <w:color w:val="auto"/>
        </w:rPr>
        <w:t>-- WalkMe Ltd. (NASDAQ:WKME), a leading provider of digital adoption solutions,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today announced financial results for its second quarter ended June 30, 2022.</w:t>
      </w:r>
    </w:p>
    <w:p>
      <w:pPr>
        <w:spacing w:after="0" w:line="20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color w:val="auto"/>
        </w:rPr>
        <w:t>“Driving digital adoption of business workflows has never been more important for organizations across the globe in order to stay competitive and drive higher ROI in a challenging environment," said Dan Adika, CEO of WalkMe. "I'm pleased with the strong results of the company highlighted by 60% growth in ARR from our DAP customers who have broadly adopted our platform and are innovators driving greater value for their organizations.”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Second Quarter 2022 Financial Highlights:</w:t>
      </w:r>
    </w:p>
    <w:p>
      <w:pPr>
        <w:spacing w:after="0" w:line="283" w:lineRule="exact"/>
        <w:rPr>
          <w:sz w:val="20"/>
          <w:szCs w:val="20"/>
          <w:color w:val="auto"/>
        </w:rPr>
      </w:pPr>
    </w:p>
    <w:p>
      <w:pPr>
        <w:ind w:left="660" w:right="420" w:hanging="328"/>
        <w:spacing w:after="0" w:line="26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Total revenue was $59.9 million in the second quarter of 2022, an increase of 28% year-over-year. Subscription revenue was $54.2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an increase of 28% year-over-year.</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Annualized Recurring Revenue (ARR)*</w:t>
      </w:r>
      <w:r>
        <w:rPr>
          <w:rFonts w:ascii="Times New Roman" w:cs="Times New Roman" w:eastAsia="Times New Roman" w:hAnsi="Times New Roman"/>
          <w:sz w:val="18"/>
          <w:szCs w:val="18"/>
          <w:color w:val="auto"/>
        </w:rPr>
        <w:t>: ARR grew 29% year-over-year to $246 million as of June 30,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Remaining Performance Obligation (RPO)</w:t>
      </w:r>
      <w:r>
        <w:rPr>
          <w:rFonts w:ascii="Times New Roman" w:cs="Times New Roman" w:eastAsia="Times New Roman" w:hAnsi="Times New Roman"/>
          <w:sz w:val="18"/>
          <w:szCs w:val="18"/>
          <w:color w:val="auto"/>
        </w:rPr>
        <w:t>: was $346 million as of June 30, 2022, an increase of 33% year-over-year.</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GAAP Operating Loss</w:t>
      </w:r>
      <w:r>
        <w:rPr>
          <w:rFonts w:ascii="Times New Roman" w:cs="Times New Roman" w:eastAsia="Times New Roman" w:hAnsi="Times New Roman"/>
          <w:sz w:val="18"/>
          <w:szCs w:val="18"/>
          <w:color w:val="auto"/>
        </w:rPr>
        <w:t>: was $31.2 million in the second quarter of 2022, or 52% of total revenue, compared to $17.8 million, or 38% of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in the second quarter of 2021.</w:t>
      </w:r>
    </w:p>
    <w:p>
      <w:pPr>
        <w:ind w:left="660" w:right="2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Operating Loss*: </w:t>
      </w:r>
      <w:r>
        <w:rPr>
          <w:rFonts w:ascii="Times New Roman" w:cs="Times New Roman" w:eastAsia="Times New Roman" w:hAnsi="Times New Roman"/>
          <w:sz w:val="18"/>
          <w:szCs w:val="18"/>
          <w:color w:val="auto"/>
        </w:rPr>
        <w:t>was $16.7 million in the second quarter of 2022, or 28% of total revenue, compared to $11.7 million, or 25%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revenue, in the second quarter of 2021.</w:t>
      </w:r>
    </w:p>
    <w:p>
      <w:pPr>
        <w:ind w:left="660" w:right="1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Flow</w:t>
      </w:r>
      <w:r>
        <w:rPr>
          <w:rFonts w:ascii="Times New Roman" w:cs="Times New Roman" w:eastAsia="Times New Roman" w:hAnsi="Times New Roman"/>
          <w:sz w:val="18"/>
          <w:szCs w:val="18"/>
          <w:color w:val="auto"/>
        </w:rPr>
        <w:t>: Net cash used in operations in the second quarter of 2022 was $10.0 million, or 17% of total revenue, compared to $6.2 million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operations or 13% of total revenue, in the second quarter of 2021.</w:t>
      </w:r>
    </w:p>
    <w:p>
      <w:pPr>
        <w:ind w:left="660" w:right="1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18"/>
          <w:szCs w:val="18"/>
          <w:color w:val="auto"/>
        </w:rPr>
        <w:t>*: was negative $12.2 million in the second quarter of 2022, or 20% of total revenue, compared to negative $7.4 million, or 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total revenue, in the second quarter of 2021.</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Short-term Deposits </w:t>
      </w:r>
      <w:r>
        <w:rPr>
          <w:rFonts w:ascii="Times New Roman" w:cs="Times New Roman" w:eastAsia="Times New Roman" w:hAnsi="Times New Roman"/>
          <w:sz w:val="18"/>
          <w:szCs w:val="18"/>
          <w:color w:val="auto"/>
        </w:rPr>
        <w:t>were $317.9 million as of June 30, 2022.</w:t>
      </w:r>
    </w:p>
    <w:p>
      <w:pPr>
        <w:spacing w:after="0" w:line="265"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2"/>
          <w:szCs w:val="22"/>
          <w:color w:val="auto"/>
        </w:rPr>
        <w:t>“Our customers are seeing the value of our platform to drive business process efficiencies, which resulted in strong subscription revenue growth of 28%. In addition, our operational focus drove significant margin improvement quarter-over-quarter," said Andrew Casey, CFO of WalkMe. "We will continue to focus on our shift up market to serve customers with greater than 500 employees, while driving improving operational efficiencies throughout 2022. As a result of the improved non-GAAP operating margins, our goal is to achieve positive free cash flow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Second Quarter and Recent Business Highlights:</w:t>
      </w:r>
    </w:p>
    <w:p>
      <w:pPr>
        <w:spacing w:after="0" w:line="287" w:lineRule="exact"/>
        <w:rPr>
          <w:sz w:val="20"/>
          <w:szCs w:val="20"/>
          <w:color w:val="auto"/>
        </w:rPr>
      </w:pPr>
    </w:p>
    <w:p>
      <w:pPr>
        <w:ind w:left="660" w:right="4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WalkMe added eight net new Enterprise-Wide DAP* customers for a total of 142, representing DAP customer count growth of 38% year-over-year. ARR* from DAP* customers grew 60% year-over-year.</w:t>
      </w:r>
    </w:p>
    <w:p>
      <w:pPr>
        <w:ind w:left="660" w:right="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with over $100,000 in ARR* grew 23% year-over-year to 490 and customers with over $1 million in ARR grew 19% year-over-year to 31.</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2021, WalkMe updated and enhanced its third-party data sources for identifying customers with 500 or more employees and as a result now captures a greater number of customers in this category in the same period compared to the previous methodology. ARR* from customers with 500 or more employees grew 31% year-over-year and represented 88% of total ARR* without the new data sources. With the new data sources, ARR* from customers with 500 or more employees is now greater than 93% of total ARR*.</w:t>
      </w:r>
    </w:p>
    <w:p>
      <w:pPr>
        <w:spacing w:after="0" w:line="1"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WalkMe strengthened its executive bench with the appointments of Scott Little, Chief Revenue Officer, and Adriel Sanchez, Chief Marketing Officer.</w:t>
      </w:r>
    </w:p>
    <w:p>
      <w:pPr>
        <w:ind w:left="660" w:right="74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partnership with Deloitte through a strategic alliance with Deloitte Canada to bring digital adoption best practices to Canadian enterprises.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Outlook: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third quarter of 2022, the Company currently expects:</w:t>
      </w:r>
    </w:p>
    <w:p>
      <w:pPr>
        <w:spacing w:after="0" w:line="28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$62.5 to $63.5 million, representing a growth rate of 24% to 25%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loss* of $16.5 to $15.5 million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full year 2022, the Company currently expects:</w:t>
      </w:r>
    </w:p>
    <w:p>
      <w:pPr>
        <w:spacing w:after="0" w:line="28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$246 to $249 million, representing a growth rate of 27% to 29%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loss* of $68 to $65 million</w:t>
      </w:r>
    </w:p>
    <w:p>
      <w:pPr>
        <w:spacing w:after="0" w:line="26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2"/>
          <w:szCs w:val="22"/>
          <w:color w:val="auto"/>
        </w:rPr>
        <w:t>*The section titled “Non-GAAP Financial Measures and Key Performance Indicators” below contains a description of the non-GAAP financial measures discussed in this press release and reconciliations between historical GAAP and non-GAAP information are contained in the tables below. The Company is unable to provide a reconciliation of non-GAAP Operating Income (Loss) to Operating Income (Loss), its most directly comparable GAAP financial measure, on a forward-looking basis without unreasonable effort, because items that impact this GAAP financial measure are not within the Company’s control and/or cannot be reasonably predicted. These items may include, but are not limited to, predicting forward-looking share-based compensation. Such information may have a significant, and potentially unpredictable, impact on the Company’s future financial results.</w:t>
      </w:r>
    </w:p>
    <w:p>
      <w:pPr>
        <w:spacing w:after="0" w:line="23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22"/>
          <w:szCs w:val="22"/>
          <w:color w:val="auto"/>
        </w:rPr>
        <w:t>Throughout this press release, we provide a number of key performance indicators used by our management and often used by competitors in our industry. These and other key performance indicators are discussed in more detail in the section entitled “Non-GAAP Financial Measures and Key Performance Indicators”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Conference Call Information:</w:t>
      </w:r>
    </w:p>
    <w:p>
      <w:pPr>
        <w:spacing w:after="0" w:line="29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color w:val="auto"/>
        </w:rPr>
        <w:t>WalkMe will host a conference call and live webcast for analysts and investors at 5:00 a.m. Pacific Time on August 11, 2022. The press release with the financial results as well as the investor presentation materials will be accessible from the Company’s website prior to the conference call. Interested parties can access the call by dialing US Toll Free: (800) 289 - 0720, using the passcode 9182251.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live webcast of the conference call will be accessible on the WalkMe investor relations website at https://ir.walkme.com.</w:t>
      </w:r>
    </w:p>
    <w:p>
      <w:pPr>
        <w:spacing w:after="0" w:line="28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22"/>
          <w:szCs w:val="22"/>
          <w:color w:val="auto"/>
        </w:rPr>
        <w:t>Approximately one hour after completion of the live call and for at least 30 days thereafter, an archived version of the webcast will be available on the Company’s investor relations website at https://ir.walkme.com.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Financial and Other Information:</w:t>
      </w:r>
    </w:p>
    <w:p>
      <w:pPr>
        <w:spacing w:after="0" w:line="29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22"/>
          <w:szCs w:val="22"/>
          <w:color w:val="auto"/>
        </w:rPr>
        <w:t>We intend to announce material information to the public through the WalkMe Investor Relations website at ir.walkme.com, SEC filings, press releases, public conference calls, and public webcasts. We use these channels to communicate with our investors, customers, and the public about our company, our offerings, and other issues. As such, we encourage investors, the media, and others to follow the channels listed above, and to review the information disclosed through such channels.</w:t>
      </w:r>
    </w:p>
    <w:p>
      <w:pPr>
        <w:spacing w:after="0" w:line="233"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22"/>
          <w:szCs w:val="22"/>
          <w:color w:val="auto"/>
        </w:rPr>
        <w:t>Any updates to the list of disclosure channels through which we will announce information will be posted on the investor relations page of our website.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 and Key Performance Indicators:</w:t>
      </w:r>
    </w:p>
    <w:p>
      <w:pPr>
        <w:spacing w:after="0" w:line="29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addition to our financial results reported in accordance with GAAP, this press release and the accompanying tables and related presentation materials may contain one or more of the following non-GAAP financial measures: Non-GAAP Gross Profit, Non-GAAP Gross Margin, Non-GAAP Operating Income (Loss), Non-GAAP Operating Margin, Non-GAAP Net Income (Loss) attributable to WalkMe Ltd., Non-GAAP Net Income (Loss) per share attributable to WalkMe Ltd. and Free Cash Flow, all of which are non-GAAP financial measures. We believe that these measures provide useful information about operating results, enhance the overall understanding of past financial performance and future prospects, and allow for greater transparency with respect to key metrics used by management in its financial and operational decision making. Non-GAAP financial measures have limitations as analytical tools and may differ from similarly titled measures presented by other companies. The presentation of this financial information is not intended to be considered as a substitute for the financial information prepared and presented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 w:name="page8"/>
    <w:bookmarkEnd w:id="7"/>
    <w:p>
      <w:pPr>
        <w:ind w:right="20"/>
        <w:spacing w:after="0" w:line="279" w:lineRule="auto"/>
        <w:rPr>
          <w:sz w:val="20"/>
          <w:szCs w:val="20"/>
          <w:color w:val="auto"/>
        </w:rPr>
      </w:pPr>
      <w:r>
        <w:rPr>
          <w:rFonts w:ascii="Times New Roman" w:cs="Times New Roman" w:eastAsia="Times New Roman" w:hAnsi="Times New Roman"/>
          <w:sz w:val="21"/>
          <w:szCs w:val="21"/>
          <w:i w:val="1"/>
          <w:iCs w:val="1"/>
          <w:color w:val="auto"/>
        </w:rPr>
        <w:t>Non-GAAP Gross Profit and Non-GAAP Gross Margin</w:t>
      </w:r>
      <w:r>
        <w:rPr>
          <w:rFonts w:ascii="Times New Roman" w:cs="Times New Roman" w:eastAsia="Times New Roman" w:hAnsi="Times New Roman"/>
          <w:sz w:val="21"/>
          <w:szCs w:val="21"/>
          <w:color w:val="auto"/>
        </w:rPr>
        <w:t>. We define Non-GAAP Gross Profit as gross profit excluding share-based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compensation and amortization of acquired intangibles. We exclude these items because they occur for reasons that may be unrelated to our core operating performance during the period, and because we believe that such items may obscure underlying business trends and make comparisons of long-term performance difficult. We use Non-GAAP Gross Profit with traditional GAAP measures to evaluate our financial performance. Non-GAAP Gross Margin is calculated as a percentage of revenues.</w:t>
      </w:r>
    </w:p>
    <w:p>
      <w:pPr>
        <w:spacing w:after="0" w:line="21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Non-GAAP Operating Income (Loss) and Non-GAAP Operating Margin. </w:t>
      </w:r>
      <w:r>
        <w:rPr>
          <w:rFonts w:ascii="Times New Roman" w:cs="Times New Roman" w:eastAsia="Times New Roman" w:hAnsi="Times New Roman"/>
          <w:sz w:val="22"/>
          <w:szCs w:val="22"/>
          <w:color w:val="auto"/>
        </w:rPr>
        <w:t>We define Non-GAAP Operating Income (Loss)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(loss) from operations excluding share-based compensation and amortization of acquired intangibles. We exclude these items because they occur for reasons that may be unrelated to our core operating performance during the period, and because we believe that such items may obscure underlying business trends and make comparisons of long-term performance difficult. We use Non-GAAP Operating Income (Loss) with traditional GAAP measures to evaluate our financial performance. Non-GAAP Operating Margin is calculated as a percentage of revenues.</w:t>
      </w:r>
    </w:p>
    <w:p>
      <w:pPr>
        <w:spacing w:after="0" w:line="23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2"/>
          <w:szCs w:val="22"/>
          <w:i w:val="1"/>
          <w:iCs w:val="1"/>
          <w:color w:val="auto"/>
        </w:rPr>
        <w:t>Non-GAAP Net Income (Loss) attributable to WalkMe Ltd</w:t>
      </w:r>
      <w:r>
        <w:rPr>
          <w:rFonts w:ascii="Times New Roman" w:cs="Times New Roman" w:eastAsia="Times New Roman" w:hAnsi="Times New Roman"/>
          <w:sz w:val="22"/>
          <w:szCs w:val="22"/>
          <w:color w:val="auto"/>
        </w:rPr>
        <w:t>. We define Non-GAAP Net Income (Loss) attributable to WalkMe Ltd.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Net Income (Loss) attributable to WalkMe Ltd. excluding share-based compensation and amortization of acquired intangibles. We exclude these items because they occur for reasons that may be unrelated to our core operating performance during the period, and because we believe that such items may obscure underlying business trends and make comparisons of long-term performance difficult. We use Non-GAAP Net Income (Loss) attributable to WalkMe Ltd. with traditional GAAP measures to evaluate our financial performance. Non-GAAP Net Income (Loss) per Share attributable to WalkMe Ltd. is calculated based on ordinary shares outstanding after accounting for the exchange of our outstanding convertible preferred shares into ordinary shares as though such event had occurred at the beginning of the periods.</w:t>
      </w:r>
    </w:p>
    <w:p>
      <w:pPr>
        <w:spacing w:after="0" w:line="23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1"/>
          <w:szCs w:val="21"/>
          <w:i w:val="1"/>
          <w:iCs w:val="1"/>
          <w:color w:val="auto"/>
        </w:rPr>
        <w:t xml:space="preserve">Free Cash Flow. </w:t>
      </w:r>
      <w:r>
        <w:rPr>
          <w:rFonts w:ascii="Times New Roman" w:cs="Times New Roman" w:eastAsia="Times New Roman" w:hAnsi="Times New Roman"/>
          <w:sz w:val="21"/>
          <w:szCs w:val="21"/>
          <w:color w:val="auto"/>
        </w:rPr>
        <w:t>We define Free Cash Flow as net cash provided by (used in) operating activities, less cash used for purchases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property and equipment and capitalized internal-use software costs. We believe that Free Cash Flow is a useful indicator of liquidity that provides information to management and investors, even if negative, about the amount of cash used in our business. Our Free Cash Flow may vary from period to period and be impacted as we continue to invest for growth in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8" w:name="page9"/>
    <w:bookmarkEnd w:id="8"/>
    <w:p>
      <w:pPr>
        <w:ind w:right="80"/>
        <w:spacing w:after="0" w:line="270" w:lineRule="auto"/>
        <w:rPr>
          <w:sz w:val="20"/>
          <w:szCs w:val="20"/>
          <w:color w:val="auto"/>
        </w:rPr>
      </w:pPr>
      <w:r>
        <w:rPr>
          <w:rFonts w:ascii="Times New Roman" w:cs="Times New Roman" w:eastAsia="Times New Roman" w:hAnsi="Times New Roman"/>
          <w:sz w:val="22"/>
          <w:szCs w:val="22"/>
          <w:color w:val="auto"/>
        </w:rPr>
        <w:t>For more information on the non-GAAP financial measures, please see the reconciliation tables provided below. The accompanying reconciliation tables have more details on the GAAP financial measures that are most directly comparable to non-GAAP financial measures and the related reconciliations between these financial measures.</w:t>
      </w:r>
    </w:p>
    <w:p>
      <w:pPr>
        <w:spacing w:after="0" w:line="22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1"/>
          <w:szCs w:val="21"/>
          <w:i w:val="1"/>
          <w:iCs w:val="1"/>
          <w:color w:val="auto"/>
        </w:rPr>
        <w:t xml:space="preserve">ARR. </w:t>
      </w:r>
      <w:r>
        <w:rPr>
          <w:rFonts w:ascii="Times New Roman" w:cs="Times New Roman" w:eastAsia="Times New Roman" w:hAnsi="Times New Roman"/>
          <w:sz w:val="21"/>
          <w:szCs w:val="21"/>
          <w:color w:val="auto"/>
        </w:rPr>
        <w:t>We define ARR as the annualized value of customer subscription contracts as of the measurement date, assuming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contract that expires during the next 12 months is renewed on its existing terms (including contracts for which we are negotiating a renewal). Our calculation of ARR is not adjusted for the impact of any known or projected future events (such as customer cancellations, upgrades or downgrades, or price increases or decreases) that may cause any such contract not to be renewed on its existing terms. In addition, the amount of actual revenue that we recognize over any 12-month period is likely to differ from ARR at the beginning of that period, sometimes significantly. This may occur due to new bookings, cancellations, upgrades, downgrades or other changes in pending renewals, as well as the effects of professional services revenue and acquisitions or divestitures. As a result, ARR should be viewed independently of, and not as a substitute for or forecast of, revenue and deferred revenue. Our calculation of ARR may differ from similarly titled metrics presented by other companies.</w:t>
      </w:r>
    </w:p>
    <w:p>
      <w:pPr>
        <w:spacing w:after="0" w:line="228" w:lineRule="exact"/>
        <w:rPr>
          <w:sz w:val="20"/>
          <w:szCs w:val="20"/>
          <w:color w:val="auto"/>
        </w:rPr>
      </w:pPr>
    </w:p>
    <w:p>
      <w:pPr>
        <w:ind w:right="460"/>
        <w:spacing w:after="0" w:line="313" w:lineRule="auto"/>
        <w:rPr>
          <w:sz w:val="20"/>
          <w:szCs w:val="20"/>
          <w:color w:val="auto"/>
        </w:rPr>
      </w:pPr>
      <w:r>
        <w:rPr>
          <w:rFonts w:ascii="Times New Roman" w:cs="Times New Roman" w:eastAsia="Times New Roman" w:hAnsi="Times New Roman"/>
          <w:sz w:val="21"/>
          <w:szCs w:val="21"/>
          <w:i w:val="1"/>
          <w:iCs w:val="1"/>
          <w:color w:val="auto"/>
        </w:rPr>
        <w:t xml:space="preserve">Enterprise-Wide DAP Customers: </w:t>
      </w:r>
      <w:r>
        <w:rPr>
          <w:rFonts w:ascii="Times New Roman" w:cs="Times New Roman" w:eastAsia="Times New Roman" w:hAnsi="Times New Roman"/>
          <w:sz w:val="21"/>
          <w:szCs w:val="21"/>
          <w:color w:val="auto"/>
        </w:rPr>
        <w:t>We define Enterprise-Wide DAP Customers as those who have purchased enterprise-wide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subscriptions or who have department-wide usage of our Digital Adoption Platform across four or more applications.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29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1"/>
          <w:szCs w:val="21"/>
          <w:color w:val="auto"/>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These forward-looking statements include, but are not limited to, statements regarding our current expectations and views of future events, statements regarding the Company’s future financial results and guidance, and expectations regarding our revenue, operating loss and free cash flow. In some cases, these forward-looking statements can be identified by words or phrases such as “may,” “might,” “will,” “could,” “would,” “should,” “expect,” “plan,” “anticipate,” “intend,” “seek,” “believe,” “estimate,” “predict,” “potential,” “continue,” “contemplate,” “possible” or similar words.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manage our growth effectively, sustain our historical growth rate in the future or achieve or maintain profitability; the impact of the COVID-19 pandemic or adverse macro-economic changes on our business, financial condition and results of operations; the growth and expansion of the markets for our offerings and our ability to adapt and respond effectively to evolving market conditions; our estimates of, and future expectations regarding, our market opportunity; our ability to keep pace with technological and competitive developments and develop or otherwise introduce new products and solutions and enhancements to our existing offerings; our ability to maintain the interoperability of our offerings across devices, operating systems and third-party applications and to maintain and expand our relationships with third-party technology partners; the effects of increased competition in our target markets and our ability to compete effectively; our ability to attract and retain new customers and to expand within our existing customer base; the success of our sales and marketing operations, including our ability to realize efficiencies and reduce customer acquisition costs; the percentage of our remaining performance obligations that we expect to recognize as revenue; our ability to meet the service-level commitments under our customer agreements and the effects on our business if we are unable to do so; our relationships with, and dependence on, various third-party service providers; our dependence on our management team and other key employees; our ability to maintain and enhance awareness of our brand; our ability to offer high quality customer support; our ability to effectively develop and expand our marketing and sales capabilities; our ability to maintain the sales prices of our offerings and the effects of pricing fluctuations; the sustainability of, and fluctuations in, our gross margin; risks related to our international operations and our ability to expand our international business operations; the effects of currency exchange rate fluctuations on our results of operations; challenges and risks related to our sales to government entities; our ability to consummate acquisitions at our historical rate and at acceptable prices, to enter into other strategic transactions and relationships, and to manage the risks related to these transactions and arrangements; our ability to protect our proprietary technology, or to obtain, maintain, protect and enforce sufficiently broad intellectual property rights therein; our ability to maintain the security and availability of our platform, products and solutions; our ability to comply with current and future legislation and governmental regulations to which we are subject or may become subject in the future; changes in applicable tax law, the stability of effective tax rates and adverse outcomes resulting from examination of our income or other tax returns; risks related to political, economic and security conditions in Israel; the effects of unfavorable conditions in our industry or the global economy or reductions in information technology spending; factors that may affect the future trading prices of our ordinary shares; and other risk factors set forth in the section titled “Risk Factors” in our Annual Report on form 20-F filed with the Securities and Exchange Commission on March 24, 2022,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w:t>
      </w:r>
    </w:p>
    <w:p>
      <w:pPr>
        <w:sectPr>
          <w:pgSz w:w="11900" w:h="16838" w:orient="portrait"/>
          <w:cols w:equalWidth="0" w:num="1">
            <w:col w:w="11240"/>
          </w:cols>
          <w:pgMar w:left="320" w:top="126" w:right="339" w:bottom="0" w:gutter="0" w:footer="0" w:header="0"/>
        </w:sectPr>
      </w:pPr>
    </w:p>
    <w:bookmarkStart w:id="9" w:name="page10"/>
    <w:bookmarkEnd w:id="9"/>
    <w:p>
      <w:pPr>
        <w:jc w:val="both"/>
        <w:spacing w:after="0" w:line="270" w:lineRule="auto"/>
        <w:rPr>
          <w:sz w:val="20"/>
          <w:szCs w:val="20"/>
          <w:color w:val="auto"/>
        </w:rPr>
      </w:pPr>
      <w:r>
        <w:rPr>
          <w:rFonts w:ascii="Times New Roman" w:cs="Times New Roman" w:eastAsia="Times New Roman" w:hAnsi="Times New Roman"/>
          <w:sz w:val="22"/>
          <w:szCs w:val="22"/>
          <w:color w:val="auto"/>
        </w:rPr>
        <w:t>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6" w:right="5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About WalkMe</w:t>
      </w:r>
    </w:p>
    <w:p>
      <w:pPr>
        <w:spacing w:after="0" w:line="29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WalkMe’s cloud-based Digital Adoption Platform enables organizations to measure, drive and act to ultimately accelerate their digital transformations and better realize the value of their software investments. Our code-free platform leverages our proprietary technology to provide visibility to an organization’s Chief Information Officer and business leaders, while improving user experience, productivity and efficiency for employees and customers. Alongside walkthroughs and third-party integration capabilities, our platform can be customized to fit an organization’s needs.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Christina Knittel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press@walkme.com</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Streppa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investors@walkme.com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9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9"/>
                <w:szCs w:val="19"/>
                <w:color w:val="auto"/>
              </w:rPr>
            </w:pPr>
          </w:p>
        </w:tc>
        <w:tc>
          <w:tcPr>
            <w:tcW w:w="23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54,200</w:t>
            </w:r>
          </w:p>
        </w:tc>
        <w:tc>
          <w:tcPr>
            <w:tcW w:w="24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42,211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105,589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80,685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11,201</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46,802</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116,790</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89,456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Subscription</w:t>
            </w:r>
            <w:r>
              <w:rPr>
                <w:rFonts w:ascii="Times New Roman" w:cs="Times New Roman" w:eastAsia="Times New Roman" w:hAnsi="Times New Roman"/>
                <w:sz w:val="26"/>
                <w:szCs w:val="26"/>
                <w:color w:val="auto"/>
                <w:vertAlign w:val="superscript"/>
              </w:rPr>
              <w:t>(1)(2)</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13,571</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11,473</w:t>
            </w:r>
          </w:p>
        </w:tc>
        <w:tc>
          <w:tcPr>
            <w:tcW w:w="0" w:type="dxa"/>
            <w:vAlign w:val="bottom"/>
          </w:tcPr>
          <w:p>
            <w:pPr>
              <w:spacing w:after="0"/>
              <w:rPr>
                <w:sz w:val="1"/>
                <w:szCs w:val="1"/>
                <w:color w:val="auto"/>
              </w:rPr>
            </w:pPr>
          </w:p>
        </w:tc>
      </w:tr>
      <w:tr>
        <w:trPr>
          <w:trHeight w:val="237"/>
        </w:trPr>
        <w:tc>
          <w:tcPr>
            <w:tcW w:w="59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Professional services</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14,287</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10,489</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14,090</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27,858</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35,609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88,932</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67,494</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11,554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31,595</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21,976</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6"/>
                <w:szCs w:val="16"/>
                <w:color w:val="auto"/>
              </w:rPr>
              <w:t>Sales and marketing</w:t>
            </w:r>
            <w:r>
              <w:rPr>
                <w:rFonts w:ascii="Times New Roman" w:cs="Times New Roman" w:eastAsia="Times New Roman" w:hAnsi="Times New Roman"/>
                <w:sz w:val="26"/>
                <w:szCs w:val="26"/>
                <w:color w:val="auto"/>
                <w:vertAlign w:val="superscript"/>
              </w:rPr>
              <w:t>(1)</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29,405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85,192</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54,540</w:t>
            </w:r>
          </w:p>
        </w:tc>
        <w:tc>
          <w:tcPr>
            <w:tcW w:w="0" w:type="dxa"/>
            <w:vAlign w:val="bottom"/>
          </w:tcPr>
          <w:p>
            <w:pPr>
              <w:spacing w:after="0"/>
              <w:rPr>
                <w:sz w:val="1"/>
                <w:szCs w:val="1"/>
                <w:color w:val="auto"/>
              </w:rPr>
            </w:pPr>
          </w:p>
        </w:tc>
      </w:tr>
      <w:tr>
        <w:trPr>
          <w:trHeight w:val="237"/>
        </w:trPr>
        <w:tc>
          <w:tcPr>
            <w:tcW w:w="598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6"/>
                <w:szCs w:val="26"/>
                <w:color w:val="auto"/>
                <w:vertAlign w:val="superscript"/>
              </w:rPr>
              <w:t>(1)(2)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12,488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33,018</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21,861</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77,083</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53,447</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149,805</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(31,231)</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(17,838)</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(60,873)</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(30,883)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income, net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(30,680)</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(17,836)</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(59,746)</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(30,836)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(479)</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(1,158)</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(31,159)</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(18,634)</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(60,904)</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(32,038)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Adjustment attributable to non-controlling interest</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(3,174)</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4,287</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(9,632)</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15,103</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WalkMe Ltd.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(27,894)</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(22,546)</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(50,923)</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WalkMe Ltd. 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59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84,727,799</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24,960,581</w:t>
            </w:r>
          </w:p>
        </w:tc>
        <w:tc>
          <w:tcPr>
            <w:tcW w:w="2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84,348,046</w:t>
            </w:r>
          </w:p>
        </w:tc>
        <w:tc>
          <w:tcPr>
            <w:tcW w:w="2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19,509,660</w:t>
            </w:r>
          </w:p>
        </w:tc>
        <w:tc>
          <w:tcPr>
            <w:tcW w:w="0" w:type="dxa"/>
            <w:vAlign w:val="bottom"/>
          </w:tcPr>
          <w:p>
            <w:pPr>
              <w:spacing w:after="0"/>
              <w:rPr>
                <w:sz w:val="1"/>
                <w:szCs w:val="1"/>
                <w:color w:val="auto"/>
              </w:rPr>
            </w:pPr>
          </w:p>
        </w:tc>
      </w:tr>
      <w:tr>
        <w:trPr>
          <w:trHeight w:val="25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shareholders, basic and diluted</w:t>
            </w:r>
          </w:p>
        </w:tc>
        <w:tc>
          <w:tcPr>
            <w:tcW w:w="200" w:type="dxa"/>
            <w:vAlign w:val="bottom"/>
            <w:shd w:val="clear" w:color="auto" w:fill="CCEEFF"/>
          </w:tcPr>
          <w:p>
            <w:pPr>
              <w:spacing w:after="0"/>
              <w:rPr>
                <w:sz w:val="22"/>
                <w:szCs w:val="22"/>
                <w:color w:val="auto"/>
              </w:rPr>
            </w:pPr>
          </w:p>
        </w:tc>
        <w:tc>
          <w:tcPr>
            <w:tcW w:w="940" w:type="dxa"/>
            <w:vAlign w:val="bottom"/>
            <w:tcBorders>
              <w:right w:val="single" w:sz="8" w:color="CCEEFF"/>
            </w:tcBorders>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vMerge w:val="continue"/>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vMerge w:val="continue"/>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Includes share-based compensation expense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9"/>
        </w:trPr>
        <w:tc>
          <w:tcPr>
            <w:tcW w:w="5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3,640</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8,457</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2,055</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10,386</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5,824</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26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24,294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Includes amortization and impairment of acquired intangibles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3"/>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9"/>
        </w:trPr>
        <w:tc>
          <w:tcPr>
            <w:tcW w:w="5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979</w:t>
            </w:r>
          </w:p>
        </w:tc>
        <w:tc>
          <w:tcPr>
            <w:tcW w:w="84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and impairment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716"/>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2"/>
                <w:szCs w:val="22"/>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43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266,151</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276,889</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51,764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65,478</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40,846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37,754</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22,761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20,405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7,954</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389,379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408,480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36,617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35,969</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3,296</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441,520</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459,617</w:t>
            </w:r>
          </w:p>
        </w:tc>
      </w:tr>
      <w:tr>
        <w:trPr>
          <w:trHeight w:val="210"/>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6,592</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44,925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49,310</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141,926</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8,180</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13,669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23,901</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 and additional paid-in capital</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650,660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610,193</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(385,593)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(325,038)</w:t>
            </w: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263,600</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285,610</w:t>
            </w:r>
          </w:p>
        </w:tc>
        <w:tc>
          <w:tcPr>
            <w:tcW w:w="100" w:type="dxa"/>
            <w:vAlign w:val="bottom"/>
            <w:tcBorders>
              <w:top w:val="single" w:sz="8" w:color="CCEEFF"/>
            </w:tcBorders>
          </w:tcPr>
          <w:p>
            <w:pPr>
              <w:spacing w:after="0"/>
              <w:rPr>
                <w:sz w:val="20"/>
                <w:szCs w:val="20"/>
                <w:color w:val="auto"/>
              </w:rPr>
            </w:pP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441,520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459,617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716"/>
        </w:trPr>
        <w:tc>
          <w:tcPr>
            <w:tcW w:w="8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(31,159)</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(60,904)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(32,038)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24,294</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3,973</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short-term and long-term deposits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trade receivables,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4,185</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(3,194)</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(9,611)</w:t>
            </w: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prepaid expenses and other current assets and other non-</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deferred contract acquisition costs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(2,621)</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(3,175)</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(11,231)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trade payables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(1,080)</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(2,064)</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accrued expenses and other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(7,954)</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6,209</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deferred revenues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(2,495)</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19,798</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28,660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other long-term liabilities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1,089</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(28,312)</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(1,388)</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(2,038)</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short-term deposits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(16,500)</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(43,500)</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deposits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36,285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57,257</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37,287</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restricted deposits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restricted deposits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(813)</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(2,185)</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23,594</w:t>
            </w: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discounts and</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266,936</w:t>
            </w: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266,885</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and other issuance costs</w:t>
            </w:r>
          </w:p>
        </w:tc>
        <w:tc>
          <w:tcPr>
            <w:tcW w:w="2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employees share purchase plan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6,734</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preferred shares, net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267,367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278,038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cash equivalents, and</w:t>
            </w:r>
          </w:p>
        </w:tc>
        <w:tc>
          <w:tcPr>
            <w:tcW w:w="240" w:type="dxa"/>
            <w:vAlign w:val="bottom"/>
          </w:tcPr>
          <w:p>
            <w:pPr>
              <w:spacing w:after="0"/>
              <w:rPr>
                <w:sz w:val="18"/>
                <w:szCs w:val="18"/>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(520)</w:t>
            </w:r>
          </w:p>
        </w:tc>
        <w:tc>
          <w:tcPr>
            <w:tcW w:w="280" w:type="dxa"/>
            <w:vAlign w:val="bottom"/>
          </w:tcPr>
          <w:p>
            <w:pPr>
              <w:spacing w:after="0"/>
              <w:rPr>
                <w:sz w:val="18"/>
                <w:szCs w:val="18"/>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(826)</w:t>
            </w:r>
          </w:p>
        </w:tc>
        <w:tc>
          <w:tcPr>
            <w:tcW w:w="300" w:type="dxa"/>
            <w:vAlign w:val="bottom"/>
          </w:tcPr>
          <w:p>
            <w:pPr>
              <w:spacing w:after="0"/>
              <w:rPr>
                <w:sz w:val="18"/>
                <w:szCs w:val="18"/>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16,606</w:t>
            </w:r>
          </w:p>
        </w:tc>
        <w:tc>
          <w:tcPr>
            <w:tcW w:w="26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281,232</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2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287,367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249,868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69,030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277,251</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62,895</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266,474</w:t>
            </w:r>
          </w:p>
        </w:tc>
        <w:tc>
          <w:tcPr>
            <w:tcW w:w="2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350,262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266,474</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350,262</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716"/>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GAAP to Non-GAAP Results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9"/>
                <w:szCs w:val="19"/>
                <w:color w:val="auto"/>
              </w:rPr>
            </w:pPr>
          </w:p>
        </w:tc>
        <w:tc>
          <w:tcPr>
            <w:tcW w:w="25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59"/>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gross profit and gross margin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45,852</w:t>
            </w:r>
          </w:p>
        </w:tc>
        <w:tc>
          <w:tcPr>
            <w:tcW w:w="3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88,932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67,494</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3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1,811</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Plus: Amortization of acquired intangibles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46,988</w:t>
            </w:r>
          </w:p>
        </w:tc>
        <w:tc>
          <w:tcPr>
            <w:tcW w:w="320" w:type="dxa"/>
            <w:vAlign w:val="bottom"/>
            <w:tcBorders>
              <w:left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35,944</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91,095</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68,006</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gross margin</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operating loss and operating margin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operating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(31,231)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(17,838)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(60,873)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(30,883)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3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6,085</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24,294</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Plus: Amortization and impairment of acquired intangibles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1,331</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320" w:type="dxa"/>
            <w:vAlign w:val="bottom"/>
            <w:tcBorders>
              <w:left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(35,248)</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(21,210)</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operating margin</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 attributable to WalkMe Ltd.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(27,894)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(22,546)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(50,923)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(46,520)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3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6,085</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24,294</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Plus: Amortization and impairment of acquired intangibles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1,331</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Adjustment attributable to non-controlling interest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(3,174)</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4,287</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(9,632)</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15,103</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 attributable to WalkMe Ltd.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(16,495)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(12,118)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(34,930)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(21,744)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 per share attributable to WalkMe Ltd. basic and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non-GAAP per share calculations: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weighted-average shares used to compute net loss per share, basic</w:t>
            </w: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84,727,799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24,960,581</w:t>
            </w:r>
          </w:p>
        </w:tc>
        <w:tc>
          <w:tcPr>
            <w:tcW w:w="200" w:type="dxa"/>
            <w:vAlign w:val="bottom"/>
          </w:tcPr>
          <w:p>
            <w:pPr>
              <w:spacing w:after="0"/>
              <w:rPr>
                <w:sz w:val="18"/>
                <w:szCs w:val="18"/>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84,348,046</w:t>
            </w:r>
          </w:p>
        </w:tc>
        <w:tc>
          <w:tcPr>
            <w:tcW w:w="22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19,509,660</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 diluted</w:t>
            </w: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weighted average shares giving effect to exchange of convertible</w:t>
            </w:r>
          </w:p>
        </w:tc>
        <w:tc>
          <w:tcPr>
            <w:tcW w:w="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50,075,826</w:t>
            </w:r>
          </w:p>
        </w:tc>
        <w:tc>
          <w:tcPr>
            <w:tcW w:w="200" w:type="dxa"/>
            <w:vAlign w:val="bottom"/>
          </w:tcPr>
          <w:p>
            <w:pPr>
              <w:spacing w:after="0"/>
              <w:rPr>
                <w:sz w:val="18"/>
                <w:szCs w:val="18"/>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54,603,023</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at the beginning of the period</w:t>
            </w: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weighted-average shares used to compute net loss per share,</w:t>
            </w:r>
          </w:p>
        </w:tc>
        <w:tc>
          <w:tcPr>
            <w:tcW w:w="2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84,727,799</w:t>
            </w: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75,036,407</w:t>
            </w:r>
          </w:p>
        </w:tc>
        <w:tc>
          <w:tcPr>
            <w:tcW w:w="20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84,348,046</w:t>
            </w:r>
          </w:p>
        </w:tc>
        <w:tc>
          <w:tcPr>
            <w:tcW w:w="22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74,112,683</w:t>
            </w:r>
          </w:p>
        </w:tc>
        <w:tc>
          <w:tcPr>
            <w:tcW w:w="0" w:type="dxa"/>
            <w:vAlign w:val="bottom"/>
          </w:tcPr>
          <w:p>
            <w:pPr>
              <w:spacing w:after="0"/>
              <w:rPr>
                <w:sz w:val="1"/>
                <w:szCs w:val="1"/>
                <w:color w:val="auto"/>
              </w:rPr>
            </w:pPr>
          </w:p>
        </w:tc>
      </w:tr>
      <w:tr>
        <w:trPr>
          <w:trHeight w:val="27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23"/>
                <w:szCs w:val="23"/>
                <w:color w:val="auto"/>
              </w:rPr>
            </w:pPr>
          </w:p>
        </w:tc>
        <w:tc>
          <w:tcPr>
            <w:tcW w:w="920" w:type="dxa"/>
            <w:vAlign w:val="bottom"/>
            <w:vMerge w:val="continue"/>
            <w:shd w:val="clear" w:color="auto" w:fill="CCEEFF"/>
          </w:tcPr>
          <w:p>
            <w:pPr>
              <w:spacing w:after="0"/>
              <w:rPr>
                <w:sz w:val="23"/>
                <w:szCs w:val="23"/>
                <w:color w:val="auto"/>
              </w:rPr>
            </w:pPr>
          </w:p>
        </w:tc>
        <w:tc>
          <w:tcPr>
            <w:tcW w:w="32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vMerge w:val="continue"/>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vMerge w:val="continue"/>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62"/>
        </w:trPr>
        <w:tc>
          <w:tcPr>
            <w:tcW w:w="56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31" w:lineRule="exact"/>
        <w:rPr>
          <w:sz w:val="20"/>
          <w:szCs w:val="20"/>
          <w:color w:val="auto"/>
        </w:rPr>
      </w:pPr>
    </w:p>
    <w:p>
      <w:pPr>
        <w:ind w:right="5060"/>
        <w:spacing w:after="0" w:line="292" w:lineRule="auto"/>
        <w:rPr>
          <w:sz w:val="20"/>
          <w:szCs w:val="20"/>
          <w:color w:val="auto"/>
        </w:rPr>
      </w:pPr>
      <w:r>
        <w:rPr>
          <w:rFonts w:ascii="Times New Roman" w:cs="Times New Roman" w:eastAsia="Times New Roman" w:hAnsi="Times New Roman"/>
          <w:sz w:val="18"/>
          <w:szCs w:val="18"/>
          <w:b w:val="1"/>
          <w:bCs w:val="1"/>
          <w:color w:val="auto"/>
        </w:rPr>
        <w:t>Reconciliation of GAAP Cash Flow from Operating Activities to Free Cash Flow (in thousands;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9"/>
        </w:trPr>
        <w:tc>
          <w:tcPr>
            <w:tcW w:w="5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(1,388)</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(2,038)</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(828)</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(813)</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(2,185)</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(12,226)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(32,535)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(11,517)</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5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2022-08-11T06:10:42Z</dcterms:created>
  <dcterms:modified xsi:type="dcterms:W3CDTF">2022-08-11T06:10:42Z</dcterms:modified>
</cp:coreProperties>
</file>