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September 12, 2024</w:t>
      </w:r>
    </w:p>
    <w:p>
      <w:pPr>
        <w:spacing w:after="0" w:line="23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333-257354</w:t>
      </w:r>
    </w:p>
    <w:p>
      <w:pPr>
        <w:spacing w:after="0" w:line="31"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333-263823</w:t>
      </w:r>
    </w:p>
    <w:p>
      <w:pPr>
        <w:spacing w:after="0" w:line="23"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333-270537</w:t>
      </w:r>
    </w:p>
    <w:p>
      <w:pPr>
        <w:spacing w:after="0" w:line="9"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Registration No. 333-278034</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333-257354</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333-263823</w:t>
      </w:r>
    </w:p>
    <w:p>
      <w:pPr>
        <w:spacing w:after="0" w:line="2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333-270537</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333-278034</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3" w:lineRule="exact"/>
        <w:rPr>
          <w:sz w:val="24"/>
          <w:szCs w:val="24"/>
          <w:color w:val="auto"/>
        </w:rPr>
      </w:pPr>
    </w:p>
    <w:tbl>
      <w:tblPr>
        <w:tblLayout w:type="fixed"/>
        <w:tblInd w:w="1740" w:type="dxa"/>
        <w:tblCellMar>
          <w:top w:w="0" w:type="dxa"/>
          <w:left w:w="0" w:type="dxa"/>
          <w:bottom w:w="0" w:type="dxa"/>
          <w:right w:w="0" w:type="dxa"/>
        </w:tblCellMar>
      </w:tblPr>
      <w:tr>
        <w:trPr>
          <w:trHeight w:val="233"/>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0"/>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WalkMe Ltd. Restated 2012 Share Option Plan</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WalkMe Ltd. 2021 Share Incentive Plan</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WalkMe Ltd. 2021 Employee Share Purchase Plan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WalkMe, Inc.</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71 Stevenson Street, Floor 20</w:t>
      </w:r>
    </w:p>
    <w:p>
      <w:pPr>
        <w:spacing w:after="0" w:line="2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San Francisco, CA 94105</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(855) 492-5563</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30"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Tad J. Freese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Shachar Hadar</w:t>
            </w:r>
          </w:p>
        </w:tc>
      </w:tr>
      <w:tr>
        <w:trPr>
          <w:trHeight w:val="230"/>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Mark M. Bekheit</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Matthew Rudolph</w:t>
            </w:r>
          </w:p>
        </w:tc>
      </w:tr>
      <w:tr>
        <w:trPr>
          <w:trHeight w:val="230"/>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Meitar | Law Offices</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140 Scott Drive</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16 Abba Hillel Road</w:t>
            </w:r>
          </w:p>
        </w:tc>
      </w:tr>
      <w:tr>
        <w:trPr>
          <w:trHeight w:val="229"/>
        </w:trPr>
        <w:tc>
          <w:tcPr>
            <w:tcW w:w="29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16"/>
        </w:trPr>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Tel: (650) 328-4600</w:t>
            </w: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Tel: +972 (3) 610-3100</w:t>
            </w:r>
          </w:p>
        </w:tc>
      </w:tr>
      <w:tr>
        <w:trPr>
          <w:trHeight w:val="238"/>
        </w:trPr>
        <w:tc>
          <w:tcPr>
            <w:tcW w:w="2920" w:type="dxa"/>
            <w:vAlign w:val="bottom"/>
          </w:tcPr>
          <w:p>
            <w:pPr>
              <w:spacing w:after="0"/>
              <w:rPr>
                <w:sz w:val="20"/>
                <w:szCs w:val="20"/>
                <w:color w:val="auto"/>
              </w:rPr>
            </w:pPr>
          </w:p>
        </w:tc>
        <w:tc>
          <w:tcPr>
            <w:tcW w:w="490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Fax: +972 (3) 610-3111</w:t>
            </w:r>
          </w:p>
        </w:tc>
      </w:tr>
    </w:tbl>
    <w:p>
      <w:pPr>
        <w:spacing w:after="0" w:line="22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738" w:right="499" w:bottom="797" w:gutter="0" w:footer="0" w:header="0"/>
        </w:sectPr>
      </w:pPr>
    </w:p>
    <w:p>
      <w:pPr>
        <w:spacing w:after="0" w:line="177"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4"/>
          <w:szCs w:val="24"/>
          <w:color w:val="auto"/>
        </w:rPr>
      </w:pPr>
    </w:p>
    <w:p>
      <w:pPr>
        <w:sectPr>
          <w:pgSz w:w="11900" w:h="16838" w:orient="portrait"/>
          <w:cols w:equalWidth="0" w:num="2">
            <w:col w:w="6800" w:space="720"/>
            <w:col w:w="3560"/>
          </w:cols>
          <w:pgMar w:left="320" w:top="738" w:right="499" w:bottom="797" w:gutter="0" w:footer="0" w:header="0"/>
          <w:type w:val="continuous"/>
        </w:sectPr>
      </w:pPr>
    </w:p>
    <w:p>
      <w:pPr>
        <w:ind w:left="75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080"/>
          </w:cols>
          <w:pgMar w:left="320" w:top="738" w:right="499" w:bottom="797" w:gutter="0" w:footer="0" w:header="0"/>
          <w:type w:val="continuous"/>
        </w:sectPr>
      </w:pPr>
    </w:p>
    <w:p>
      <w:pPr>
        <w:spacing w:after="0" w:line="3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38" w:right="499" w:bottom="79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3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filing (the “</w:t>
      </w:r>
      <w:r>
        <w:rPr>
          <w:rFonts w:ascii="Times New Roman" w:cs="Times New Roman" w:eastAsia="Times New Roman" w:hAnsi="Times New Roman"/>
          <w:sz w:val="18"/>
          <w:szCs w:val="18"/>
          <w:u w:val="single" w:color="auto"/>
          <w:color w:val="auto"/>
        </w:rPr>
        <w:t>Post-Effective Amendment</w:t>
      </w:r>
      <w:r>
        <w:rPr>
          <w:rFonts w:ascii="Times New Roman" w:cs="Times New Roman" w:eastAsia="Times New Roman" w:hAnsi="Times New Roman"/>
          <w:sz w:val="18"/>
          <w:szCs w:val="18"/>
          <w:color w:val="auto"/>
        </w:rPr>
        <w:t>”) relates to the following registration statements on Form S-8 (collectively,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filed by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333-257354 filed with the SEC on June 24, 2021, pertaining to the registration of 15,060,484 ordinary shares, no par value per share, of the Company (each, an “</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under the WalkMe Ltd. Restated 2012 Share Option Plan (the “</w:t>
      </w:r>
      <w:r>
        <w:rPr>
          <w:rFonts w:ascii="Times New Roman" w:cs="Times New Roman" w:eastAsia="Times New Roman" w:hAnsi="Times New Roman"/>
          <w:sz w:val="18"/>
          <w:szCs w:val="18"/>
          <w:u w:val="single" w:color="auto"/>
          <w:color w:val="auto"/>
        </w:rPr>
        <w:t>2012 Plan</w:t>
      </w:r>
      <w:r>
        <w:rPr>
          <w:rFonts w:ascii="Times New Roman" w:cs="Times New Roman" w:eastAsia="Times New Roman" w:hAnsi="Times New Roman"/>
          <w:sz w:val="18"/>
          <w:szCs w:val="18"/>
          <w:color w:val="auto"/>
        </w:rPr>
        <w:t>”), 9,955,667 Ordinary Shares under the WalkMe Ltd. 2021 Share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and 1,824,988 Ordinary Shares under the WalkMe Ltd. 2021 Employee Share Purchase Plan (the “</w:t>
      </w:r>
      <w:r>
        <w:rPr>
          <w:rFonts w:ascii="Times New Roman" w:cs="Times New Roman" w:eastAsia="Times New Roman" w:hAnsi="Times New Roman"/>
          <w:sz w:val="18"/>
          <w:szCs w:val="18"/>
          <w:u w:val="single" w:color="auto"/>
          <w:color w:val="auto"/>
        </w:rPr>
        <w:t>2021 ESPP</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333-263823 filed with the SEC on March 24, 2022, pertaining to the registration of an additional 4,187,700 Ordinary Shares under the 2021 Plan and 1,002,812 Ordinary Shares under the 2021 ESPP.</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333-270537 filed with the SEC on March 14, 2023, pertaining to the registration of an additional 4,339,004 Ordinary Shares under the 2021 Plan and 1,057,521 Ordinary Shares under the 2021 ESPP.</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333-278034 filed with the SEC on March 18, 2024, pertaining to the registration of an additional 4,543,233 Ordinary Shares under the 2021 Plan and 1,089,308 Ordinary Shares under the 2021 ESPP.</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June 4, 2024, the Company entered into an Agreement and Plan of Merger with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the Merger Agreement, on September 12, 2024, Merger Sub merged with and into the Company, with the Company surviving the merger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has terminated all offerings of its Ordinary Shares pursuant to each of the Registration Statements under the Securities Act of 1933, as amended. In accordance with an undertaking made by the Company in each of the Registration Statements to remove from registration, by means of a post-effective amendment, any Ordinary Shares which remain unsold at the termination of the offering, the Company hereby removes from registration all Ordinary Shares registered under the Registration Statements that remain unsold as of the date hereof, if any, and terminates the effectiveness of each of the Registration Statements. The Registration Statements are hereby amended, as appropriate, to reflect the deregistration of all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Tel Aviv, Israel, on this 12th day of September.</w:t>
      </w:r>
    </w:p>
    <w:p>
      <w:pPr>
        <w:spacing w:after="0" w:line="1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Paul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2486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Paul Shinn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2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32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2024-09-12T08:30:19Z</dcterms:created>
  <dcterms:modified xsi:type="dcterms:W3CDTF">2024-09-12T08:30:19Z</dcterms:modified>
</cp:coreProperties>
</file>