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RULE 13a-16</w:t>
      </w:r>
    </w:p>
    <w:p>
      <w:pPr>
        <w:spacing w:after="0" w:line="1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OR 15d-16 UNDER THE SECURITIES EXCHANGE ACT OF 1934</w:t>
      </w:r>
    </w:p>
    <w:p>
      <w:pPr>
        <w:spacing w:after="0" w:line="27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For the month of November 2022</w:t>
      </w:r>
    </w:p>
    <w:p>
      <w:pPr>
        <w:spacing w:after="0" w:line="28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Commission file number: 001-40490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1 Walter Moses St.</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Tel Aviv 6789903, Israel</w:t>
      </w:r>
    </w:p>
    <w:p>
      <w:pPr>
        <w:spacing w:after="0" w:line="1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+972 (3) 763-0333</w:t>
      </w:r>
    </w:p>
    <w:p>
      <w:pPr>
        <w:spacing w:after="0" w:line="1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offices)</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53" w:lineRule="exact"/>
        <w:rPr>
          <w:sz w:val="24"/>
          <w:szCs w:val="24"/>
          <w:color w:val="auto"/>
        </w:rPr>
      </w:pPr>
    </w:p>
    <w:p>
      <w:pPr>
        <w:jc w:val="center"/>
        <w:ind w:right="-219"/>
        <w:spacing w:after="0" w:line="253" w:lineRule="exact"/>
        <w:tabs>
          <w:tab w:leader="none" w:pos="62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Form 40-F </w:t>
      </w:r>
      <w:r>
        <w:rPr>
          <w:rFonts w:ascii="MS PGothic" w:cs="MS PGothic" w:eastAsia="MS PGothic" w:hAnsi="MS PGothic"/>
          <w:sz w:val="22"/>
          <w:szCs w:val="22"/>
          <w:color w:val="auto"/>
        </w:rPr>
        <w:t>☐</w:t>
      </w:r>
    </w:p>
    <w:p>
      <w:pPr>
        <w:spacing w:after="0" w:line="28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101(b)(1): </w:t>
      </w:r>
      <w:r>
        <w:rPr>
          <w:rFonts w:ascii="MS PGothic" w:cs="MS PGothic" w:eastAsia="MS PGothic" w:hAnsi="MS PGothic"/>
          <w:sz w:val="21"/>
          <w:szCs w:val="21"/>
          <w:color w:val="auto"/>
        </w:rPr>
        <w:t>☐</w:t>
      </w:r>
    </w:p>
    <w:p>
      <w:pPr>
        <w:spacing w:after="0" w:line="29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101(b)(7):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83" w:right="539" w:bottom="1440" w:gutter="0" w:footer="0" w:header="0"/>
        </w:sectPr>
      </w:pPr>
    </w:p>
    <w:bookmarkStart w:id="1" w:name="page2"/>
    <w:bookmarkEnd w:id="1"/>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9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22"/>
          <w:szCs w:val="22"/>
          <w:color w:val="auto"/>
        </w:rPr>
        <w:t>On November 15, 2022, WalkMe Ltd. issued a press release titled “WalkMe Ltd. Announces Third Quarter 2022 Financial Results.” A copy of the press release is furnished as Exhibit 99.1 herewith.</w:t>
      </w:r>
    </w:p>
    <w:p>
      <w:pPr>
        <w:spacing w:after="0" w:line="21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2"/>
          <w:szCs w:val="22"/>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3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color w:val="auto"/>
        </w:rPr>
        <w:t>The U.S. GAAP financial information contained in the (i) condensed consolidated statements of operations, (ii) condensed consolidated balance sheets and (iii) condensed consolidated statements of cash flow included in the press release attached as Exhibit 99.1 to this Report on Form 6-K are hereby incorporated by reference into the Company’s Registration Statements on Form S-8 (File Nos. 333-257354 and 333-263823).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22"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The following exhibit is furnished as part of this Form 6-K:</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8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15, 2022 titled “WalkMe Ltd. Announces Third Quarter 2022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Hagit Ynon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Hagit Ynon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Interim Chief Financial Officer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0A0A0A"/>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A0A0A"/>
        </w:rPr>
        <w:t>WalkMe Ltd. Announces Third Quarter 2022 Financial Results</w:t>
      </w:r>
    </w:p>
    <w:p>
      <w:pPr>
        <w:spacing w:after="0" w:line="28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i w:val="1"/>
          <w:iCs w:val="1"/>
          <w:color w:val="0A0A0A"/>
        </w:rPr>
        <w:t>DAP customers grew to 155 and ARR from DAP customers grew 63% year-over-year</w:t>
      </w:r>
    </w:p>
    <w:p>
      <w:pPr>
        <w:spacing w:after="0" w:line="29" w:lineRule="exact"/>
        <w:rPr>
          <w:rFonts w:ascii="Times New Roman" w:cs="Times New Roman" w:eastAsia="Times New Roman" w:hAnsi="Times New Roman"/>
          <w:sz w:val="18"/>
          <w:szCs w:val="18"/>
          <w:color w:val="0A0A0A"/>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i w:val="1"/>
          <w:iCs w:val="1"/>
          <w:color w:val="0A0A0A"/>
        </w:rPr>
        <w:t>ARR from customers with greater than 500 employees grew 31% year-over-year</w:t>
      </w:r>
    </w:p>
    <w:p>
      <w:pPr>
        <w:spacing w:after="0" w:line="9" w:lineRule="exact"/>
        <w:rPr>
          <w:rFonts w:ascii="Times New Roman" w:cs="Times New Roman" w:eastAsia="Times New Roman" w:hAnsi="Times New Roman"/>
          <w:sz w:val="18"/>
          <w:szCs w:val="18"/>
          <w:color w:val="0A0A0A"/>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i w:val="1"/>
          <w:iCs w:val="1"/>
          <w:color w:val="0A0A0A"/>
        </w:rPr>
        <w:t>Improved operating efficiency for third straight quarter</w:t>
      </w:r>
    </w:p>
    <w:p>
      <w:pPr>
        <w:spacing w:after="0" w:line="257"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8"/>
          <w:szCs w:val="18"/>
          <w:b w:val="1"/>
          <w:bCs w:val="1"/>
          <w:color w:val="0A0A0A"/>
        </w:rPr>
        <w:t xml:space="preserve">SAN FRANCISCO, November 15, 2022 </w:t>
      </w:r>
      <w:r>
        <w:rPr>
          <w:rFonts w:ascii="Times New Roman" w:cs="Times New Roman" w:eastAsia="Times New Roman" w:hAnsi="Times New Roman"/>
          <w:sz w:val="18"/>
          <w:szCs w:val="18"/>
          <w:color w:val="0A0A0A"/>
        </w:rPr>
        <w:t>- WalkMe Ltd. (NASDAQ:WKME), a leading provider of digital adoption solutions, today announced financial</w:t>
      </w:r>
      <w:r>
        <w:rPr>
          <w:rFonts w:ascii="Times New Roman" w:cs="Times New Roman" w:eastAsia="Times New Roman" w:hAnsi="Times New Roman"/>
          <w:sz w:val="18"/>
          <w:szCs w:val="18"/>
          <w:b w:val="1"/>
          <w:bCs w:val="1"/>
          <w:color w:val="0A0A0A"/>
        </w:rPr>
        <w:t xml:space="preserve"> </w:t>
      </w:r>
      <w:r>
        <w:rPr>
          <w:rFonts w:ascii="Times New Roman" w:cs="Times New Roman" w:eastAsia="Times New Roman" w:hAnsi="Times New Roman"/>
          <w:sz w:val="18"/>
          <w:szCs w:val="18"/>
          <w:color w:val="0A0A0A"/>
        </w:rPr>
        <w:t>results for its third quarter ended September 30, 2022.</w:t>
      </w:r>
    </w:p>
    <w:p>
      <w:pPr>
        <w:spacing w:after="0" w:line="20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2"/>
          <w:szCs w:val="22"/>
          <w:color w:val="222222"/>
        </w:rPr>
        <w:t>"I'm pleased to see as we continue to transition our business to focus on large organizations with complex business processes that our customers are not pausing their efforts to optimize their organizations," said Dan Adika, CEO of WalkMe. "Our progress with deploying WalkMe at scale is evidenced by our second quarter of greater than 60% growth for our DAP customers while also improving our operational efficiency and confident in our path to free cash flow positive in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Third Quarter 2022 Financial Highlights:</w:t>
      </w:r>
    </w:p>
    <w:p>
      <w:pPr>
        <w:spacing w:after="0" w:line="293" w:lineRule="exact"/>
        <w:rPr>
          <w:sz w:val="20"/>
          <w:szCs w:val="20"/>
          <w:color w:val="auto"/>
        </w:rPr>
      </w:pPr>
    </w:p>
    <w:p>
      <w:pPr>
        <w:ind w:left="660" w:right="580" w:hanging="328"/>
        <w:spacing w:after="0" w:line="263" w:lineRule="auto"/>
        <w:tabs>
          <w:tab w:leader="none" w:pos="660" w:val="left"/>
        </w:tabs>
        <w:numPr>
          <w:ilvl w:val="0"/>
          <w:numId w:val="2"/>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b w:val="1"/>
          <w:bCs w:val="1"/>
          <w:color w:val="0A0A0A"/>
        </w:rPr>
        <w:t xml:space="preserve">Revenue: </w:t>
      </w:r>
      <w:r>
        <w:rPr>
          <w:rFonts w:ascii="Times New Roman" w:cs="Times New Roman" w:eastAsia="Times New Roman" w:hAnsi="Times New Roman"/>
          <w:sz w:val="18"/>
          <w:szCs w:val="18"/>
          <w:color w:val="0A0A0A"/>
        </w:rPr>
        <w:t>Total revenue was $63.4 million in the third quarter of 2022, an increase of 25% year-over-year. Subscription revenue was $56.7</w:t>
      </w:r>
      <w:r>
        <w:rPr>
          <w:rFonts w:ascii="Times New Roman" w:cs="Times New Roman" w:eastAsia="Times New Roman" w:hAnsi="Times New Roman"/>
          <w:sz w:val="18"/>
          <w:szCs w:val="18"/>
          <w:b w:val="1"/>
          <w:bCs w:val="1"/>
          <w:color w:val="0A0A0A"/>
        </w:rPr>
        <w:t xml:space="preserve"> </w:t>
      </w:r>
      <w:r>
        <w:rPr>
          <w:rFonts w:ascii="Times New Roman" w:cs="Times New Roman" w:eastAsia="Times New Roman" w:hAnsi="Times New Roman"/>
          <w:sz w:val="18"/>
          <w:szCs w:val="18"/>
          <w:color w:val="0A0A0A"/>
        </w:rPr>
        <w:t>million, an increase of 23% year-over-year.</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b w:val="1"/>
          <w:bCs w:val="1"/>
          <w:color w:val="0A0A0A"/>
        </w:rPr>
        <w:t>Annualized Recurring Revenue (ARR)*</w:t>
      </w:r>
      <w:r>
        <w:rPr>
          <w:rFonts w:ascii="Times New Roman" w:cs="Times New Roman" w:eastAsia="Times New Roman" w:hAnsi="Times New Roman"/>
          <w:sz w:val="18"/>
          <w:szCs w:val="18"/>
          <w:color w:val="0A0A0A"/>
        </w:rPr>
        <w:t>: grew 26% year-over-year to $254 million as of September 30, 2022.</w:t>
      </w:r>
    </w:p>
    <w:p>
      <w:pPr>
        <w:spacing w:after="0" w:line="9" w:lineRule="exact"/>
        <w:rPr>
          <w:rFonts w:ascii="Times New Roman" w:cs="Times New Roman" w:eastAsia="Times New Roman" w:hAnsi="Times New Roman"/>
          <w:sz w:val="18"/>
          <w:szCs w:val="18"/>
          <w:color w:val="0A0A0A"/>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b w:val="1"/>
          <w:bCs w:val="1"/>
          <w:color w:val="0A0A0A"/>
        </w:rPr>
        <w:t>Remaining Performance Obligation (RPO)</w:t>
      </w:r>
      <w:r>
        <w:rPr>
          <w:rFonts w:ascii="Times New Roman" w:cs="Times New Roman" w:eastAsia="Times New Roman" w:hAnsi="Times New Roman"/>
          <w:sz w:val="18"/>
          <w:szCs w:val="18"/>
          <w:color w:val="0A0A0A"/>
        </w:rPr>
        <w:t>: was $351 million as of September 30, 2022, an increase of 29% year-over-year.</w:t>
      </w:r>
    </w:p>
    <w:p>
      <w:pPr>
        <w:spacing w:after="0" w:line="9" w:lineRule="exact"/>
        <w:rPr>
          <w:rFonts w:ascii="Times New Roman" w:cs="Times New Roman" w:eastAsia="Times New Roman" w:hAnsi="Times New Roman"/>
          <w:sz w:val="18"/>
          <w:szCs w:val="18"/>
          <w:color w:val="0A0A0A"/>
        </w:rPr>
      </w:pPr>
    </w:p>
    <w:p>
      <w:pPr>
        <w:ind w:left="660" w:right="500" w:hanging="328"/>
        <w:spacing w:after="0" w:line="250" w:lineRule="auto"/>
        <w:tabs>
          <w:tab w:leader="none" w:pos="660" w:val="left"/>
        </w:tabs>
        <w:numPr>
          <w:ilvl w:val="0"/>
          <w:numId w:val="2"/>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b w:val="1"/>
          <w:bCs w:val="1"/>
          <w:color w:val="0A0A0A"/>
        </w:rPr>
        <w:t>GAAP Operating Loss</w:t>
      </w:r>
      <w:r>
        <w:rPr>
          <w:rFonts w:ascii="Times New Roman" w:cs="Times New Roman" w:eastAsia="Times New Roman" w:hAnsi="Times New Roman"/>
          <w:sz w:val="18"/>
          <w:szCs w:val="18"/>
          <w:color w:val="0A0A0A"/>
        </w:rPr>
        <w:t>: was $26.4 million in the third quarter of 2022, or 42% of total revenue, compared to $17.9 million, or 35% of total</w:t>
      </w:r>
      <w:r>
        <w:rPr>
          <w:rFonts w:ascii="Times New Roman" w:cs="Times New Roman" w:eastAsia="Times New Roman" w:hAnsi="Times New Roman"/>
          <w:sz w:val="18"/>
          <w:szCs w:val="18"/>
          <w:b w:val="1"/>
          <w:bCs w:val="1"/>
          <w:color w:val="0A0A0A"/>
        </w:rPr>
        <w:t xml:space="preserve"> </w:t>
      </w:r>
      <w:r>
        <w:rPr>
          <w:rFonts w:ascii="Times New Roman" w:cs="Times New Roman" w:eastAsia="Times New Roman" w:hAnsi="Times New Roman"/>
          <w:sz w:val="18"/>
          <w:szCs w:val="18"/>
          <w:color w:val="0A0A0A"/>
        </w:rPr>
        <w:t>revenue, in the third quarter of 2021.</w:t>
      </w:r>
    </w:p>
    <w:p>
      <w:pPr>
        <w:ind w:left="660" w:right="280" w:hanging="328"/>
        <w:spacing w:after="0" w:line="250" w:lineRule="auto"/>
        <w:tabs>
          <w:tab w:leader="none" w:pos="660" w:val="left"/>
        </w:tabs>
        <w:numPr>
          <w:ilvl w:val="0"/>
          <w:numId w:val="2"/>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b w:val="1"/>
          <w:bCs w:val="1"/>
          <w:color w:val="0A0A0A"/>
        </w:rPr>
        <w:t xml:space="preserve">Non-GAAP Operating Loss*: </w:t>
      </w:r>
      <w:r>
        <w:rPr>
          <w:rFonts w:ascii="Times New Roman" w:cs="Times New Roman" w:eastAsia="Times New Roman" w:hAnsi="Times New Roman"/>
          <w:sz w:val="18"/>
          <w:szCs w:val="18"/>
          <w:color w:val="0A0A0A"/>
        </w:rPr>
        <w:t>was $12.5 million in the third quarter of 2022 compared to $10.1 million in the third quarter of 2021 or 20% of</w:t>
      </w:r>
      <w:r>
        <w:rPr>
          <w:rFonts w:ascii="Times New Roman" w:cs="Times New Roman" w:eastAsia="Times New Roman" w:hAnsi="Times New Roman"/>
          <w:sz w:val="18"/>
          <w:szCs w:val="18"/>
          <w:b w:val="1"/>
          <w:bCs w:val="1"/>
          <w:color w:val="0A0A0A"/>
        </w:rPr>
        <w:t xml:space="preserve"> </w:t>
      </w:r>
      <w:r>
        <w:rPr>
          <w:rFonts w:ascii="Times New Roman" w:cs="Times New Roman" w:eastAsia="Times New Roman" w:hAnsi="Times New Roman"/>
          <w:sz w:val="18"/>
          <w:szCs w:val="18"/>
          <w:color w:val="0A0A0A"/>
        </w:rPr>
        <w:t>total revenue.</w:t>
      </w:r>
    </w:p>
    <w:p>
      <w:pPr>
        <w:ind w:left="660" w:right="120" w:hanging="328"/>
        <w:spacing w:after="0" w:line="250" w:lineRule="auto"/>
        <w:tabs>
          <w:tab w:leader="none" w:pos="660" w:val="left"/>
        </w:tabs>
        <w:numPr>
          <w:ilvl w:val="0"/>
          <w:numId w:val="2"/>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b w:val="1"/>
          <w:bCs w:val="1"/>
          <w:color w:val="0A0A0A"/>
        </w:rPr>
        <w:t>Cash Flow</w:t>
      </w:r>
      <w:r>
        <w:rPr>
          <w:rFonts w:ascii="Times New Roman" w:cs="Times New Roman" w:eastAsia="Times New Roman" w:hAnsi="Times New Roman"/>
          <w:sz w:val="18"/>
          <w:szCs w:val="18"/>
          <w:color w:val="0A0A0A"/>
        </w:rPr>
        <w:t>: Net cash used in operations in the third quarter of 2022 was $9.7 million, or 15% of total revenue, compared to $11.3 million used in</w:t>
      </w:r>
      <w:r>
        <w:rPr>
          <w:rFonts w:ascii="Times New Roman" w:cs="Times New Roman" w:eastAsia="Times New Roman" w:hAnsi="Times New Roman"/>
          <w:sz w:val="18"/>
          <w:szCs w:val="18"/>
          <w:b w:val="1"/>
          <w:bCs w:val="1"/>
          <w:color w:val="0A0A0A"/>
        </w:rPr>
        <w:t xml:space="preserve"> </w:t>
      </w:r>
      <w:r>
        <w:rPr>
          <w:rFonts w:ascii="Times New Roman" w:cs="Times New Roman" w:eastAsia="Times New Roman" w:hAnsi="Times New Roman"/>
          <w:sz w:val="18"/>
          <w:szCs w:val="18"/>
          <w:color w:val="0A0A0A"/>
        </w:rPr>
        <w:t>operations or 22% of total revenue, in the third quarter of 2021.</w:t>
      </w: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b w:val="1"/>
          <w:bCs w:val="1"/>
          <w:color w:val="0A0A0A"/>
        </w:rPr>
        <w:t>Free Cash Flow</w:t>
      </w:r>
      <w:r>
        <w:rPr>
          <w:rFonts w:ascii="Times New Roman" w:cs="Times New Roman" w:eastAsia="Times New Roman" w:hAnsi="Times New Roman"/>
          <w:sz w:val="18"/>
          <w:szCs w:val="18"/>
          <w:color w:val="0A0A0A"/>
        </w:rPr>
        <w:t>*: was negative $11.2 million in the third quarter of 2022, or 18% of total revenue, compared to negative $12.9 million, or 26% of</w:t>
      </w:r>
      <w:r>
        <w:rPr>
          <w:rFonts w:ascii="Times New Roman" w:cs="Times New Roman" w:eastAsia="Times New Roman" w:hAnsi="Times New Roman"/>
          <w:sz w:val="18"/>
          <w:szCs w:val="18"/>
          <w:b w:val="1"/>
          <w:bCs w:val="1"/>
          <w:color w:val="0A0A0A"/>
        </w:rPr>
        <w:t xml:space="preserve"> </w:t>
      </w:r>
      <w:r>
        <w:rPr>
          <w:rFonts w:ascii="Times New Roman" w:cs="Times New Roman" w:eastAsia="Times New Roman" w:hAnsi="Times New Roman"/>
          <w:sz w:val="18"/>
          <w:szCs w:val="18"/>
          <w:color w:val="0A0A0A"/>
        </w:rPr>
        <w:t>total revenue, in the third quarter of 2021.</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b w:val="1"/>
          <w:bCs w:val="1"/>
          <w:color w:val="0A0A0A"/>
        </w:rPr>
        <w:t xml:space="preserve">Cash, Cash Equivalents, and Short-term Deposits </w:t>
      </w:r>
      <w:r>
        <w:rPr>
          <w:rFonts w:ascii="Times New Roman" w:cs="Times New Roman" w:eastAsia="Times New Roman" w:hAnsi="Times New Roman"/>
          <w:sz w:val="18"/>
          <w:szCs w:val="18"/>
          <w:color w:val="0A0A0A"/>
        </w:rPr>
        <w:t>were $309.2 million as of September 30, 2022.</w:t>
      </w:r>
    </w:p>
    <w:p>
      <w:pPr>
        <w:spacing w:after="0" w:line="26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2"/>
          <w:szCs w:val="22"/>
          <w:color w:val="222222"/>
        </w:rPr>
        <w:t>"We're pleased to see ARR growth from customers with more than 500 employees grow by 31%, ahead of our total ARR growth while we have worked to drive greater efficiencies within our organization," said Hagit Ynon, Interim CFO of WalkMe." As a result of increased focus on efficiency, we improved our non-GAAP operating loss margin from 28% in Q2 2022 to 20% in Q3 2022. On this strength and additional efficiencies we can drive, we have greater confidence in our ability to achieve positive free cash flow within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0A0A0A"/>
        </w:rPr>
        <w:t>Third Quarter and Recent Business Highlights:</w:t>
      </w:r>
    </w:p>
    <w:p>
      <w:pPr>
        <w:spacing w:after="0" w:line="297" w:lineRule="exact"/>
        <w:rPr>
          <w:sz w:val="20"/>
          <w:szCs w:val="20"/>
          <w:color w:val="auto"/>
        </w:rPr>
      </w:pPr>
    </w:p>
    <w:p>
      <w:pPr>
        <w:ind w:left="660" w:right="80" w:hanging="328"/>
        <w:spacing w:after="0" w:line="261" w:lineRule="auto"/>
        <w:tabs>
          <w:tab w:leader="none" w:pos="660" w:val="left"/>
        </w:tabs>
        <w:numPr>
          <w:ilvl w:val="0"/>
          <w:numId w:val="3"/>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In the third quarter, WalkMe added thirteen net new Enterprise-Wide DAP customers for a total of 155, representing DAP customer count growth of 38% year-over-year. ARR from DAP customers grew 63% year-over-year.</w:t>
      </w:r>
    </w:p>
    <w:p>
      <w:pPr>
        <w:ind w:left="660" w:right="120" w:hanging="328"/>
        <w:spacing w:after="0" w:line="250" w:lineRule="auto"/>
        <w:tabs>
          <w:tab w:leader="none" w:pos="660" w:val="left"/>
        </w:tabs>
        <w:numPr>
          <w:ilvl w:val="0"/>
          <w:numId w:val="3"/>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Customers with over $100,000 in ARR grew 22% year-over-year to 511 and customers with over $1 million in ARR grew 30% year-over-year to 35.</w:t>
      </w:r>
    </w:p>
    <w:p>
      <w:pPr>
        <w:ind w:left="660" w:right="80" w:hanging="328"/>
        <w:spacing w:after="0" w:line="250" w:lineRule="auto"/>
        <w:tabs>
          <w:tab w:leader="none" w:pos="660" w:val="left"/>
        </w:tabs>
        <w:numPr>
          <w:ilvl w:val="0"/>
          <w:numId w:val="3"/>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In the fourth quarter of 2021, WalkMe updated and enhanced its third-party data sources for identifying customers with 500 or more employees and as a result now captures a greater number of customers in this category in the same period compared to the previous methodology. ARR from customers with 500 or more employees grew 31% year-over-year and represented 89% of total ARR without the new data sources. With the new data sources, ARR from customers with 500 or more employees is now 94% of total ARR.</w:t>
      </w:r>
    </w:p>
    <w:p>
      <w:pPr>
        <w:spacing w:after="0" w:line="1" w:lineRule="exact"/>
        <w:rPr>
          <w:rFonts w:ascii="Times New Roman" w:cs="Times New Roman" w:eastAsia="Times New Roman" w:hAnsi="Times New Roman"/>
          <w:sz w:val="18"/>
          <w:szCs w:val="18"/>
          <w:color w:val="0A0A0A"/>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WalkMe received approval to join the UK government's G-Cloud Digital Marketplace, a centralized hub for the streamlined procurement of cloud-related IT services and technologies by public sector organizations such as central and local governments, non-profit organizations, education, defense, and emergency and health services.</w:t>
      </w:r>
    </w:p>
    <w:p>
      <w:pPr>
        <w:spacing w:after="0" w:line="1" w:lineRule="exact"/>
        <w:rPr>
          <w:rFonts w:ascii="Times New Roman" w:cs="Times New Roman" w:eastAsia="Times New Roman" w:hAnsi="Times New Roman"/>
          <w:sz w:val="18"/>
          <w:szCs w:val="18"/>
          <w:color w:val="0A0A0A"/>
        </w:rPr>
      </w:pPr>
    </w:p>
    <w:p>
      <w:pPr>
        <w:ind w:left="660" w:right="580" w:hanging="328"/>
        <w:spacing w:after="0" w:line="260" w:lineRule="auto"/>
        <w:tabs>
          <w:tab w:leader="none" w:pos="660" w:val="left"/>
        </w:tabs>
        <w:numPr>
          <w:ilvl w:val="0"/>
          <w:numId w:val="3"/>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WalkMe expanded its partnership with Deloitte through a strategic alliance with Deloitte Australia and Japan to bring digital adoption best practices to Australian and Japanese enterprises.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Financial Outlook: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For the fourth quarter of 2022, the Company currently expects:</w:t>
      </w:r>
    </w:p>
    <w:p>
      <w:pPr>
        <w:spacing w:after="0" w:line="28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Total revenue of $62.9 to $64.9 million, representing a growth rate of 18% to 22% year-over-year</w:t>
      </w:r>
    </w:p>
    <w:p>
      <w:pPr>
        <w:spacing w:after="0" w:line="27" w:lineRule="exact"/>
        <w:rPr>
          <w:rFonts w:ascii="Times New Roman" w:cs="Times New Roman" w:eastAsia="Times New Roman" w:hAnsi="Times New Roman"/>
          <w:sz w:val="18"/>
          <w:szCs w:val="18"/>
          <w:color w:val="0A0A0A"/>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Non-GAAP operating loss* of $13.2 to $11.2 million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For the full year 2022, the Company currently expects:</w:t>
      </w:r>
    </w:p>
    <w:p>
      <w:pPr>
        <w:spacing w:after="0" w:line="28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Total revenue of $243 to $245 million, representing a growth rate of 26% to 27% year-over-year</w:t>
      </w:r>
    </w:p>
    <w:p>
      <w:pPr>
        <w:spacing w:after="0" w:line="27" w:lineRule="exact"/>
        <w:rPr>
          <w:rFonts w:ascii="Times New Roman" w:cs="Times New Roman" w:eastAsia="Times New Roman" w:hAnsi="Times New Roman"/>
          <w:sz w:val="18"/>
          <w:szCs w:val="18"/>
          <w:color w:val="0A0A0A"/>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Non-GAAP operating loss* of $61 to $59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7" w:right="359" w:bottom="1440" w:gutter="0" w:footer="0" w:header="0"/>
        </w:sectPr>
      </w:pPr>
    </w:p>
    <w:bookmarkStart w:id="6" w:name="page7"/>
    <w:bookmarkEnd w:id="6"/>
    <w:p>
      <w:pPr>
        <w:spacing w:after="0" w:line="260" w:lineRule="auto"/>
        <w:rPr>
          <w:sz w:val="20"/>
          <w:szCs w:val="20"/>
          <w:color w:val="auto"/>
        </w:rPr>
      </w:pPr>
      <w:r>
        <w:rPr>
          <w:rFonts w:ascii="Times New Roman" w:cs="Times New Roman" w:eastAsia="Times New Roman" w:hAnsi="Times New Roman"/>
          <w:sz w:val="22"/>
          <w:szCs w:val="22"/>
          <w:color w:val="0A0A0A"/>
        </w:rPr>
        <w:t>*The section titled “Non-GAAP Financial Measures and Key Performance Indicators” below contains a description of the non-GAAP financial measures discussed in this press release and reconciliations between historical GAAP and non-GAAP information are contained in the tables below. The Company is unable to provide a reconciliation of non-GAAP Operating Income (Loss) to Operating Income (Loss), its most directly comparable GAAP financial measure, on a forward-looking basis without unreasonable effort, because items that impact this GAAP financial measure are not within the Company’s control and/or cannot be reasonably predicted. These items may include, but are not limited to, predicting forward-looking share-based compensation. Such information may have a significant, and potentially unpredictable, impact on the Company’s future financial results.</w:t>
      </w:r>
    </w:p>
    <w:p>
      <w:pPr>
        <w:spacing w:after="0" w:line="2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2"/>
          <w:szCs w:val="22"/>
          <w:color w:val="0A0A0A"/>
        </w:rPr>
        <w:t>Throughout this press release, we provide a number of key performance indicators used by our management and often used by competitors in our industry. These and other key performance indicators are discussed in more detail in the section entitled “Non-GAAP Financial Measures and Key Performance Indicators” in this press release.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Conference Call Information:</w:t>
      </w:r>
    </w:p>
    <w:p>
      <w:pPr>
        <w:spacing w:after="0" w:line="30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22"/>
          <w:szCs w:val="22"/>
          <w:color w:val="0A0A0A"/>
        </w:rPr>
        <w:t>WalkMe will host a conference call and live webcast for analysts and investors at 5:00 a.m. Pacific Time on November 15, 2022. The press release with the financial results as well as the investor presentation materials will be accessible from the Company’s website prior to the conference call.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A live webcast of the conference call will be accessible on the WalkMe investor relations website at https://ir.walkme.com.</w:t>
      </w:r>
    </w:p>
    <w:p>
      <w:pPr>
        <w:spacing w:after="0" w:line="28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22"/>
          <w:szCs w:val="22"/>
          <w:color w:val="0A0A0A"/>
        </w:rPr>
        <w:t>Approximately one hour after completion of the live call and for at least 30 days thereafter, an archived version of the webcast will be available on the Company’s investor relations website at https://ir.walkme.com.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Supplemental Financial and Other Information:</w:t>
      </w:r>
    </w:p>
    <w:p>
      <w:pPr>
        <w:spacing w:after="0" w:line="2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color w:val="0A0A0A"/>
        </w:rPr>
        <w:t>We intend to announce material information to the public through the WalkMe Investor Relations website at ir.walkme.com,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w:t>
      </w:r>
    </w:p>
    <w:p>
      <w:pPr>
        <w:spacing w:after="0" w:line="233"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22"/>
          <w:szCs w:val="22"/>
          <w:color w:val="0A0A0A"/>
        </w:rPr>
        <w:t>Any updates to the list of disclosure channels through which we will announce information will be posted on the investor relations page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0A0A0A"/>
        </w:rPr>
        <w:t>Non-GAAP Financial Measures and Key Performance Indicators:</w:t>
      </w:r>
    </w:p>
    <w:p>
      <w:pPr>
        <w:spacing w:after="0" w:line="30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0A0A0A"/>
        </w:rPr>
        <w:t>In addition to our financial results reported in accordance with GAAP, this press release and the accompanying tables and related presentation materials may contain one or more of the following non-GAAP financial measures: Non-GAAP Gross Profit, Non-GAAP Gross Margin, Non-GAAP Operating Income (Loss), Non-GAAP Operating Margin, Non-GAAP Net Income (Loss) attributable to WalkMe Ltd., Non-GAAP Net Income (Loss) per share attributable to WalkMe Ltd. and Free Cash Flow, all of which are non-GAAP financial measures. We believe that these measures provide useful information about operating results, enhance the overall understanding of past financial performance and future prospects, and allow for greater transparency with respect to key measures used by management in its financial and operational decision making. Non-GAAP financial measures have limitations as analytical tools and may differ from similarly titled measures presented by other companies. The presentation of this financial information is not intended to be considered as a substitute for the financial information prepared and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2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i w:val="1"/>
          <w:iCs w:val="1"/>
          <w:color w:val="0A0A0A"/>
        </w:rPr>
        <w:t>Non-GAAP Gross Profit and Non-GAAP Gross Margin</w:t>
      </w:r>
      <w:r>
        <w:rPr>
          <w:rFonts w:ascii="Times New Roman" w:cs="Times New Roman" w:eastAsia="Times New Roman" w:hAnsi="Times New Roman"/>
          <w:sz w:val="18"/>
          <w:szCs w:val="18"/>
          <w:color w:val="0A0A0A"/>
        </w:rPr>
        <w:t>. We define Non-GAAP Gross Profit as gross profit excluding share-based compensation and</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amortization of acquired intangibles. We exclude these items because they occur for reasons that may be unrelated to our core operating performance during the period, and because we believe that such items may obscure underlying business trends and make comparisons of long-term performance difficult. We use Non-GAAP Gross Profit with traditional GAAP measures to evaluate our financial performance. Non-GAAP Gross Margin is calculated as a percentage of revenues.</w:t>
      </w:r>
    </w:p>
    <w:p>
      <w:pPr>
        <w:spacing w:after="0" w:line="2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i w:val="1"/>
          <w:iCs w:val="1"/>
          <w:color w:val="0A0A0A"/>
        </w:rPr>
        <w:t xml:space="preserve">Non-GAAP Operating Income (Loss) and Non-GAAP Operating Margin. </w:t>
      </w:r>
      <w:r>
        <w:rPr>
          <w:rFonts w:ascii="Times New Roman" w:cs="Times New Roman" w:eastAsia="Times New Roman" w:hAnsi="Times New Roman"/>
          <w:sz w:val="18"/>
          <w:szCs w:val="18"/>
          <w:color w:val="0A0A0A"/>
        </w:rPr>
        <w:t>We define Non-GAAP Operating Income (Loss) as income (loss) from operations</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excluding share-based compensation and amortization and impairment of acquired intangibles. We exclude these items because they occur for reasons that may be unrelated to our core operating performance during the period, and because we believe that such items may obscure underlying business trends and make comparisons of long-term performance difficult. We use Non-GAAP Operating Income (Loss) with traditional GAAP measures to evaluate our financial performance. Non-GAAP Operating Margin is calculated as a percentage of revenues.</w:t>
      </w:r>
    </w:p>
    <w:p>
      <w:pPr>
        <w:spacing w:after="0" w:line="2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i w:val="1"/>
          <w:iCs w:val="1"/>
          <w:color w:val="0A0A0A"/>
        </w:rPr>
        <w:t>Non-GAAP Net Income (Loss) attributable to WalkMe Ltd</w:t>
      </w:r>
      <w:r>
        <w:rPr>
          <w:rFonts w:ascii="Times New Roman" w:cs="Times New Roman" w:eastAsia="Times New Roman" w:hAnsi="Times New Roman"/>
          <w:sz w:val="18"/>
          <w:szCs w:val="18"/>
          <w:color w:val="0A0A0A"/>
        </w:rPr>
        <w:t>. We define Non-GAAP Net Income (Loss) attributable to WalkMe Ltd. as net income (loss)</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attributable to WalkMe Ltd. excluding share-based compensation, amortization and impairment of acquired intangibles and adjustment attributable to non-controlling interest. We exclude these items because they occur for reasons that may be unrelated to our core operating performance during the period, and because we believe that such items may obscure underlying business trends and make comparisons of long-term performance difficult. We use Non-GAAP Net Income (Loss) attributable to WalkMe Ltd. with traditional GAAP measures to evaluate our financial performance. Non-GAAP Net Income (Loss) per Share attributable to WalkMe Ltd. is calculated based on ordinary shares outstanding after accounting for the exchange of our outstanding convertible preferred shares into ordinary shares as though such event had occurred at the beginning of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87" w:right="379" w:bottom="1440" w:gutter="0" w:footer="0" w:header="0"/>
        </w:sectPr>
      </w:pPr>
    </w:p>
    <w:bookmarkStart w:id="8" w:name="page9"/>
    <w:bookmarkEnd w:id="8"/>
    <w:p>
      <w:pPr>
        <w:ind w:right="160"/>
        <w:spacing w:after="0" w:line="272" w:lineRule="auto"/>
        <w:rPr>
          <w:sz w:val="20"/>
          <w:szCs w:val="20"/>
          <w:color w:val="auto"/>
        </w:rPr>
      </w:pPr>
      <w:r>
        <w:rPr>
          <w:rFonts w:ascii="Times New Roman" w:cs="Times New Roman" w:eastAsia="Times New Roman" w:hAnsi="Times New Roman"/>
          <w:sz w:val="18"/>
          <w:szCs w:val="18"/>
          <w:i w:val="1"/>
          <w:iCs w:val="1"/>
          <w:color w:val="0A0A0A"/>
        </w:rPr>
        <w:t xml:space="preserve">Free Cash Flow. </w:t>
      </w:r>
      <w:r>
        <w:rPr>
          <w:rFonts w:ascii="Times New Roman" w:cs="Times New Roman" w:eastAsia="Times New Roman" w:hAnsi="Times New Roman"/>
          <w:sz w:val="18"/>
          <w:szCs w:val="18"/>
          <w:color w:val="0A0A0A"/>
        </w:rPr>
        <w:t>We define Free Cash Flow as net cash provided by (used in) operating activities, less cash used for purchases of property and equipment</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and capitalized internal-use software development costs. We believe that Free Cash Flow is a useful indicator of liquidity that provides information to management and investors, even if negative, about the amount of cash used in our business. Our Free Cash Flow may vary from period to period and be impacted as we continue to invest for growth in our business.</w:t>
      </w:r>
    </w:p>
    <w:p>
      <w:pPr>
        <w:spacing w:after="0" w:line="24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22"/>
          <w:szCs w:val="22"/>
          <w:color w:val="0A0A0A"/>
        </w:rPr>
        <w:t>For more information on the non-GAAP financial measures, please see the reconciliation tables provided below. The accompanying reconciliation tables have more details on the GAAP financial measures that are most directly comparable to non-GAAP financial measures and the related reconciliations between these financial measures.</w:t>
      </w:r>
    </w:p>
    <w:p>
      <w:pPr>
        <w:spacing w:after="0" w:line="22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i w:val="1"/>
          <w:iCs w:val="1"/>
          <w:color w:val="0A0A0A"/>
        </w:rPr>
        <w:t xml:space="preserve">ARR. </w:t>
      </w:r>
      <w:r>
        <w:rPr>
          <w:rFonts w:ascii="Times New Roman" w:cs="Times New Roman" w:eastAsia="Times New Roman" w:hAnsi="Times New Roman"/>
          <w:sz w:val="18"/>
          <w:szCs w:val="18"/>
          <w:color w:val="0A0A0A"/>
        </w:rPr>
        <w:t>We define ARR as the annualized value of customer subscription contracts as of the measurement date, assuming any contract that expires during the</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next 12 months is renewed on its existing terms (including contracts for which we are negotiating a renewal). Our calculation of ARR is not adjusted for the impact of any known or projected future events (such as customer cancellations, upgrades or downgrades, or price increases or decreases) that may cause any such contract not to be renewed on its existing terms. In addition, the amount of actual revenue that we recognize over any 12-month period is likely to differ from ARR at the beginning of that period, sometimes significantly. This may occur due to new bookings, cancellations, upgrades, downgrades or other changes in pending renewals, as well as the effects of professional services revenue and acquisitions or divestitures. As a result, ARR should be viewed independently of, and not as a substitute for or forecast of, revenue and deferred revenue. Our calculation of ARR may differ from similarly titled metrics presented by other companies.</w:t>
      </w:r>
    </w:p>
    <w:p>
      <w:pPr>
        <w:spacing w:after="0" w:line="244"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8"/>
          <w:szCs w:val="18"/>
          <w:i w:val="1"/>
          <w:iCs w:val="1"/>
          <w:color w:val="0A0A0A"/>
        </w:rPr>
        <w:t xml:space="preserve">Enterprise-Wide DAP Customers: </w:t>
      </w:r>
      <w:r>
        <w:rPr>
          <w:rFonts w:ascii="Times New Roman" w:cs="Times New Roman" w:eastAsia="Times New Roman" w:hAnsi="Times New Roman"/>
          <w:sz w:val="18"/>
          <w:szCs w:val="18"/>
          <w:color w:val="0A0A0A"/>
        </w:rPr>
        <w:t>We define Enterprise-Wide DAP Customers as those who have purchased enterprise-wide subscriptions or who have</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department-wide usage of our Digital Adoption Platform across four or more applications.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Special Note Regarding Forward-Looking Statements:</w:t>
      </w:r>
    </w:p>
    <w:p>
      <w:pPr>
        <w:spacing w:after="0" w:line="30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0A0A0A"/>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These forward-looking statements include, but are not limited to, statements regarding our current expectations and views of future events, statements regarding the Company’s future financial results and guidance, and expectations regarding our revenue, operating loss and free cash flow. In some cases, these forward-looking statements can be identified by words or phrases such as “may,” “might,” “will,” “could,” “would,” “should,” “expect,” “plan,” “anticipate,” “intend,” “seek,” “believe,” “estimate,” “predict,” “potential,” “continue,” “contemplate,” “possible” or similar words.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manage our growth effectively, sustain our historical growth rate in the future or achieve or maintain profitability; the impact of the COVID-19 pandemic or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the percentage of our remaining performance obligations that we expect to recognize as revenue; our ability to meet the service-level commitments under our customer agreements and the effects on our business if we are unable to do so; our relationships with, and dependence on, various third-party service providers; our dependence on our management team and other key employees;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 current and future legislation and governmental regulations to which we are subject or may become subject in the future; changes in applicable tax law, the stability of effective tax rates and adverse outcomes resulting from examination of our income or other tax returns; risks related to political, economic and security conditions in Israel; the effects of unfavorable conditions in our industry or the global economy or reductions in information technology spending; factors that may affect the future trading prices of our ordinary shares; and other risk factors set forth in the section titled “Risk Factors” in our Annual Report on form 20-F filed with the Securities and Exchange Commission on March 24, 2022, and other documents filed with or furnished to the SEC. These statements reflect management’s current expectations regarding future events and operating performance and speak only as</w:t>
      </w:r>
    </w:p>
    <w:p>
      <w:pPr>
        <w:sectPr>
          <w:pgSz w:w="11900" w:h="16838" w:orient="portrait"/>
          <w:cols w:equalWidth="0" w:num="1">
            <w:col w:w="11220"/>
          </w:cols>
          <w:pgMar w:left="320" w:top="389" w:right="359" w:bottom="58" w:gutter="0" w:footer="0" w:header="0"/>
        </w:sectPr>
      </w:pPr>
    </w:p>
    <w:bookmarkStart w:id="9" w:name="page10"/>
    <w:bookmarkEnd w:id="9"/>
    <w:p>
      <w:pPr>
        <w:spacing w:after="0" w:line="261" w:lineRule="auto"/>
        <w:rPr>
          <w:sz w:val="20"/>
          <w:szCs w:val="20"/>
          <w:color w:val="auto"/>
        </w:rPr>
      </w:pPr>
      <w:r>
        <w:rPr>
          <w:rFonts w:ascii="Times New Roman" w:cs="Times New Roman" w:eastAsia="Times New Roman" w:hAnsi="Times New Roman"/>
          <w:sz w:val="22"/>
          <w:szCs w:val="22"/>
          <w:color w:val="0A0A0A"/>
        </w:rPr>
        <w:t>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0A0A0A"/>
        </w:rPr>
        <w:t>About WalkMe</w:t>
      </w:r>
    </w:p>
    <w:p>
      <w:pPr>
        <w:spacing w:after="0" w:line="30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0A0A0A"/>
        </w:rPr>
        <w:t>WalkMe’s cloud-based Digital Adoption Platform enables organizations to measure, drive and act to ultimately accelerate their digital transformations and better realize the value of their software investments. Our code-free platform leverages our proprietary technology to provide visibility to an organization’s Chief Information Officer and business leaders, while improving user experience, productivity and efficiency for employees and customers. Alongside walkthroughs and third-party integration capabilities, our platform can be customized to fit an organization’s needs.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Christina Knittel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90B3E"/>
        </w:rPr>
        <w:t>press@walkme.com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John Streppa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90B3E"/>
        </w:rPr>
        <w:t>investors@walkme.com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87"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23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2"/>
                <w:szCs w:val="22"/>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56,681</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46,088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162,270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126,773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17,873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13,272</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50,589</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180,143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140,045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Subscription</w:t>
            </w:r>
            <w:r>
              <w:rPr>
                <w:rFonts w:ascii="Times New Roman" w:cs="Times New Roman" w:eastAsia="Times New Roman" w:hAnsi="Times New Roman"/>
                <w:sz w:val="26"/>
                <w:szCs w:val="26"/>
                <w:color w:val="auto"/>
                <w:vertAlign w:val="superscript"/>
              </w:rPr>
              <w:t>(1)(2)</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17,430</w:t>
            </w:r>
          </w:p>
        </w:tc>
        <w:tc>
          <w:tcPr>
            <w:tcW w:w="0" w:type="dxa"/>
            <w:vAlign w:val="bottom"/>
          </w:tcPr>
          <w:p>
            <w:pPr>
              <w:spacing w:after="0"/>
              <w:rPr>
                <w:sz w:val="1"/>
                <w:szCs w:val="1"/>
                <w:color w:val="auto"/>
              </w:rPr>
            </w:pPr>
          </w:p>
        </w:tc>
      </w:tr>
      <w:tr>
        <w:trPr>
          <w:trHeight w:val="237"/>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Professional services</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5,761</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21,383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41,435</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38,871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138,708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106,365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45,504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33,776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31,885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130,993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86,425</w:t>
            </w:r>
          </w:p>
        </w:tc>
        <w:tc>
          <w:tcPr>
            <w:tcW w:w="0" w:type="dxa"/>
            <w:vAlign w:val="bottom"/>
          </w:tcPr>
          <w:p>
            <w:pPr>
              <w:spacing w:after="0"/>
              <w:rPr>
                <w:sz w:val="1"/>
                <w:szCs w:val="1"/>
                <w:color w:val="auto"/>
              </w:rPr>
            </w:pPr>
          </w:p>
        </w:tc>
      </w:tr>
      <w:tr>
        <w:trPr>
          <w:trHeight w:val="236"/>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6"/>
                <w:szCs w:val="26"/>
                <w:color w:val="auto"/>
                <w:vertAlign w:val="superscript"/>
              </w:rPr>
              <w:t>(1)(2)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13,034</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49,501</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34,895</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76,193</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56,719</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225,998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(26,417)</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(17,848)</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(87,290)</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(48,731)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(25,176)</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(18,032)</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(84,922)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(48,868)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(26,118)</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(18,803)</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(87,022)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(50,841)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 attributable to non-controlling interest</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(3,010)</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4,289</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(12,642)</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19,392</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WalkMe Ltd.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WalkMe Ltd.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85,508,974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83,347,949</w:t>
            </w:r>
          </w:p>
        </w:tc>
        <w:tc>
          <w:tcPr>
            <w:tcW w:w="2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84,739,275</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41,022,927</w:t>
            </w:r>
          </w:p>
        </w:tc>
        <w:tc>
          <w:tcPr>
            <w:tcW w:w="0" w:type="dxa"/>
            <w:vAlign w:val="bottom"/>
          </w:tcPr>
          <w:p>
            <w:pPr>
              <w:spacing w:after="0"/>
              <w:rPr>
                <w:sz w:val="1"/>
                <w:szCs w:val="1"/>
                <w:color w:val="auto"/>
              </w:rPr>
            </w:pPr>
          </w:p>
        </w:tc>
      </w:tr>
      <w:tr>
        <w:trPr>
          <w:trHeight w:val="27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shareholders, basic and diluted</w:t>
            </w:r>
          </w:p>
        </w:tc>
        <w:tc>
          <w:tcPr>
            <w:tcW w:w="200" w:type="dxa"/>
            <w:vAlign w:val="bottom"/>
            <w:shd w:val="clear" w:color="auto" w:fill="CCEEFF"/>
          </w:tcPr>
          <w:p>
            <w:pPr>
              <w:spacing w:after="0"/>
              <w:rPr>
                <w:sz w:val="23"/>
                <w:szCs w:val="23"/>
                <w:color w:val="auto"/>
              </w:rPr>
            </w:pPr>
          </w:p>
        </w:tc>
        <w:tc>
          <w:tcPr>
            <w:tcW w:w="940" w:type="dxa"/>
            <w:vAlign w:val="bottom"/>
            <w:tcBorders>
              <w:right w:val="single" w:sz="8" w:color="CCEEFF"/>
            </w:tcBorders>
            <w:vMerge w:val="continue"/>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75"/>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Includes share-based compensation expense as follows:</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2"/>
                <w:szCs w:val="22"/>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1,756</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5,478</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13,935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15,891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9,583</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13,814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17,301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Includes amortization and impairment of acquired intangibles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5"/>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220" w:type="dxa"/>
            <w:vAlign w:val="bottom"/>
            <w:gridSpan w:val="4"/>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59"/>
        </w:trPr>
        <w:tc>
          <w:tcPr>
            <w:tcW w:w="5980" w:type="dxa"/>
            <w:vAlign w:val="bottom"/>
          </w:tcPr>
          <w:p>
            <w:pPr>
              <w:spacing w:after="0"/>
              <w:rPr>
                <w:sz w:val="22"/>
                <w:szCs w:val="22"/>
                <w:color w:val="auto"/>
              </w:rPr>
            </w:pPr>
          </w:p>
        </w:tc>
        <w:tc>
          <w:tcPr>
            <w:tcW w:w="2220" w:type="dxa"/>
            <w:vAlign w:val="bottom"/>
            <w:gridSpan w:val="4"/>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6"/>
        </w:trPr>
        <w:tc>
          <w:tcPr>
            <w:tcW w:w="59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and impairment</w:t>
            </w:r>
          </w:p>
        </w:tc>
        <w:tc>
          <w:tcPr>
            <w:tcW w:w="84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46"/>
        </w:trPr>
        <w:tc>
          <w:tcPr>
            <w:tcW w:w="5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WalkMe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2"/>
                <w:szCs w:val="22"/>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276,889</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114,272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65,478</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35,023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37,754</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23,809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20,405</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376,179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408,480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36,121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35,969</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12,840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10,885</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3,296</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435,641</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459,617</w:t>
            </w:r>
          </w:p>
        </w:tc>
      </w:tr>
      <w:tr>
        <w:trPr>
          <w:trHeight w:val="210"/>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6,592</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45,276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49,310</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141,926</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168,227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150,106</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10,564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23,901</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 and additional paid-in capital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610,193</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(411,693)</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(325,038)</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256,850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285,610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shareholders’ equity</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435,641</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459,617</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WalkMe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2"/>
                <w:szCs w:val="22"/>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(26,118)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(50,841)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38,108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17,301</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and liabilities,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short-term and long-term deposits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trade receivables,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(6,478)</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prepaid expenses and other current assets and other non-current</w:t>
            </w:r>
          </w:p>
        </w:tc>
        <w:tc>
          <w:tcPr>
            <w:tcW w:w="240" w:type="dxa"/>
            <w:vAlign w:val="bottom"/>
          </w:tcPr>
          <w:p>
            <w:pPr>
              <w:spacing w:after="0"/>
              <w:rPr>
                <w:sz w:val="18"/>
                <w:szCs w:val="18"/>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(2,974)</w:t>
            </w:r>
          </w:p>
        </w:tc>
        <w:tc>
          <w:tcPr>
            <w:tcW w:w="240" w:type="dxa"/>
            <w:vAlign w:val="bottom"/>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(709)</w:t>
            </w:r>
          </w:p>
        </w:tc>
        <w:tc>
          <w:tcPr>
            <w:tcW w:w="240" w:type="dxa"/>
            <w:vAlign w:val="bottom"/>
          </w:tcPr>
          <w:p>
            <w:pPr>
              <w:spacing w:after="0"/>
              <w:rPr>
                <w:sz w:val="18"/>
                <w:szCs w:val="18"/>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(4,224)</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deferred contract acquisition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(5,323)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(16,554)</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2,161</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accrued expenses and other current liabilities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(3,046)</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8,113</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deferred revenues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(1,925)</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17,873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27,842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(9,697)</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(11,254)</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(38,009)</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(20,321)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short-term deposits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(97,000)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(51,003)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(140,500)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(66,003)</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deposits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35,000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92,257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37,287</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restricted deposits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restricted deposits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(63,514)</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(50,289)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(53,685)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(31,454)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discounts and</w:t>
            </w:r>
          </w:p>
        </w:tc>
        <w:tc>
          <w:tcPr>
            <w:tcW w:w="2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266,289</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other issuance costs</w:t>
            </w: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employees share purchase plan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preferred shares,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278,534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cash equivalents, and</w:t>
            </w:r>
          </w:p>
        </w:tc>
        <w:tc>
          <w:tcPr>
            <w:tcW w:w="24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(71,254)</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(61,152)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(82,031)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226,215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350,262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277,251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62,895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195,220</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289,110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289,110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WalkMe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from GAAP to Non-GAAP Results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 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59"/>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6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2"/>
                <w:szCs w:val="22"/>
                <w:color w:val="auto"/>
              </w:rPr>
            </w:pPr>
          </w:p>
        </w:tc>
        <w:tc>
          <w:tcPr>
            <w:tcW w:w="25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gross profit and gross margin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49,776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38,871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138,708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106,365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2,886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of acquired intangibles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50,919</w:t>
            </w:r>
          </w:p>
        </w:tc>
        <w:tc>
          <w:tcPr>
            <w:tcW w:w="320" w:type="dxa"/>
            <w:vAlign w:val="bottom"/>
            <w:tcBorders>
              <w:left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39,479</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142,014</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107,485</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operating loss and operating margin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operating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(26,417)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(87,290)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(48,731)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13,814</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7,684</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38,108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17,301</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and impairment of acquired intangibles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320" w:type="dxa"/>
            <w:vAlign w:val="bottom"/>
            <w:tcBorders>
              <w:left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(47,783)</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(31,307)</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operating margin</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 attributable to WalkMe Ltd.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(23,090)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(74,013)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(69,332)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13,814</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7,684</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38,108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17,301</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and impairment of acquired intangibles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1,399</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Adjustment attributable to non-controlling interest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(3,010)</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4,289</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(12,642)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19,392</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 attributable to WalkMe Ltd.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(12,218)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(47,148)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(32,516)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 per share attributable to WalkMe Ltd. 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non-GAAP per share calculations: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weighted-average shares used to compute net loss per share, basic</w:t>
            </w:r>
          </w:p>
        </w:tc>
        <w:tc>
          <w:tcPr>
            <w:tcW w:w="200" w:type="dxa"/>
            <w:vAlign w:val="bottom"/>
          </w:tcPr>
          <w:p>
            <w:pPr>
              <w:spacing w:after="0"/>
              <w:rPr>
                <w:sz w:val="18"/>
                <w:szCs w:val="18"/>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85,508,974</w:t>
            </w:r>
          </w:p>
        </w:tc>
        <w:tc>
          <w:tcPr>
            <w:tcW w:w="180" w:type="dxa"/>
            <w:vAlign w:val="bottom"/>
          </w:tcPr>
          <w:p>
            <w:pPr>
              <w:spacing w:after="0"/>
              <w:rPr>
                <w:sz w:val="18"/>
                <w:szCs w:val="18"/>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83,347,949</w:t>
            </w:r>
          </w:p>
        </w:tc>
        <w:tc>
          <w:tcPr>
            <w:tcW w:w="200" w:type="dxa"/>
            <w:vAlign w:val="bottom"/>
          </w:tcPr>
          <w:p>
            <w:pPr>
              <w:spacing w:after="0"/>
              <w:rPr>
                <w:sz w:val="18"/>
                <w:szCs w:val="18"/>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84,739,275</w:t>
            </w:r>
          </w:p>
        </w:tc>
        <w:tc>
          <w:tcPr>
            <w:tcW w:w="20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41,022,927</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weighted average shares giving effect to exchange of convertible</w:t>
            </w: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36,202,004</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at the beginning of the period</w:t>
            </w: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weighted-average shares used to compute net loss per share,</w:t>
            </w:r>
          </w:p>
        </w:tc>
        <w:tc>
          <w:tcPr>
            <w:tcW w:w="2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85,508,974</w:t>
            </w:r>
          </w:p>
        </w:tc>
        <w:tc>
          <w:tcPr>
            <w:tcW w:w="320" w:type="dxa"/>
            <w:vAlign w:val="bottom"/>
            <w:tcBorders>
              <w:left w:val="single" w:sz="8" w:color="CCEEFF"/>
            </w:tcBorders>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83,347,949</w:t>
            </w:r>
          </w:p>
        </w:tc>
        <w:tc>
          <w:tcPr>
            <w:tcW w:w="20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84,739,275</w:t>
            </w:r>
          </w:p>
        </w:tc>
        <w:tc>
          <w:tcPr>
            <w:tcW w:w="20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77,224,931</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3"/>
                <w:szCs w:val="23"/>
                <w:color w:val="auto"/>
              </w:rPr>
            </w:pPr>
          </w:p>
        </w:tc>
        <w:tc>
          <w:tcPr>
            <w:tcW w:w="920" w:type="dxa"/>
            <w:vAlign w:val="bottom"/>
            <w:vMerge w:val="continue"/>
            <w:shd w:val="clear" w:color="auto" w:fill="CCEEFF"/>
          </w:tcPr>
          <w:p>
            <w:pPr>
              <w:spacing w:after="0"/>
              <w:rPr>
                <w:sz w:val="23"/>
                <w:szCs w:val="23"/>
                <w:color w:val="auto"/>
              </w:rPr>
            </w:pPr>
          </w:p>
        </w:tc>
        <w:tc>
          <w:tcPr>
            <w:tcW w:w="320" w:type="dxa"/>
            <w:vAlign w:val="bottom"/>
            <w:tcBorders>
              <w:left w:val="single" w:sz="8" w:color="CCEEFF"/>
            </w:tcBorders>
            <w:vMerge w:val="continue"/>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46"/>
        </w:trPr>
        <w:tc>
          <w:tcPr>
            <w:tcW w:w="56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WalkMe Ltd.</w:t>
      </w:r>
    </w:p>
    <w:p>
      <w:pPr>
        <w:spacing w:after="0" w:line="32" w:lineRule="exact"/>
        <w:rPr>
          <w:sz w:val="20"/>
          <w:szCs w:val="20"/>
          <w:color w:val="auto"/>
        </w:rPr>
      </w:pPr>
    </w:p>
    <w:p>
      <w:pPr>
        <w:ind w:right="4440"/>
        <w:spacing w:after="0" w:line="267" w:lineRule="auto"/>
        <w:rPr>
          <w:sz w:val="20"/>
          <w:szCs w:val="20"/>
          <w:color w:val="auto"/>
        </w:rPr>
      </w:pPr>
      <w:r>
        <w:rPr>
          <w:rFonts w:ascii="Times New Roman" w:cs="Times New Roman" w:eastAsia="Times New Roman" w:hAnsi="Times New Roman"/>
          <w:sz w:val="20"/>
          <w:szCs w:val="20"/>
          <w:b w:val="1"/>
          <w:bCs w:val="1"/>
          <w:color w:val="auto"/>
        </w:rPr>
        <w:t>Reconciliation of GAAP Cash Flow from Operating Activities to Free Cash Flow (in thousands;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2"/>
                <w:szCs w:val="22"/>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w:t>
            </w: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(1,375)</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(2,723)</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(11,211)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(43,746)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(24,419)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5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2022-11-15T06:18:47Z</dcterms:created>
  <dcterms:modified xsi:type="dcterms:W3CDTF">2022-11-15T06:18:47Z</dcterms:modified>
</cp:coreProperties>
</file>