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7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For the month of May 2023</w:t>
      </w:r>
    </w:p>
    <w:p>
      <w:pPr>
        <w:spacing w:after="0" w:line="287"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Commission file number 001-40490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WalkMe Ltd.</w:t>
      </w:r>
    </w:p>
    <w:p>
      <w:pPr>
        <w:spacing w:after="0" w:line="41" w:lineRule="exact"/>
        <w:rPr>
          <w:sz w:val="24"/>
          <w:szCs w:val="24"/>
          <w:color w:val="auto"/>
        </w:rPr>
      </w:pPr>
    </w:p>
    <w:p>
      <w:pPr>
        <w:ind w:left="3480"/>
        <w:spacing w:after="0"/>
        <w:rPr>
          <w:sz w:val="20"/>
          <w:szCs w:val="20"/>
          <w:color w:val="auto"/>
        </w:rPr>
      </w:pPr>
      <w:r>
        <w:rPr>
          <w:rFonts w:ascii="Arial" w:cs="Arial" w:eastAsia="Arial" w:hAnsi="Arial"/>
          <w:sz w:val="22"/>
          <w:szCs w:val="22"/>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1 Walter Moses St.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Tel Aviv 6789903, Israel</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+972 (3) 763-0333</w:t>
      </w:r>
    </w:p>
    <w:p>
      <w:pPr>
        <w:spacing w:after="0" w:line="17"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Form 20-F or Form 40-F.</w:t>
      </w:r>
    </w:p>
    <w:p>
      <w:pPr>
        <w:spacing w:after="0" w:line="268" w:lineRule="exact"/>
        <w:rPr>
          <w:sz w:val="24"/>
          <w:szCs w:val="24"/>
          <w:color w:val="auto"/>
        </w:rPr>
      </w:pPr>
    </w:p>
    <w:p>
      <w:pPr>
        <w:ind w:left="4340"/>
        <w:spacing w:after="0" w:line="253" w:lineRule="exact"/>
        <w:tabs>
          <w:tab w:leader="none" w:pos="57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On May 17, 2023, WalkMe Ltd. (the “Company”) issued a press release titled “WalkMe Ltd. Announces First Quarter 2023 Financial Results.” A copy of the press release is furnished as Exhibit 99.1 herewith.</w:t>
      </w:r>
    </w:p>
    <w:p>
      <w:pPr>
        <w:spacing w:after="0" w:line="228" w:lineRule="exact"/>
        <w:rPr>
          <w:sz w:val="20"/>
          <w:szCs w:val="20"/>
          <w:color w:val="auto"/>
        </w:rPr>
      </w:pPr>
    </w:p>
    <w:p>
      <w:pPr>
        <w:ind w:right="460"/>
        <w:spacing w:after="0" w:line="262" w:lineRule="auto"/>
        <w:rPr>
          <w:sz w:val="20"/>
          <w:szCs w:val="20"/>
          <w:color w:val="auto"/>
        </w:rPr>
      </w:pPr>
      <w:r>
        <w:rPr>
          <w:rFonts w:ascii="Arial" w:cs="Arial" w:eastAsia="Arial" w:hAnsi="Arial"/>
          <w:sz w:val="22"/>
          <w:szCs w:val="22"/>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The U.S. GAAP financial information contained in the (i) condensed consolidated statements of operations, (ii) condensed consolidated balance sheets and (iii) condensed consolidated statements of cash flow included in the press release attached as Exhibit 99.1 to this Report on Form 6-K are hereby incorporated by reference into the Company’s Registration Statement on Form S-8 (File Nos. 333-257354, 333-263823 and 333-270537).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furnished as part of this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338"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520" w:type="dxa"/>
            <w:vAlign w:val="bottom"/>
            <w:tcBorders>
              <w:top w:val="single" w:sz="8" w:color="auto"/>
              <w:right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0000EE"/>
              </w:rPr>
              <w:t>Press Release dated May 17, 2023 titled “WalkMe Ltd. Announces First Quarter 2023 Financial Results”</w:t>
            </w:r>
          </w:p>
        </w:tc>
      </w:tr>
      <w:tr>
        <w:trPr>
          <w:trHeight w:val="98"/>
        </w:trPr>
        <w:tc>
          <w:tcPr>
            <w:tcW w:w="80" w:type="dxa"/>
            <w:vAlign w:val="bottom"/>
            <w:tcBorders>
              <w:bottom w:val="single" w:sz="8" w:color="auto"/>
            </w:tcBorders>
          </w:tcPr>
          <w:p>
            <w:pPr>
              <w:spacing w:after="0"/>
              <w:rPr>
                <w:sz w:val="8"/>
                <w:szCs w:val="8"/>
                <w:color w:val="auto"/>
              </w:rPr>
            </w:pPr>
          </w:p>
        </w:tc>
        <w:tc>
          <w:tcPr>
            <w:tcW w:w="320" w:type="dxa"/>
            <w:vAlign w:val="bottom"/>
            <w:tcBorders>
              <w:top w:val="single" w:sz="8" w:color="0000EE"/>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560" w:type="dxa"/>
            <w:vAlign w:val="bottom"/>
            <w:tcBorders>
              <w:top w:val="single" w:sz="8" w:color="0000EE"/>
              <w:bottom w:val="single" w:sz="8" w:color="auto"/>
            </w:tcBorders>
          </w:tcPr>
          <w:p>
            <w:pPr>
              <w:spacing w:after="0"/>
              <w:rPr>
                <w:sz w:val="8"/>
                <w:szCs w:val="8"/>
                <w:color w:val="auto"/>
              </w:rPr>
            </w:pPr>
          </w:p>
        </w:tc>
        <w:tc>
          <w:tcPr>
            <w:tcW w:w="2700" w:type="dxa"/>
            <w:vAlign w:val="bottom"/>
            <w:tcBorders>
              <w:bottom w:val="single" w:sz="8" w:color="auto"/>
              <w:right w:val="single" w:sz="8" w:color="auto"/>
            </w:tcBorders>
          </w:tcPr>
          <w:p>
            <w:pPr>
              <w:spacing w:after="0"/>
              <w:rPr>
                <w:sz w:val="8"/>
                <w:szCs w:val="8"/>
                <w:color w:val="auto"/>
              </w:rPr>
            </w:pPr>
          </w:p>
        </w:tc>
      </w:tr>
      <w:tr>
        <w:trPr>
          <w:trHeight w:val="449"/>
        </w:trPr>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WalkMe Ltd.</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w:t>
      </w:r>
      <w:r>
        <w:rPr>
          <w:rFonts w:ascii="Arial" w:cs="Arial" w:eastAsia="Arial" w:hAnsi="Arial"/>
          <w:sz w:val="18"/>
          <w:szCs w:val="18"/>
          <w:i w:val="1"/>
          <w:iCs w:val="1"/>
          <w:color w:val="auto"/>
        </w:rPr>
        <w:t>/</w:t>
      </w:r>
      <w:r>
        <w:rPr>
          <w:rFonts w:ascii="Arial" w:cs="Arial" w:eastAsia="Arial" w:hAnsi="Arial"/>
          <w:sz w:val="18"/>
          <w:szCs w:val="18"/>
          <w:color w:val="auto"/>
        </w:rPr>
        <w:t xml:space="preserve"> Hagit Ynon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9291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1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Hagit Ynon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Date: May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u w:val="single" w:color="auto"/>
          <w:color w:val="0A0A0A"/>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A0A0A"/>
        </w:rPr>
        <w:t>WalkMe Ltd. Announces First Quarter 2023 Financial Results</w:t>
      </w:r>
    </w:p>
    <w:p>
      <w:pPr>
        <w:spacing w:after="0" w:line="2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0A0A0A"/>
        </w:rPr>
      </w:pPr>
      <w:r>
        <w:rPr>
          <w:rFonts w:ascii="Arial" w:cs="Arial" w:eastAsia="Arial" w:hAnsi="Arial"/>
          <w:sz w:val="18"/>
          <w:szCs w:val="18"/>
          <w:i w:val="1"/>
          <w:iCs w:val="1"/>
          <w:color w:val="0A0A0A"/>
        </w:rPr>
        <w:t>Subscription Revenue grew 18% year over year.</w:t>
      </w:r>
    </w:p>
    <w:p>
      <w:pPr>
        <w:spacing w:after="0" w:line="23" w:lineRule="exact"/>
        <w:rPr>
          <w:rFonts w:ascii="Arial" w:cs="Arial" w:eastAsia="Arial" w:hAnsi="Arial"/>
          <w:sz w:val="18"/>
          <w:szCs w:val="18"/>
          <w:color w:val="0A0A0A"/>
        </w:rPr>
      </w:pPr>
    </w:p>
    <w:p>
      <w:pPr>
        <w:ind w:left="660" w:hanging="328"/>
        <w:spacing w:after="0"/>
        <w:tabs>
          <w:tab w:leader="none" w:pos="660" w:val="left"/>
        </w:tabs>
        <w:numPr>
          <w:ilvl w:val="0"/>
          <w:numId w:val="1"/>
        </w:numPr>
        <w:rPr>
          <w:rFonts w:ascii="Arial" w:cs="Arial" w:eastAsia="Arial" w:hAnsi="Arial"/>
          <w:sz w:val="16"/>
          <w:szCs w:val="16"/>
          <w:color w:val="0A0A0A"/>
        </w:rPr>
      </w:pPr>
      <w:r>
        <w:rPr>
          <w:rFonts w:ascii="Arial" w:cs="Arial" w:eastAsia="Arial" w:hAnsi="Arial"/>
          <w:sz w:val="16"/>
          <w:szCs w:val="16"/>
          <w:i w:val="1"/>
          <w:iCs w:val="1"/>
          <w:color w:val="0A0A0A"/>
        </w:rPr>
        <w:t>Continued improvement of GAAP Operating loss margin to 39% vs 52% last year and Non-GAAP Operating loss margin of 13% vs 33% last year.</w:t>
      </w:r>
    </w:p>
    <w:p>
      <w:pPr>
        <w:spacing w:after="0" w:line="32" w:lineRule="exact"/>
        <w:rPr>
          <w:rFonts w:ascii="Arial" w:cs="Arial" w:eastAsia="Arial" w:hAnsi="Arial"/>
          <w:sz w:val="16"/>
          <w:szCs w:val="16"/>
          <w:color w:val="0A0A0A"/>
        </w:rPr>
      </w:pPr>
    </w:p>
    <w:p>
      <w:pPr>
        <w:ind w:left="660" w:right="280" w:hanging="328"/>
        <w:spacing w:after="0" w:line="250" w:lineRule="auto"/>
        <w:tabs>
          <w:tab w:leader="none" w:pos="660" w:val="left"/>
        </w:tabs>
        <w:numPr>
          <w:ilvl w:val="0"/>
          <w:numId w:val="1"/>
        </w:numPr>
        <w:rPr>
          <w:rFonts w:ascii="Arial" w:cs="Arial" w:eastAsia="Arial" w:hAnsi="Arial"/>
          <w:sz w:val="18"/>
          <w:szCs w:val="18"/>
          <w:color w:val="0A0A0A"/>
        </w:rPr>
      </w:pPr>
      <w:r>
        <w:rPr>
          <w:rFonts w:ascii="Arial" w:cs="Arial" w:eastAsia="Arial" w:hAnsi="Arial"/>
          <w:sz w:val="18"/>
          <w:szCs w:val="18"/>
          <w:i w:val="1"/>
          <w:iCs w:val="1"/>
          <w:color w:val="0A0A0A"/>
        </w:rPr>
        <w:t>Improved Net Cash used in operations to $7.5M compared to $18.3M last year and improved Free Cash Flow to negative $8.3M from negative $20.3M last year.</w:t>
      </w:r>
    </w:p>
    <w:p>
      <w:pPr>
        <w:ind w:left="660" w:hanging="328"/>
        <w:spacing w:after="0"/>
        <w:tabs>
          <w:tab w:leader="none" w:pos="660" w:val="left"/>
        </w:tabs>
        <w:numPr>
          <w:ilvl w:val="0"/>
          <w:numId w:val="1"/>
        </w:numPr>
        <w:rPr>
          <w:rFonts w:ascii="Arial" w:cs="Arial" w:eastAsia="Arial" w:hAnsi="Arial"/>
          <w:sz w:val="18"/>
          <w:szCs w:val="18"/>
          <w:color w:val="0A0A0A"/>
        </w:rPr>
      </w:pPr>
      <w:r>
        <w:rPr>
          <w:rFonts w:ascii="Arial" w:cs="Arial" w:eastAsia="Arial" w:hAnsi="Arial"/>
          <w:sz w:val="18"/>
          <w:szCs w:val="18"/>
          <w:i w:val="1"/>
          <w:iCs w:val="1"/>
          <w:color w:val="0A0A0A"/>
        </w:rPr>
        <w:t>WalkMe achieved FedRAMP ready status becoming the first digital adoption platform provider listed on the FedRAMP Marketplace.</w:t>
      </w:r>
    </w:p>
    <w:p>
      <w:pPr>
        <w:spacing w:after="0" w:line="261" w:lineRule="exact"/>
        <w:rPr>
          <w:sz w:val="20"/>
          <w:szCs w:val="20"/>
          <w:color w:val="auto"/>
        </w:rPr>
      </w:pPr>
    </w:p>
    <w:p>
      <w:pPr>
        <w:ind w:right="500"/>
        <w:spacing w:after="0" w:line="297" w:lineRule="auto"/>
        <w:rPr>
          <w:sz w:val="20"/>
          <w:szCs w:val="20"/>
          <w:color w:val="auto"/>
        </w:rPr>
      </w:pPr>
      <w:r>
        <w:rPr>
          <w:rFonts w:ascii="Arial" w:cs="Arial" w:eastAsia="Arial" w:hAnsi="Arial"/>
          <w:sz w:val="18"/>
          <w:szCs w:val="18"/>
          <w:b w:val="1"/>
          <w:bCs w:val="1"/>
          <w:color w:val="0A0A0A"/>
        </w:rPr>
        <w:t xml:space="preserve">SAN FRANCISCO, May 17, 2023 </w:t>
      </w:r>
      <w:r>
        <w:rPr>
          <w:rFonts w:ascii="Arial" w:cs="Arial" w:eastAsia="Arial" w:hAnsi="Arial"/>
          <w:sz w:val="18"/>
          <w:szCs w:val="18"/>
          <w:color w:val="0A0A0A"/>
        </w:rPr>
        <w:t>-- WalkMe Ltd. (NASDAQ:WKME), a leading provider of digital adoption solutions, today announced financial</w:t>
      </w:r>
      <w:r>
        <w:rPr>
          <w:rFonts w:ascii="Arial" w:cs="Arial" w:eastAsia="Arial" w:hAnsi="Arial"/>
          <w:sz w:val="18"/>
          <w:szCs w:val="18"/>
          <w:b w:val="1"/>
          <w:bCs w:val="1"/>
          <w:color w:val="0A0A0A"/>
        </w:rPr>
        <w:t xml:space="preserve"> </w:t>
      </w:r>
      <w:r>
        <w:rPr>
          <w:rFonts w:ascii="Arial" w:cs="Arial" w:eastAsia="Arial" w:hAnsi="Arial"/>
          <w:sz w:val="18"/>
          <w:szCs w:val="18"/>
          <w:color w:val="0A0A0A"/>
        </w:rPr>
        <w:t>results for its first quarter ended March 31, 2023.</w:t>
      </w:r>
    </w:p>
    <w:p>
      <w:pPr>
        <w:spacing w:after="0" w:line="214" w:lineRule="exact"/>
        <w:rPr>
          <w:sz w:val="20"/>
          <w:szCs w:val="20"/>
          <w:color w:val="auto"/>
        </w:rPr>
      </w:pPr>
    </w:p>
    <w:p>
      <w:pPr>
        <w:spacing w:after="0" w:line="311" w:lineRule="auto"/>
        <w:rPr>
          <w:sz w:val="20"/>
          <w:szCs w:val="20"/>
          <w:color w:val="auto"/>
        </w:rPr>
      </w:pPr>
      <w:r>
        <w:rPr>
          <w:rFonts w:ascii="Arial" w:cs="Arial" w:eastAsia="Arial" w:hAnsi="Arial"/>
          <w:sz w:val="19"/>
          <w:szCs w:val="19"/>
          <w:color w:val="222222"/>
        </w:rPr>
        <w:t>"WalkMe delivered solid revenue growth with better than expected operating margin while also pushing innovation and a successful launch of WalkMe Discovery.” said Dan Adika, CEO of WalkMe. “Leaps in AI technology make me more excited than ever about delivering on the full promise of our Digital Adoption Platform for our customers. Our database of billions of human-to-computer interactions, paired with our proprietary DeepUI technology and the world’s leading text-to-action engine across any enterprise app means WalkMe will be a mission-critical player in how people interact with software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First Quarter 2023 Financial Highlights:</w:t>
      </w:r>
    </w:p>
    <w:p>
      <w:pPr>
        <w:spacing w:after="0" w:line="293" w:lineRule="exact"/>
        <w:rPr>
          <w:sz w:val="20"/>
          <w:szCs w:val="20"/>
          <w:color w:val="auto"/>
        </w:rPr>
      </w:pPr>
    </w:p>
    <w:p>
      <w:pPr>
        <w:ind w:left="660" w:right="20" w:hanging="328"/>
        <w:spacing w:after="0" w:line="261" w:lineRule="auto"/>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 xml:space="preserve">Revenue: </w:t>
      </w:r>
      <w:r>
        <w:rPr>
          <w:rFonts w:ascii="Arial" w:cs="Arial" w:eastAsia="Arial" w:hAnsi="Arial"/>
          <w:sz w:val="18"/>
          <w:szCs w:val="18"/>
          <w:color w:val="0A0A0A"/>
        </w:rPr>
        <w:t>Total revenue was $65.9 million in the first quarter of 2023, an increase of 16% year-over-year. Subscription revenue was $60.6 million,</w:t>
      </w:r>
      <w:r>
        <w:rPr>
          <w:rFonts w:ascii="Arial" w:cs="Arial" w:eastAsia="Arial" w:hAnsi="Arial"/>
          <w:sz w:val="18"/>
          <w:szCs w:val="18"/>
          <w:b w:val="1"/>
          <w:bCs w:val="1"/>
          <w:color w:val="0A0A0A"/>
        </w:rPr>
        <w:t xml:space="preserve"> </w:t>
      </w:r>
      <w:r>
        <w:rPr>
          <w:rFonts w:ascii="Arial" w:cs="Arial" w:eastAsia="Arial" w:hAnsi="Arial"/>
          <w:sz w:val="18"/>
          <w:szCs w:val="18"/>
          <w:color w:val="0A0A0A"/>
        </w:rPr>
        <w:t>an increase of 18% year-over-year.</w:t>
      </w:r>
    </w:p>
    <w:p>
      <w:pPr>
        <w:ind w:left="660" w:hanging="328"/>
        <w:spacing w:after="0"/>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GAAP Gross Margin</w:t>
      </w:r>
      <w:r>
        <w:rPr>
          <w:rFonts w:ascii="Arial" w:cs="Arial" w:eastAsia="Arial" w:hAnsi="Arial"/>
          <w:sz w:val="18"/>
          <w:szCs w:val="18"/>
          <w:color w:val="0A0A0A"/>
        </w:rPr>
        <w:t>: was 81% in the first quarter of 2023 compared to 76% in the first quarter of 2022.</w:t>
      </w:r>
    </w:p>
    <w:p>
      <w:pPr>
        <w:spacing w:after="0" w:line="9" w:lineRule="exact"/>
        <w:rPr>
          <w:rFonts w:ascii="Arial" w:cs="Arial" w:eastAsia="Arial" w:hAnsi="Arial"/>
          <w:sz w:val="18"/>
          <w:szCs w:val="18"/>
          <w:color w:val="0A0A0A"/>
        </w:rPr>
      </w:pPr>
    </w:p>
    <w:p>
      <w:pPr>
        <w:ind w:left="660" w:right="560" w:hanging="328"/>
        <w:spacing w:after="0" w:line="250" w:lineRule="auto"/>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GAAP Operating Loss</w:t>
      </w:r>
      <w:r>
        <w:rPr>
          <w:rFonts w:ascii="Arial" w:cs="Arial" w:eastAsia="Arial" w:hAnsi="Arial"/>
          <w:sz w:val="18"/>
          <w:szCs w:val="18"/>
          <w:color w:val="0A0A0A"/>
        </w:rPr>
        <w:t>: was $25.8 million in the first quarter of 2023, or 39% of total revenue, compared to $29.6 million, or 52% of total</w:t>
      </w:r>
      <w:r>
        <w:rPr>
          <w:rFonts w:ascii="Arial" w:cs="Arial" w:eastAsia="Arial" w:hAnsi="Arial"/>
          <w:sz w:val="18"/>
          <w:szCs w:val="18"/>
          <w:b w:val="1"/>
          <w:bCs w:val="1"/>
          <w:color w:val="0A0A0A"/>
        </w:rPr>
        <w:t xml:space="preserve"> </w:t>
      </w:r>
      <w:r>
        <w:rPr>
          <w:rFonts w:ascii="Arial" w:cs="Arial" w:eastAsia="Arial" w:hAnsi="Arial"/>
          <w:sz w:val="18"/>
          <w:szCs w:val="18"/>
          <w:color w:val="0A0A0A"/>
        </w:rPr>
        <w:t>revenue, in the first quarter of 2022.</w:t>
      </w:r>
    </w:p>
    <w:p>
      <w:pPr>
        <w:ind w:left="660" w:right="180" w:hanging="328"/>
        <w:spacing w:after="0" w:line="250" w:lineRule="auto"/>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 xml:space="preserve">Non-GAAP Operating Loss*: </w:t>
      </w:r>
      <w:r>
        <w:rPr>
          <w:rFonts w:ascii="Arial" w:cs="Arial" w:eastAsia="Arial" w:hAnsi="Arial"/>
          <w:sz w:val="18"/>
          <w:szCs w:val="18"/>
          <w:color w:val="0A0A0A"/>
        </w:rPr>
        <w:t>was $8.8 million in the first quarter of 2023, or 13% of total revenue, compared to $18.6 million, or 33% of total</w:t>
      </w:r>
      <w:r>
        <w:rPr>
          <w:rFonts w:ascii="Arial" w:cs="Arial" w:eastAsia="Arial" w:hAnsi="Arial"/>
          <w:sz w:val="18"/>
          <w:szCs w:val="18"/>
          <w:b w:val="1"/>
          <w:bCs w:val="1"/>
          <w:color w:val="0A0A0A"/>
        </w:rPr>
        <w:t xml:space="preserve"> </w:t>
      </w:r>
      <w:r>
        <w:rPr>
          <w:rFonts w:ascii="Arial" w:cs="Arial" w:eastAsia="Arial" w:hAnsi="Arial"/>
          <w:sz w:val="18"/>
          <w:szCs w:val="18"/>
          <w:color w:val="0A0A0A"/>
        </w:rPr>
        <w:t>revenue, in the first quarter of 2022.</w:t>
      </w:r>
    </w:p>
    <w:p>
      <w:pPr>
        <w:ind w:left="660" w:right="160" w:hanging="328"/>
        <w:spacing w:after="0" w:line="250" w:lineRule="auto"/>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Cash Flow</w:t>
      </w:r>
      <w:r>
        <w:rPr>
          <w:rFonts w:ascii="Arial" w:cs="Arial" w:eastAsia="Arial" w:hAnsi="Arial"/>
          <w:sz w:val="18"/>
          <w:szCs w:val="18"/>
          <w:color w:val="0A0A0A"/>
        </w:rPr>
        <w:t>: Net cash used in operations in the first quarter of 2023 was $7.5 million, or 11% of total revenue, compared to $18.3 million used in</w:t>
      </w:r>
      <w:r>
        <w:rPr>
          <w:rFonts w:ascii="Arial" w:cs="Arial" w:eastAsia="Arial" w:hAnsi="Arial"/>
          <w:sz w:val="18"/>
          <w:szCs w:val="18"/>
          <w:b w:val="1"/>
          <w:bCs w:val="1"/>
          <w:color w:val="0A0A0A"/>
        </w:rPr>
        <w:t xml:space="preserve"> </w:t>
      </w:r>
      <w:r>
        <w:rPr>
          <w:rFonts w:ascii="Arial" w:cs="Arial" w:eastAsia="Arial" w:hAnsi="Arial"/>
          <w:sz w:val="18"/>
          <w:szCs w:val="18"/>
          <w:color w:val="0A0A0A"/>
        </w:rPr>
        <w:t>operations or 32% of total revenue, in the first quarter of 2022.</w:t>
      </w:r>
    </w:p>
    <w:p>
      <w:pPr>
        <w:ind w:left="660" w:right="140" w:hanging="328"/>
        <w:spacing w:after="0" w:line="250" w:lineRule="auto"/>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Free Cash Flow</w:t>
      </w:r>
      <w:r>
        <w:rPr>
          <w:rFonts w:ascii="Arial" w:cs="Arial" w:eastAsia="Arial" w:hAnsi="Arial"/>
          <w:sz w:val="18"/>
          <w:szCs w:val="18"/>
          <w:color w:val="0A0A0A"/>
        </w:rPr>
        <w:t>*: was negative $8.3 million in the first quarter of 2023, or 13% of total revenue, compared to negative $20.3 million, or 36% of</w:t>
      </w:r>
      <w:r>
        <w:rPr>
          <w:rFonts w:ascii="Arial" w:cs="Arial" w:eastAsia="Arial" w:hAnsi="Arial"/>
          <w:sz w:val="18"/>
          <w:szCs w:val="18"/>
          <w:b w:val="1"/>
          <w:bCs w:val="1"/>
          <w:color w:val="0A0A0A"/>
        </w:rPr>
        <w:t xml:space="preserve"> </w:t>
      </w:r>
      <w:r>
        <w:rPr>
          <w:rFonts w:ascii="Arial" w:cs="Arial" w:eastAsia="Arial" w:hAnsi="Arial"/>
          <w:sz w:val="18"/>
          <w:szCs w:val="18"/>
          <w:color w:val="0A0A0A"/>
        </w:rPr>
        <w:t>total revenue, in the first quarter of 2022.</w:t>
      </w:r>
    </w:p>
    <w:p>
      <w:pPr>
        <w:ind w:left="660" w:hanging="328"/>
        <w:spacing w:after="0"/>
        <w:tabs>
          <w:tab w:leader="none" w:pos="660" w:val="left"/>
        </w:tabs>
        <w:numPr>
          <w:ilvl w:val="0"/>
          <w:numId w:val="2"/>
        </w:numPr>
        <w:rPr>
          <w:rFonts w:ascii="Arial" w:cs="Arial" w:eastAsia="Arial" w:hAnsi="Arial"/>
          <w:sz w:val="18"/>
          <w:szCs w:val="18"/>
          <w:color w:val="0A0A0A"/>
        </w:rPr>
      </w:pPr>
      <w:r>
        <w:rPr>
          <w:rFonts w:ascii="Arial" w:cs="Arial" w:eastAsia="Arial" w:hAnsi="Arial"/>
          <w:sz w:val="18"/>
          <w:szCs w:val="18"/>
          <w:b w:val="1"/>
          <w:bCs w:val="1"/>
          <w:color w:val="0A0A0A"/>
        </w:rPr>
        <w:t xml:space="preserve">Cash, Cash Equivalents, Short-term Deposits and Marketable Securities: </w:t>
      </w:r>
      <w:r>
        <w:rPr>
          <w:rFonts w:ascii="Arial" w:cs="Arial" w:eastAsia="Arial" w:hAnsi="Arial"/>
          <w:sz w:val="18"/>
          <w:szCs w:val="18"/>
          <w:color w:val="0A0A0A"/>
        </w:rPr>
        <w:t>were $299.6 million as of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spacing w:after="0" w:line="261" w:lineRule="auto"/>
        <w:rPr>
          <w:sz w:val="20"/>
          <w:szCs w:val="20"/>
          <w:color w:val="auto"/>
        </w:rPr>
      </w:pPr>
      <w:r>
        <w:rPr>
          <w:rFonts w:ascii="Arial" w:cs="Arial" w:eastAsia="Arial" w:hAnsi="Arial"/>
          <w:sz w:val="22"/>
          <w:szCs w:val="22"/>
          <w:color w:val="222222"/>
        </w:rPr>
        <w:t>"WalkMe continues to deliver growing value to our customers by leading innovation and expanding our go to market ecosystem with the recent FedRAMP Ready status," said Hagit Ynon, CFO of WalkMe. "We strive to continue to drive operational excellence and scale across the organization as we keep the rule of 40 as our north star. We are focused on increasing our unit economics, leveraging investments already made, and accelerating our path to profitability with the expectation to be profitable for the full year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First Quarter and Recent Business Highlights:</w:t>
      </w:r>
    </w:p>
    <w:p>
      <w:pPr>
        <w:spacing w:after="0" w:line="297" w:lineRule="exact"/>
        <w:rPr>
          <w:sz w:val="20"/>
          <w:szCs w:val="20"/>
          <w:color w:val="auto"/>
        </w:rPr>
      </w:pPr>
    </w:p>
    <w:p>
      <w:pPr>
        <w:ind w:left="660" w:right="640" w:hanging="328"/>
        <w:spacing w:after="0" w:line="291" w:lineRule="auto"/>
        <w:tabs>
          <w:tab w:leader="none" w:pos="660" w:val="left"/>
        </w:tabs>
        <w:numPr>
          <w:ilvl w:val="0"/>
          <w:numId w:val="3"/>
        </w:numPr>
        <w:rPr>
          <w:rFonts w:ascii="Arial" w:cs="Arial" w:eastAsia="Arial" w:hAnsi="Arial"/>
          <w:sz w:val="16"/>
          <w:szCs w:val="16"/>
          <w:color w:val="0A0A0A"/>
        </w:rPr>
      </w:pPr>
      <w:r>
        <w:rPr>
          <w:rFonts w:ascii="Arial" w:cs="Arial" w:eastAsia="Arial" w:hAnsi="Arial"/>
          <w:sz w:val="16"/>
          <w:szCs w:val="16"/>
          <w:color w:val="0A0A0A"/>
        </w:rPr>
        <w:t>Achieved FedRAMP Ready status to become the first digital adoption platform provider listed on the FedRAMP Marketplace; the latest distinction advances WalkMe’s existing position in accelerating federal agencies’ technology modernization and IT transformation.</w:t>
      </w:r>
    </w:p>
    <w:p>
      <w:pPr>
        <w:ind w:left="660" w:hanging="328"/>
        <w:spacing w:after="0"/>
        <w:tabs>
          <w:tab w:leader="none" w:pos="660" w:val="left"/>
        </w:tabs>
        <w:numPr>
          <w:ilvl w:val="0"/>
          <w:numId w:val="3"/>
        </w:numPr>
        <w:rPr>
          <w:rFonts w:ascii="Arial" w:cs="Arial" w:eastAsia="Arial" w:hAnsi="Arial"/>
          <w:sz w:val="17"/>
          <w:szCs w:val="17"/>
          <w:color w:val="0A0A0A"/>
        </w:rPr>
      </w:pPr>
      <w:r>
        <w:rPr>
          <w:rFonts w:ascii="Arial" w:cs="Arial" w:eastAsia="Arial" w:hAnsi="Arial"/>
          <w:sz w:val="17"/>
          <w:szCs w:val="17"/>
          <w:color w:val="0A0A0A"/>
        </w:rPr>
        <w:t>Welcomed new Chief Customer Officer, Sunil Nagdev, to lead all post-sales functions, including Customer Success, Service, and Support.</w:t>
      </w:r>
    </w:p>
    <w:p>
      <w:pPr>
        <w:spacing w:after="0" w:line="20" w:lineRule="exact"/>
        <w:rPr>
          <w:rFonts w:ascii="Arial" w:cs="Arial" w:eastAsia="Arial" w:hAnsi="Arial"/>
          <w:sz w:val="17"/>
          <w:szCs w:val="17"/>
          <w:color w:val="0A0A0A"/>
        </w:rPr>
      </w:pPr>
    </w:p>
    <w:p>
      <w:pPr>
        <w:ind w:left="660" w:hanging="328"/>
        <w:spacing w:after="0"/>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Expanded Global partner ecosystem by adding two partnerships with Global System Integrators Tech Mahindra and NTT Data.</w:t>
      </w:r>
    </w:p>
    <w:p>
      <w:pPr>
        <w:spacing w:after="0" w:line="9" w:lineRule="exact"/>
        <w:rPr>
          <w:rFonts w:ascii="Arial" w:cs="Arial" w:eastAsia="Arial" w:hAnsi="Arial"/>
          <w:sz w:val="18"/>
          <w:szCs w:val="18"/>
          <w:color w:val="0A0A0A"/>
        </w:rPr>
      </w:pPr>
    </w:p>
    <w:p>
      <w:pPr>
        <w:ind w:left="660" w:right="240" w:hanging="328"/>
        <w:spacing w:after="0" w:line="250"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Added seven net new Enterprise-Wide DAP customers during the quarter for a total of 180, representing DAP customer count growth of 34% year-over-year.</w:t>
      </w:r>
    </w:p>
    <w:p>
      <w:pPr>
        <w:ind w:left="660" w:right="80" w:hanging="328"/>
        <w:spacing w:after="0" w:line="250"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Customers with over $1 million in ARR grew 16% year-over-year to 36. Customers with over $100,000 in ARR grew 8% year-over-year to 516 customers.</w:t>
      </w:r>
    </w:p>
    <w:p>
      <w:pPr>
        <w:ind w:left="660" w:right="500" w:hanging="328"/>
        <w:spacing w:after="0" w:line="265" w:lineRule="auto"/>
        <w:tabs>
          <w:tab w:leader="none" w:pos="660" w:val="left"/>
        </w:tabs>
        <w:numPr>
          <w:ilvl w:val="0"/>
          <w:numId w:val="3"/>
        </w:numPr>
        <w:rPr>
          <w:rFonts w:ascii="Arial" w:cs="Arial" w:eastAsia="Arial" w:hAnsi="Arial"/>
          <w:sz w:val="17"/>
          <w:szCs w:val="17"/>
          <w:color w:val="0A0A0A"/>
        </w:rPr>
      </w:pPr>
      <w:r>
        <w:rPr>
          <w:rFonts w:ascii="Arial" w:cs="Arial" w:eastAsia="Arial" w:hAnsi="Arial"/>
          <w:sz w:val="17"/>
          <w:szCs w:val="17"/>
          <w:color w:val="0A0A0A"/>
        </w:rPr>
        <w:t>Released an IDC Business Value report, which calculated the ROI of WalkMe across eight global organizations with an average of 42,000 employees came out to 494% ROI over three years and over $41 million in total new revenue gained per year.</w:t>
      </w:r>
    </w:p>
    <w:p>
      <w:pPr>
        <w:ind w:left="660" w:right="180" w:hanging="328"/>
        <w:spacing w:after="0" w:line="260" w:lineRule="auto"/>
        <w:tabs>
          <w:tab w:leader="none" w:pos="660" w:val="left"/>
        </w:tabs>
        <w:numPr>
          <w:ilvl w:val="0"/>
          <w:numId w:val="3"/>
        </w:numPr>
        <w:rPr>
          <w:rFonts w:ascii="Arial" w:cs="Arial" w:eastAsia="Arial" w:hAnsi="Arial"/>
          <w:sz w:val="18"/>
          <w:szCs w:val="18"/>
          <w:color w:val="0A0A0A"/>
        </w:rPr>
      </w:pPr>
      <w:r>
        <w:rPr>
          <w:rFonts w:ascii="Arial" w:cs="Arial" w:eastAsia="Arial" w:hAnsi="Arial"/>
          <w:sz w:val="18"/>
          <w:szCs w:val="18"/>
          <w:color w:val="0A0A0A"/>
        </w:rPr>
        <w:t xml:space="preserve">Launched WalkMe Discovery, the latest evolution in digital adoption technology that </w:t>
      </w:r>
      <w:r>
        <w:rPr>
          <w:rFonts w:ascii="Arial" w:cs="Arial" w:eastAsia="Arial" w:hAnsi="Arial"/>
          <w:sz w:val="18"/>
          <w:szCs w:val="18"/>
          <w:color w:val="000000"/>
        </w:rPr>
        <w:t>is designed to give IT executives and enterprise software</w:t>
      </w:r>
      <w:r>
        <w:rPr>
          <w:rFonts w:ascii="Arial" w:cs="Arial" w:eastAsia="Arial" w:hAnsi="Arial"/>
          <w:sz w:val="18"/>
          <w:szCs w:val="18"/>
          <w:color w:val="0A0A0A"/>
        </w:rPr>
        <w:t xml:space="preserve"> </w:t>
      </w:r>
      <w:r>
        <w:rPr>
          <w:rFonts w:ascii="Arial" w:cs="Arial" w:eastAsia="Arial" w:hAnsi="Arial"/>
          <w:sz w:val="18"/>
          <w:szCs w:val="18"/>
          <w:color w:val="000000"/>
        </w:rPr>
        <w:t>owners unprecedented visibility into their enterprise software stack.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Financial Outlook:</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0A0A0A"/>
        </w:rPr>
        <w:t>For the second quarter of 2023, the Company currently expects:</w:t>
      </w:r>
    </w:p>
    <w:p>
      <w:pPr>
        <w:spacing w:after="0" w:line="2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Revenue of $65 to $66 million, representing a growth rate of 8% to 10% year-over-year</w:t>
      </w:r>
    </w:p>
    <w:p>
      <w:pPr>
        <w:spacing w:after="0" w:line="23" w:lineRule="exact"/>
        <w:rPr>
          <w:rFonts w:ascii="Arial" w:cs="Arial" w:eastAsia="Arial" w:hAnsi="Arial"/>
          <w:sz w:val="18"/>
          <w:szCs w:val="18"/>
          <w:color w:val="0A0A0A"/>
        </w:rPr>
      </w:pPr>
    </w:p>
    <w:p>
      <w:pPr>
        <w:ind w:left="660" w:hanging="328"/>
        <w:spacing w:after="0"/>
        <w:tabs>
          <w:tab w:leader="none" w:pos="660" w:val="left"/>
        </w:tabs>
        <w:numPr>
          <w:ilvl w:val="0"/>
          <w:numId w:val="4"/>
        </w:numPr>
        <w:rPr>
          <w:rFonts w:ascii="Arial" w:cs="Arial" w:eastAsia="Arial" w:hAnsi="Arial"/>
          <w:sz w:val="18"/>
          <w:szCs w:val="18"/>
          <w:color w:val="0A0A0A"/>
        </w:rPr>
      </w:pPr>
      <w:r>
        <w:rPr>
          <w:rFonts w:ascii="Arial" w:cs="Arial" w:eastAsia="Arial" w:hAnsi="Arial"/>
          <w:sz w:val="18"/>
          <w:szCs w:val="18"/>
          <w:color w:val="0A0A0A"/>
        </w:rPr>
        <w:t>Non-GAAP Operating Loss* of $7.5 to $6.5 million or (12%) to (10%)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32" w:right="49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0A0A0A"/>
        </w:rPr>
        <w:t>For the full year 2023, the Company currently expects:</w:t>
      </w:r>
    </w:p>
    <w:p>
      <w:pPr>
        <w:spacing w:after="0" w:line="2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Revenue of $269 to $276 million, representing a growth rate of 10% to 13% year-over-year</w:t>
      </w:r>
    </w:p>
    <w:p>
      <w:pPr>
        <w:spacing w:after="0" w:line="23" w:lineRule="exact"/>
        <w:rPr>
          <w:rFonts w:ascii="Arial" w:cs="Arial" w:eastAsia="Arial" w:hAnsi="Arial"/>
          <w:sz w:val="18"/>
          <w:szCs w:val="18"/>
          <w:color w:val="0A0A0A"/>
        </w:rPr>
      </w:pPr>
    </w:p>
    <w:p>
      <w:pPr>
        <w:ind w:left="660" w:hanging="328"/>
        <w:spacing w:after="0"/>
        <w:tabs>
          <w:tab w:leader="none" w:pos="660" w:val="left"/>
        </w:tabs>
        <w:numPr>
          <w:ilvl w:val="0"/>
          <w:numId w:val="5"/>
        </w:numPr>
        <w:rPr>
          <w:rFonts w:ascii="Arial" w:cs="Arial" w:eastAsia="Arial" w:hAnsi="Arial"/>
          <w:sz w:val="18"/>
          <w:szCs w:val="18"/>
          <w:color w:val="0A0A0A"/>
        </w:rPr>
      </w:pPr>
      <w:r>
        <w:rPr>
          <w:rFonts w:ascii="Arial" w:cs="Arial" w:eastAsia="Arial" w:hAnsi="Arial"/>
          <w:sz w:val="18"/>
          <w:szCs w:val="18"/>
          <w:color w:val="0A0A0A"/>
        </w:rPr>
        <w:t>Non-GAAP Operating Loss* of $22 to $19 million or (8%) to (7%) of revenue</w:t>
      </w:r>
    </w:p>
    <w:p>
      <w:pPr>
        <w:spacing w:after="0" w:line="271" w:lineRule="exact"/>
        <w:rPr>
          <w:sz w:val="20"/>
          <w:szCs w:val="20"/>
          <w:color w:val="auto"/>
        </w:rPr>
      </w:pPr>
    </w:p>
    <w:p>
      <w:pPr>
        <w:ind w:right="100"/>
        <w:spacing w:after="0" w:line="273" w:lineRule="auto"/>
        <w:rPr>
          <w:sz w:val="20"/>
          <w:szCs w:val="20"/>
          <w:color w:val="auto"/>
        </w:rPr>
      </w:pPr>
      <w:r>
        <w:rPr>
          <w:rFonts w:ascii="Arial" w:cs="Arial" w:eastAsia="Arial" w:hAnsi="Arial"/>
          <w:sz w:val="21"/>
          <w:szCs w:val="21"/>
          <w:color w:val="0A0A0A"/>
        </w:rPr>
        <w:t>*The section titled “Non-GAAP Financial Measures and Key Performance Indicators” below contains a description of the non-GAAP financial measures and Key Performance Indicators discussed in this press release and reconciliations between historical GAAP and non-GAAP information are contained in the tables below. The Company is unable to provide a reconciliation of non-GAAP Operating Income (Loss) to Operating Income (Loss), its most directly comparable GAAP financial measure, on a forward-looking basis without unreasonable effort, because items that impact this GAAP financial measure are not within the Company’s control and/or cannot be reasonably predicted. These items may include, but are not limited to, predicting forward-looking share-based compensation. Such information may have a significant, and potentially unpredictable, impact on the Company’s future financial results.</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22"/>
          <w:szCs w:val="22"/>
          <w:color w:val="0A0A0A"/>
        </w:rPr>
        <w:t>Throughout this press release, we provide a number of key performance indicators used by our management and often used by competitors in our industry. These and other key performance indicators are discussed in more detail in the section entitled “Non-GAAP Financial Measures and Key Performance Indicators” in this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Conference Call Information:</w:t>
      </w:r>
    </w:p>
    <w:p>
      <w:pPr>
        <w:spacing w:after="0" w:line="303" w:lineRule="exact"/>
        <w:rPr>
          <w:sz w:val="20"/>
          <w:szCs w:val="20"/>
          <w:color w:val="auto"/>
        </w:rPr>
      </w:pPr>
    </w:p>
    <w:p>
      <w:pPr>
        <w:ind w:right="180"/>
        <w:spacing w:after="0" w:line="266" w:lineRule="auto"/>
        <w:rPr>
          <w:sz w:val="20"/>
          <w:szCs w:val="20"/>
          <w:color w:val="auto"/>
        </w:rPr>
      </w:pPr>
      <w:r>
        <w:rPr>
          <w:rFonts w:ascii="Arial" w:cs="Arial" w:eastAsia="Arial" w:hAnsi="Arial"/>
          <w:sz w:val="22"/>
          <w:szCs w:val="22"/>
          <w:color w:val="0A0A0A"/>
        </w:rPr>
        <w:t>WalkMe will host a conference call and live webcast for analysts and investors at 5:00 a.m. Pacific Time on May 17, 2023. The press release with the financial results as well as the investor presentation materials will be accessible from the Company’s website prior to the conference call.</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0A0A0A"/>
        </w:rPr>
        <w:t>A live webcast of the conference call will be accessible on the WalkMe investor relations website at https://ir.walkme.com.</w:t>
      </w:r>
    </w:p>
    <w:p>
      <w:pPr>
        <w:spacing w:after="0" w:line="322"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color w:val="0A0A0A"/>
        </w:rPr>
        <w:t>Approximately one hour after completion of the live call and for at least 30 days thereafter, an archived version of the webcast will be available on the Company’s investor relations website at https://ir.walkme.com.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Supplemental Financial and Other Information:</w:t>
      </w:r>
    </w:p>
    <w:p>
      <w:pPr>
        <w:spacing w:after="0" w:line="289" w:lineRule="exact"/>
        <w:rPr>
          <w:sz w:val="20"/>
          <w:szCs w:val="20"/>
          <w:color w:val="auto"/>
        </w:rPr>
      </w:pPr>
    </w:p>
    <w:p>
      <w:pPr>
        <w:ind w:right="20"/>
        <w:spacing w:after="0" w:line="317" w:lineRule="auto"/>
        <w:rPr>
          <w:sz w:val="20"/>
          <w:szCs w:val="20"/>
          <w:color w:val="auto"/>
        </w:rPr>
      </w:pPr>
      <w:r>
        <w:rPr>
          <w:rFonts w:ascii="Arial" w:cs="Arial" w:eastAsia="Arial" w:hAnsi="Arial"/>
          <w:sz w:val="19"/>
          <w:szCs w:val="19"/>
          <w:color w:val="0A0A0A"/>
        </w:rPr>
        <w:t>We intend to announce material information to the public through the WalkMe Investor Relations website at ir.walkme.com, SEC filings, press releases, public conference calls, and public webcasts. We use these channels to communicate with our investors, customers, and the public about our company, our offerings, and other issues. As such, we encourage investors, the media, and others to follow the channels listed above, and to review the information disclosed through such channels.</w:t>
      </w:r>
    </w:p>
    <w:p>
      <w:pPr>
        <w:spacing w:after="0" w:line="196" w:lineRule="exact"/>
        <w:rPr>
          <w:sz w:val="20"/>
          <w:szCs w:val="20"/>
          <w:color w:val="auto"/>
        </w:rPr>
      </w:pPr>
    </w:p>
    <w:p>
      <w:pPr>
        <w:ind w:right="720"/>
        <w:spacing w:after="0" w:line="276" w:lineRule="auto"/>
        <w:rPr>
          <w:sz w:val="20"/>
          <w:szCs w:val="20"/>
          <w:color w:val="auto"/>
        </w:rPr>
      </w:pPr>
      <w:r>
        <w:rPr>
          <w:rFonts w:ascii="Arial" w:cs="Arial" w:eastAsia="Arial" w:hAnsi="Arial"/>
          <w:sz w:val="22"/>
          <w:szCs w:val="22"/>
          <w:color w:val="0A0A0A"/>
        </w:rPr>
        <w:t>Any updates to the list of disclosure channels through which we will announce information will be posted on the investor relations page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2"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0A0A0A"/>
        </w:rPr>
        <w:t>Non-GAAP Financial Measures and Key Performance Indicators:</w:t>
      </w:r>
    </w:p>
    <w:p>
      <w:pPr>
        <w:spacing w:after="0" w:line="303"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0A0A0A"/>
        </w:rPr>
        <w:t>In addition to our financial results reported in accordance with GAAP, this press release and the accompanying tables and related presentation materials may contain one or more of the following non-GAAP financial measures: Non-GAAP Gross Profit, Non-GAAP Gross Margin, Non-GAAP Operating Income (Loss), Non-GAAP Operating Margin, Non-GAAP Net Income (Loss) attributable to WalkMe Ltd., Non-GAAP Net Income (Loss) per share attributable to WalkMe Ltd. and Free Cash Flow, all of which are non-GAAP financial measures. We believe that these measures provide useful information about operating results, enhance the overall understanding of past financial performance and future prospects, and allow for greater transparency with respect to key measures used by management in its financial and operational decision making. Non-GAAP financial measures have limitations as analytical tools and may differ from similarly titled measures presented by other companies. The presentation of this financial information is not intended to be considered as a substitute for the financial information prepared and presented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200" w:lineRule="exact"/>
        <w:rPr>
          <w:sz w:val="20"/>
          <w:szCs w:val="20"/>
          <w:color w:val="auto"/>
        </w:rPr>
      </w:pPr>
    </w:p>
    <w:p>
      <w:pPr>
        <w:spacing w:after="0" w:line="27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i w:val="1"/>
          <w:iCs w:val="1"/>
          <w:color w:val="0A0A0A"/>
        </w:rPr>
        <w:t>Non-GAAP Gross Profit and Non-GAAP Gross Margin</w:t>
      </w:r>
      <w:r>
        <w:rPr>
          <w:rFonts w:ascii="Arial" w:cs="Arial" w:eastAsia="Arial" w:hAnsi="Arial"/>
          <w:sz w:val="18"/>
          <w:szCs w:val="18"/>
          <w:color w:val="0A0A0A"/>
        </w:rPr>
        <w:t>. We define Non-GAAP Gross Profit as gross profit excluding share-based compensation and</w:t>
      </w:r>
      <w:r>
        <w:rPr>
          <w:rFonts w:ascii="Arial" w:cs="Arial" w:eastAsia="Arial" w:hAnsi="Arial"/>
          <w:sz w:val="18"/>
          <w:szCs w:val="18"/>
          <w:i w:val="1"/>
          <w:iCs w:val="1"/>
          <w:color w:val="0A0A0A"/>
        </w:rPr>
        <w:t xml:space="preserve"> </w:t>
      </w:r>
      <w:r>
        <w:rPr>
          <w:rFonts w:ascii="Arial" w:cs="Arial" w:eastAsia="Arial" w:hAnsi="Arial"/>
          <w:sz w:val="18"/>
          <w:szCs w:val="18"/>
          <w:color w:val="0A0A0A"/>
        </w:rPr>
        <w:t>amortization of acquired intangibles. We exclude these items because they occur for reasons that may be unrelated to our core operating performance during the period, and because we believe that such items may obscure underlying business trends and make comparisons of long-term performance difficult. We use Non-GAAP Gross Profit with traditional GAAP measures to evaluate our financial performance. Non-GAAP Gross Margin is calculated as a percentage of revenues.</w:t>
      </w:r>
    </w:p>
    <w:p>
      <w:pPr>
        <w:spacing w:after="0" w:line="248"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i w:val="1"/>
          <w:iCs w:val="1"/>
          <w:color w:val="0A0A0A"/>
        </w:rPr>
        <w:t xml:space="preserve">Non-GAAP Operating Income (Loss) and Non-GAAP Operating Margin. </w:t>
      </w:r>
      <w:r>
        <w:rPr>
          <w:rFonts w:ascii="Arial" w:cs="Arial" w:eastAsia="Arial" w:hAnsi="Arial"/>
          <w:sz w:val="17"/>
          <w:szCs w:val="17"/>
          <w:color w:val="0A0A0A"/>
        </w:rPr>
        <w:t>We define Non-GAAP Operating Income (Loss) as net income (loss) from</w:t>
      </w:r>
      <w:r>
        <w:rPr>
          <w:rFonts w:ascii="Arial" w:cs="Arial" w:eastAsia="Arial" w:hAnsi="Arial"/>
          <w:sz w:val="17"/>
          <w:szCs w:val="17"/>
          <w:i w:val="1"/>
          <w:iCs w:val="1"/>
          <w:color w:val="0A0A0A"/>
        </w:rPr>
        <w:t xml:space="preserve"> </w:t>
      </w:r>
      <w:r>
        <w:rPr>
          <w:rFonts w:ascii="Arial" w:cs="Arial" w:eastAsia="Arial" w:hAnsi="Arial"/>
          <w:sz w:val="17"/>
          <w:szCs w:val="17"/>
          <w:color w:val="0A0A0A"/>
        </w:rPr>
        <w:t>operations excluding share-based compensation and amortization and impairment of acquired intangible assets. We exclude these items because they occur for reasons that may be unrelated to our core operating performance during the period, and because we believe that such items may obscure underlying business trends and make comparisons of long-term performance difficult. We use Non-GAAP Operating Income (Loss) with traditional GAAP measures to evaluate our financial performance. Non-GAAP Operating Margin is calculated as a percentage of revenues.</w:t>
      </w:r>
    </w:p>
    <w:p>
      <w:pPr>
        <w:spacing w:after="0" w:line="218" w:lineRule="exact"/>
        <w:rPr>
          <w:sz w:val="20"/>
          <w:szCs w:val="20"/>
          <w:color w:val="auto"/>
        </w:rPr>
      </w:pPr>
    </w:p>
    <w:p>
      <w:pPr>
        <w:spacing w:after="0" w:line="307" w:lineRule="auto"/>
        <w:rPr>
          <w:sz w:val="20"/>
          <w:szCs w:val="20"/>
          <w:color w:val="auto"/>
        </w:rPr>
      </w:pPr>
      <w:r>
        <w:rPr>
          <w:rFonts w:ascii="Arial" w:cs="Arial" w:eastAsia="Arial" w:hAnsi="Arial"/>
          <w:sz w:val="16"/>
          <w:szCs w:val="16"/>
          <w:i w:val="1"/>
          <w:iCs w:val="1"/>
          <w:color w:val="0A0A0A"/>
        </w:rPr>
        <w:t>Non-GAAP Net Income (Loss) attributable to WalkMe Ltd</w:t>
      </w:r>
      <w:r>
        <w:rPr>
          <w:rFonts w:ascii="Arial" w:cs="Arial" w:eastAsia="Arial" w:hAnsi="Arial"/>
          <w:sz w:val="16"/>
          <w:szCs w:val="16"/>
          <w:color w:val="0A0A0A"/>
        </w:rPr>
        <w:t>. We define Non-GAAP Net Income (Loss) attributable to WalkMe Ltd. as Net Income (Loss)</w:t>
      </w:r>
      <w:r>
        <w:rPr>
          <w:rFonts w:ascii="Arial" w:cs="Arial" w:eastAsia="Arial" w:hAnsi="Arial"/>
          <w:sz w:val="16"/>
          <w:szCs w:val="16"/>
          <w:i w:val="1"/>
          <w:iCs w:val="1"/>
          <w:color w:val="0A0A0A"/>
        </w:rPr>
        <w:t xml:space="preserve"> </w:t>
      </w:r>
      <w:r>
        <w:rPr>
          <w:rFonts w:ascii="Arial" w:cs="Arial" w:eastAsia="Arial" w:hAnsi="Arial"/>
          <w:sz w:val="16"/>
          <w:szCs w:val="16"/>
          <w:color w:val="0A0A0A"/>
        </w:rPr>
        <w:t>attributable to WalkMe Ltd. excluding share-based compensation, amortization and impairment of acquired intangibles and adjustment attributable to non-controlling interest. We exclude these items because they occur for reasons that may be unrelated to our core operating performance during the period, and because we believe that such items may obscure underlying business trends and make comparisons of long-term performance difficult. We use Non-GAAP Net Income (Loss) attributable to WalkMe Ltd. with traditional GAAP measures to evaluate our financial performance. Non-GAAP Net Income (Loss) per Share attributable to WalkMe Ltd. is calculated based on the periodic weighted average of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1" w:right="399" w:bottom="1440" w:gutter="0" w:footer="0" w:header="0"/>
        </w:sectPr>
      </w:pPr>
    </w:p>
    <w:bookmarkStart w:id="7" w:name="page8"/>
    <w:bookmarkEnd w:id="7"/>
    <w:p>
      <w:pPr>
        <w:ind w:right="180"/>
        <w:spacing w:after="0" w:line="269" w:lineRule="auto"/>
        <w:rPr>
          <w:sz w:val="20"/>
          <w:szCs w:val="20"/>
          <w:color w:val="auto"/>
        </w:rPr>
      </w:pPr>
      <w:r>
        <w:rPr>
          <w:rFonts w:ascii="Arial" w:cs="Arial" w:eastAsia="Arial" w:hAnsi="Arial"/>
          <w:sz w:val="18"/>
          <w:szCs w:val="18"/>
          <w:i w:val="1"/>
          <w:iCs w:val="1"/>
          <w:color w:val="0A0A0A"/>
        </w:rPr>
        <w:t xml:space="preserve">Free Cash Flow. </w:t>
      </w:r>
      <w:r>
        <w:rPr>
          <w:rFonts w:ascii="Arial" w:cs="Arial" w:eastAsia="Arial" w:hAnsi="Arial"/>
          <w:sz w:val="18"/>
          <w:szCs w:val="18"/>
          <w:color w:val="0A0A0A"/>
        </w:rPr>
        <w:t>We define Free Cash Flow as net cash provided by (used in) operating activities, less cash used for purchases of property and equipment</w:t>
      </w:r>
      <w:r>
        <w:rPr>
          <w:rFonts w:ascii="Arial" w:cs="Arial" w:eastAsia="Arial" w:hAnsi="Arial"/>
          <w:sz w:val="18"/>
          <w:szCs w:val="18"/>
          <w:i w:val="1"/>
          <w:iCs w:val="1"/>
          <w:color w:val="0A0A0A"/>
        </w:rPr>
        <w:t xml:space="preserve"> </w:t>
      </w:r>
      <w:r>
        <w:rPr>
          <w:rFonts w:ascii="Arial" w:cs="Arial" w:eastAsia="Arial" w:hAnsi="Arial"/>
          <w:sz w:val="18"/>
          <w:szCs w:val="18"/>
          <w:color w:val="0A0A0A"/>
        </w:rPr>
        <w:t>and capitalized internal-use software development costs. We believe that Free Cash Flow is a useful indicator of liquidity that provides information to management and investors, even if negative, about the amount of cash used in our business. Our Free Cash Flow may vary from period to period and be impacted as we continue to invest for growth in our business.</w:t>
      </w:r>
    </w:p>
    <w:p>
      <w:pPr>
        <w:spacing w:after="0" w:line="253"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color w:val="0A0A0A"/>
        </w:rPr>
        <w:t>For more information on the non-GAAP financial measures, please see the reconciliation tables provided below. The accompanying reconciliation tables have more details on the GAAP financial measures that are most directly comparable to non-GAAP financial measures and the related reconciliations between these financial measures.</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i w:val="1"/>
          <w:iCs w:val="1"/>
          <w:color w:val="0A0A0A"/>
        </w:rPr>
        <w:t xml:space="preserve">ARR. </w:t>
      </w:r>
      <w:r>
        <w:rPr>
          <w:rFonts w:ascii="Arial" w:cs="Arial" w:eastAsia="Arial" w:hAnsi="Arial"/>
          <w:sz w:val="17"/>
          <w:szCs w:val="17"/>
          <w:color w:val="0A0A0A"/>
        </w:rPr>
        <w:t>We define ARR as the annualized value of customer subscription contracts as of the measurement date, assuming any contract that expires during the</w:t>
      </w:r>
      <w:r>
        <w:rPr>
          <w:rFonts w:ascii="Arial" w:cs="Arial" w:eastAsia="Arial" w:hAnsi="Arial"/>
          <w:sz w:val="17"/>
          <w:szCs w:val="17"/>
          <w:i w:val="1"/>
          <w:iCs w:val="1"/>
          <w:color w:val="0A0A0A"/>
        </w:rPr>
        <w:t xml:space="preserve"> </w:t>
      </w:r>
      <w:r>
        <w:rPr>
          <w:rFonts w:ascii="Arial" w:cs="Arial" w:eastAsia="Arial" w:hAnsi="Arial"/>
          <w:sz w:val="17"/>
          <w:szCs w:val="17"/>
          <w:color w:val="0A0A0A"/>
        </w:rPr>
        <w:t>next 12 months is renewed on its existing terms (including contracts for which we are negotiating a renewal). Our calculation of ARR is not adjusted for the impact of any known or projected future events (such as customer cancellations, upgrades or downgrades, or price increases or decreases) that may cause any such contract not to be renewed on its existing terms. In addition, the amount of actual revenue that we recognize over any 12-month period is likely to differ from ARR at the beginning of that period, sometimes significantly. This may occur due to new bookings, cancellations, upgrades, downgrades or other changes in pending renewals, as well as the effects of professional services revenue and acquisitions or divestitures. As a result, ARR should be viewed independently of, and not as a substitute for or forecast of, revenue and deferred revenue. Our calculation of ARR may differ from similarly titled metrics presented by other companies.</w:t>
      </w:r>
    </w:p>
    <w:p>
      <w:pPr>
        <w:spacing w:after="0" w:line="241" w:lineRule="exact"/>
        <w:rPr>
          <w:sz w:val="20"/>
          <w:szCs w:val="20"/>
          <w:color w:val="auto"/>
        </w:rPr>
      </w:pPr>
    </w:p>
    <w:p>
      <w:pPr>
        <w:ind w:right="340"/>
        <w:spacing w:after="0" w:line="293" w:lineRule="auto"/>
        <w:rPr>
          <w:sz w:val="20"/>
          <w:szCs w:val="20"/>
          <w:color w:val="auto"/>
        </w:rPr>
      </w:pPr>
      <w:r>
        <w:rPr>
          <w:rFonts w:ascii="Arial" w:cs="Arial" w:eastAsia="Arial" w:hAnsi="Arial"/>
          <w:sz w:val="18"/>
          <w:szCs w:val="18"/>
          <w:i w:val="1"/>
          <w:iCs w:val="1"/>
          <w:color w:val="0A0A0A"/>
        </w:rPr>
        <w:t xml:space="preserve">Enterprise-Wide DAP Customers: </w:t>
      </w:r>
      <w:r>
        <w:rPr>
          <w:rFonts w:ascii="Arial" w:cs="Arial" w:eastAsia="Arial" w:hAnsi="Arial"/>
          <w:sz w:val="18"/>
          <w:szCs w:val="18"/>
          <w:color w:val="0A0A0A"/>
        </w:rPr>
        <w:t>We define Enterprise-Wide DAP Customers as those who have purchased enterprise-wide subscriptions or who have</w:t>
      </w:r>
      <w:r>
        <w:rPr>
          <w:rFonts w:ascii="Arial" w:cs="Arial" w:eastAsia="Arial" w:hAnsi="Arial"/>
          <w:sz w:val="18"/>
          <w:szCs w:val="18"/>
          <w:i w:val="1"/>
          <w:iCs w:val="1"/>
          <w:color w:val="0A0A0A"/>
        </w:rPr>
        <w:t xml:space="preserve"> </w:t>
      </w:r>
      <w:r>
        <w:rPr>
          <w:rFonts w:ascii="Arial" w:cs="Arial" w:eastAsia="Arial" w:hAnsi="Arial"/>
          <w:sz w:val="18"/>
          <w:szCs w:val="18"/>
          <w:color w:val="0A0A0A"/>
        </w:rPr>
        <w:t>department-wide usage of our Digital Adoption Platform across four or more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8" w:name="page9"/>
    <w:bookmarkEnd w:id="8"/>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Special Note Regarding Forward-Looking Statements:</w:t>
      </w:r>
    </w:p>
    <w:p>
      <w:pPr>
        <w:spacing w:after="0" w:line="303" w:lineRule="exact"/>
        <w:rPr>
          <w:sz w:val="20"/>
          <w:szCs w:val="20"/>
          <w:color w:val="auto"/>
        </w:rPr>
      </w:pPr>
    </w:p>
    <w:p>
      <w:pPr>
        <w:spacing w:after="0" w:line="298" w:lineRule="auto"/>
        <w:rPr>
          <w:sz w:val="20"/>
          <w:szCs w:val="20"/>
          <w:color w:val="auto"/>
        </w:rPr>
      </w:pPr>
      <w:r>
        <w:rPr>
          <w:rFonts w:ascii="Arial" w:cs="Arial" w:eastAsia="Arial" w:hAnsi="Arial"/>
          <w:sz w:val="19"/>
          <w:szCs w:val="19"/>
          <w:color w:val="0A0A0A"/>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press release other than statements of historical fact, including, without limitation, statements regarding the Company’s future financial results, including revenue and non-GAAP operating loss guidance, and expectations regarding the company’s operations and future profitability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 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ability to manage our growth effectively, sustain our historical growth rate in the future or achieve or maintain profitability; the impact of adverse macro-economic changes on our business, financial condition and results of operations; the growth and expansion of the markets for our offerings and our ability to adapt and respond effectively to evolving market conditions; our estimates of, and future expectations regarding, our market opportunity; our ability to keep pace with technological and competitive developments and develop or otherwise introduce new products and solutions and enhancements to our existing offerings; our ability to maintain the interoperability of our offerings across devices, operating systems and third-party applications and to maintain and expand our relationships with third-party technology partners; the effects of increased competition in our target markets and our ability to compete effectively; our ability to attract and retain new customers and to expand within our existing customer base; the success of our sales and marketing operations, including our ability to realize efficiencies and reduce customer acquisition costs; our ability to meet the service-level commitments under our customer agreements and the effects on our business if we are unable to do so; our relationships with, and dependence on, various third-party service providers; our ability to maintain and enhance awareness of our brand; our ability to offer high quality customer support; our ability to effectively develop and expand our marketing and sales capabilities; our ability to maintain the sales prices of our offerings and the effects of pricing fluctuations; the sustainability of, and fluctuations in, our gross margin; risks related to our international operations and our ability to expand our international business operations; the effects of currency exchange rate fluctuations on our results of operations; challenges and risks related to our sales to government entities; our ability to consummate acquisitions at our historical rate and at acceptable prices, to enter into other strategic transactions and relationships, and to manage the risks related to these transactions and arrangements; our ability to protect our proprietary technology, or to obtain, maintain, protect and enforce sufficiently broad intellectual property rights therein; our ability to maintain the security and availability of our platform, products and solutions; our ability to comply with current and future legislation and governmental regulations to which we are subject or may become subject in the future; changes in applicable tax law, the stability of effective tax rates and adverse outcomes resulting from examination of our income or other tax returns; risks related to political, economic and security conditions in Israel; the effects of unfavorable conditions in our industry or the global economy or reductions in information technology spending; factors that may affect the future trading prices of our ordinary shares; and other risk factors set forth in the section titled “Risk Factors” in our Annual Report on form 20-F filed with the Securities and Exchange Commission on March 14, 2023,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WalkMe</w:t>
      </w:r>
    </w:p>
    <w:p>
      <w:pPr>
        <w:spacing w:after="0" w:line="289" w:lineRule="exact"/>
        <w:rPr>
          <w:sz w:val="20"/>
          <w:szCs w:val="20"/>
          <w:color w:val="auto"/>
        </w:rPr>
      </w:pPr>
    </w:p>
    <w:p>
      <w:pPr>
        <w:ind w:right="100"/>
        <w:spacing w:after="0" w:line="276" w:lineRule="auto"/>
        <w:rPr>
          <w:sz w:val="20"/>
          <w:szCs w:val="20"/>
          <w:color w:val="auto"/>
        </w:rPr>
      </w:pPr>
      <w:r>
        <w:rPr>
          <w:rFonts w:ascii="Arial" w:cs="Arial" w:eastAsia="Arial" w:hAnsi="Arial"/>
          <w:sz w:val="21"/>
          <w:szCs w:val="21"/>
          <w:color w:val="0A0A0A"/>
        </w:rPr>
        <w:t>WalkMe’s cloud-based Digital Adoption Platform enables organizations to measure, drive and act to ultimately accelerate their digital transformations and better realize the value of their software investments. Our code-free platform leverages our proprietary technology to provide visibility to an organization’s Chief Information Officer and business leaders, while improving user experience, productivity and efficiency for employees and customers. Alongside walkthroughs and third-party integration capabilities, our platform can be customized to fit an organization’s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0A0A0A"/>
        </w:rPr>
        <w:t>Christina Knittel</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90B3E"/>
        </w:rPr>
        <w:t>press@walkme.com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0A0A0A"/>
        </w:rPr>
        <w:t>John Streppa</w:t>
      </w:r>
    </w:p>
    <w:p>
      <w:pPr>
        <w:sectPr>
          <w:pgSz w:w="11900" w:h="16880" w:orient="portrait"/>
          <w:cols w:equalWidth="0" w:num="1">
            <w:col w:w="11240"/>
          </w:cols>
          <w:pgMar w:left="320" w:top="391" w:right="339" w:bottom="0" w:gutter="0" w:footer="0" w:header="0"/>
        </w:sectPr>
      </w:pPr>
    </w:p>
    <w:bookmarkStart w:id="9" w:name="page10"/>
    <w:bookmarkEnd w:id="9"/>
    <w:p>
      <w:pPr>
        <w:spacing w:after="0"/>
        <w:rPr>
          <w:sz w:val="20"/>
          <w:szCs w:val="20"/>
          <w:color w:val="auto"/>
        </w:rPr>
      </w:pPr>
      <w:r>
        <w:rPr>
          <w:rFonts w:ascii="Arial" w:cs="Arial" w:eastAsia="Arial" w:hAnsi="Arial"/>
          <w:sz w:val="19"/>
          <w:szCs w:val="19"/>
          <w:u w:val="single" w:color="auto"/>
          <w:color w:val="090B3E"/>
        </w:rPr>
        <w:t>investors@walkme.com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54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60,629</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51,389</w:t>
            </w:r>
          </w:p>
        </w:tc>
        <w:tc>
          <w:tcPr>
            <w:tcW w:w="100" w:type="dxa"/>
            <w:vAlign w:val="bottom"/>
          </w:tcPr>
          <w:p>
            <w:pPr>
              <w:spacing w:after="0"/>
              <w:rPr>
                <w:sz w:val="18"/>
                <w:szCs w:val="18"/>
                <w:color w:val="auto"/>
              </w:rPr>
            </w:pPr>
          </w:p>
        </w:tc>
      </w:tr>
      <w:tr>
        <w:trPr>
          <w:trHeight w:val="236"/>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Professional services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56,848</w:t>
            </w:r>
          </w:p>
        </w:tc>
        <w:tc>
          <w:tcPr>
            <w:tcW w:w="10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4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Subscription</w:t>
            </w:r>
            <w:r>
              <w:rPr>
                <w:rFonts w:ascii="Arial" w:cs="Arial" w:eastAsia="Arial" w:hAnsi="Arial"/>
                <w:sz w:val="26"/>
                <w:szCs w:val="26"/>
                <w:color w:val="auto"/>
                <w:vertAlign w:val="superscript"/>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100" w:type="dxa"/>
            <w:vAlign w:val="bottom"/>
            <w:shd w:val="clear" w:color="auto" w:fill="CCEEFF"/>
          </w:tcPr>
          <w:p>
            <w:pPr>
              <w:spacing w:after="0"/>
              <w:rPr>
                <w:sz w:val="19"/>
                <w:szCs w:val="19"/>
                <w:color w:val="auto"/>
              </w:rPr>
            </w:pPr>
          </w:p>
        </w:tc>
      </w:tr>
      <w:tr>
        <w:trPr>
          <w:trHeight w:val="236"/>
        </w:trPr>
        <w:tc>
          <w:tcPr>
            <w:tcW w:w="8540" w:type="dxa"/>
            <w:vAlign w:val="bottom"/>
          </w:tcPr>
          <w:p>
            <w:pPr>
              <w:ind w:left="140"/>
              <w:spacing w:after="0" w:line="230" w:lineRule="exact"/>
              <w:rPr>
                <w:sz w:val="20"/>
                <w:szCs w:val="20"/>
                <w:color w:val="auto"/>
              </w:rPr>
            </w:pPr>
            <w:r>
              <w:rPr>
                <w:rFonts w:ascii="Arial" w:cs="Arial" w:eastAsia="Arial" w:hAnsi="Arial"/>
                <w:sz w:val="16"/>
                <w:szCs w:val="16"/>
                <w:color w:val="auto"/>
              </w:rPr>
              <w:t>Professional services</w:t>
            </w:r>
            <w:r>
              <w:rPr>
                <w:rFonts w:ascii="Arial" w:cs="Arial" w:eastAsia="Arial" w:hAnsi="Arial"/>
                <w:sz w:val="26"/>
                <w:szCs w:val="26"/>
                <w:color w:val="auto"/>
                <w:vertAlign w:val="superscript"/>
              </w:rPr>
              <w:t>(1)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0"/>
                <w:szCs w:val="20"/>
                <w:color w:val="auto"/>
              </w:rPr>
            </w:pPr>
          </w:p>
        </w:tc>
      </w:tr>
      <w:tr>
        <w:trPr>
          <w:trHeight w:val="223"/>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100" w:type="dxa"/>
            <w:vAlign w:val="bottom"/>
            <w:shd w:val="clear" w:color="auto" w:fill="CCEEFF"/>
          </w:tcPr>
          <w:p>
            <w:pPr>
              <w:spacing w:after="0"/>
              <w:rPr>
                <w:sz w:val="19"/>
                <w:szCs w:val="19"/>
                <w:color w:val="auto"/>
              </w:rPr>
            </w:pPr>
          </w:p>
        </w:tc>
      </w:tr>
      <w:tr>
        <w:trPr>
          <w:trHeight w:val="216"/>
        </w:trPr>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540" w:type="dxa"/>
            <w:vAlign w:val="bottom"/>
          </w:tcPr>
          <w:p>
            <w:pPr>
              <w:ind w:left="140"/>
              <w:spacing w:after="0" w:line="216"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18"/>
                <w:szCs w:val="18"/>
                <w:color w:val="auto"/>
              </w:rPr>
            </w:pPr>
          </w:p>
        </w:tc>
      </w:tr>
      <w:tr>
        <w:trPr>
          <w:trHeight w:val="230"/>
        </w:trPr>
        <w:tc>
          <w:tcPr>
            <w:tcW w:w="8540" w:type="dxa"/>
            <w:vAlign w:val="bottom"/>
            <w:shd w:val="clear" w:color="auto" w:fill="CCEEFF"/>
          </w:tcPr>
          <w:p>
            <w:pPr>
              <w:ind w:left="1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42,079</w:t>
            </w:r>
          </w:p>
        </w:tc>
        <w:tc>
          <w:tcPr>
            <w:tcW w:w="100" w:type="dxa"/>
            <w:vAlign w:val="bottom"/>
            <w:shd w:val="clear" w:color="auto" w:fill="CCEEFF"/>
          </w:tcPr>
          <w:p>
            <w:pPr>
              <w:spacing w:after="0"/>
              <w:rPr>
                <w:sz w:val="19"/>
                <w:szCs w:val="19"/>
                <w:color w:val="auto"/>
              </w:rPr>
            </w:pPr>
          </w:p>
        </w:tc>
      </w:tr>
      <w:tr>
        <w:trPr>
          <w:trHeight w:val="223"/>
        </w:trPr>
        <w:tc>
          <w:tcPr>
            <w:tcW w:w="8540" w:type="dxa"/>
            <w:vAlign w:val="bottom"/>
          </w:tcPr>
          <w:p>
            <w:pPr>
              <w:ind w:left="140"/>
              <w:spacing w:after="0" w:line="216"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5"/>
                <w:szCs w:val="25"/>
                <w:color w:val="auto"/>
                <w:vertAlign w:val="superscript"/>
              </w:rPr>
              <w:t>(1)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20,747</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Pr>
          <w:p>
            <w:pPr>
              <w:spacing w:after="0"/>
              <w:rPr>
                <w:sz w:val="19"/>
                <w:szCs w:val="19"/>
                <w:color w:val="auto"/>
              </w:rPr>
            </w:pPr>
          </w:p>
        </w:tc>
      </w:tr>
      <w:tr>
        <w:trPr>
          <w:trHeight w:val="237"/>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79,477</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(25,777)</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(29,642)</w:t>
            </w:r>
          </w:p>
        </w:tc>
      </w:tr>
      <w:tr>
        <w:trPr>
          <w:trHeight w:val="223"/>
        </w:trPr>
        <w:tc>
          <w:tcPr>
            <w:tcW w:w="8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Financial income, net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9"/>
        </w:trPr>
        <w:tc>
          <w:tcPr>
            <w:tcW w:w="85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(22,534)</w:t>
            </w: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(29,066)</w:t>
            </w:r>
          </w:p>
        </w:tc>
      </w:tr>
      <w:tr>
        <w:trPr>
          <w:trHeight w:val="23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w:t>
            </w:r>
          </w:p>
        </w:tc>
      </w:tr>
      <w:tr>
        <w:trPr>
          <w:trHeight w:val="27"/>
        </w:trPr>
        <w:tc>
          <w:tcPr>
            <w:tcW w:w="8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(23,646)</w:t>
            </w:r>
          </w:p>
        </w:tc>
        <w:tc>
          <w:tcPr>
            <w:tcW w:w="3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(29,745)</w:t>
            </w: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Adjustment attributable to non-controlling interest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(6,458)</w:t>
            </w:r>
          </w:p>
        </w:tc>
      </w:tr>
      <w:tr>
        <w:trPr>
          <w:trHeight w:val="223"/>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WalkMe Ltd.</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Net loss per share attributable to WalkMe Ltd. basic and diluted</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r>
      <w:tr>
        <w:trPr>
          <w:trHeight w:val="20"/>
        </w:trPr>
        <w:tc>
          <w:tcPr>
            <w:tcW w:w="8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Weighted-average shares used in computing net loss per share attributable to ordinary shareholders,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87,288,085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83,964,074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8540" w:type="dxa"/>
            <w:vAlign w:val="bottom"/>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Includes share-based compensation expense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9"/>
                <w:szCs w:val="19"/>
                <w:color w:val="auto"/>
              </w:rPr>
            </w:pPr>
          </w:p>
        </w:tc>
      </w:tr>
      <w:tr>
        <w:trPr>
          <w:trHeight w:val="255"/>
        </w:trPr>
        <w:tc>
          <w:tcPr>
            <w:tcW w:w="8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8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19"/>
                <w:szCs w:val="19"/>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Cost of professional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3,812</w:t>
            </w:r>
          </w:p>
        </w:tc>
        <w:tc>
          <w:tcPr>
            <w:tcW w:w="100" w:type="dxa"/>
            <w:vAlign w:val="bottom"/>
          </w:tcPr>
          <w:p>
            <w:pPr>
              <w:spacing w:after="0"/>
              <w:rPr>
                <w:sz w:val="19"/>
                <w:szCs w:val="19"/>
                <w:color w:val="auto"/>
              </w:rPr>
            </w:pPr>
          </w:p>
        </w:tc>
      </w:tr>
      <w:tr>
        <w:trPr>
          <w:trHeight w:val="236"/>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16,897</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18"/>
                <w:szCs w:val="18"/>
                <w:color w:val="auto"/>
              </w:rPr>
            </w:pP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Includes amortization of acquired intangibles as follows:</w:t>
      </w:r>
    </w:p>
    <w:p>
      <w:pPr>
        <w:spacing w:after="0" w:line="172"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5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14605</wp:posOffset>
            </wp:positionV>
            <wp:extent cx="15684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1" w:lineRule="exact"/>
        <w:rPr>
          <w:sz w:val="20"/>
          <w:szCs w:val="20"/>
          <w:color w:val="auto"/>
        </w:rPr>
      </w:pPr>
    </w:p>
    <w:p>
      <w:pPr>
        <w:ind w:left="9040"/>
        <w:spacing w:after="0"/>
        <w:tabs>
          <w:tab w:leader="none" w:pos="103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26035</wp:posOffset>
            </wp:positionV>
            <wp:extent cx="15684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4" w:lineRule="exact"/>
        <w:rPr>
          <w:sz w:val="20"/>
          <w:szCs w:val="20"/>
          <w:color w:val="auto"/>
        </w:rPr>
      </w:pPr>
    </w:p>
    <w:p>
      <w:pPr>
        <w:spacing w:after="0"/>
        <w:tabs>
          <w:tab w:leader="none" w:pos="8640" w:val="left"/>
          <w:tab w:leader="none" w:pos="9580" w:val="left"/>
          <w:tab w:leader="none" w:pos="9980" w:val="left"/>
          <w:tab w:leader="none" w:pos="10840" w:val="left"/>
        </w:tabs>
        <w:rPr>
          <w:sz w:val="20"/>
          <w:szCs w:val="20"/>
          <w:color w:val="auto"/>
        </w:rPr>
      </w:pPr>
      <w:r>
        <w:rPr>
          <w:rFonts w:ascii="Arial" w:cs="Arial" w:eastAsia="Arial" w:hAnsi="Arial"/>
          <w:sz w:val="18"/>
          <w:szCs w:val="18"/>
          <w:color w:val="auto"/>
        </w:rPr>
        <w:t>Cost of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w:t>
        <w:tab/>
        <w:t>$</w:t>
      </w:r>
      <w:r>
        <w:rPr>
          <w:sz w:val="20"/>
          <w:szCs w:val="20"/>
          <w:color w:val="auto"/>
        </w:rPr>
        <w:tab/>
      </w: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94,105</w:t>
            </w:r>
          </w:p>
        </w:tc>
        <w:tc>
          <w:tcPr>
            <w:tcW w:w="100" w:type="dxa"/>
            <w:vAlign w:val="bottom"/>
            <w:shd w:val="clear" w:color="auto" w:fill="CCEEFF"/>
          </w:tcPr>
          <w:p>
            <w:pPr>
              <w:spacing w:after="0"/>
              <w:rPr>
                <w:sz w:val="18"/>
                <w:szCs w:val="18"/>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color w:val="auto"/>
              </w:rPr>
              <w:t>Short-term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125,231</w:t>
            </w:r>
          </w:p>
        </w:tc>
        <w:tc>
          <w:tcPr>
            <w:tcW w:w="100" w:type="dxa"/>
            <w:vAlign w:val="bottom"/>
          </w:tcPr>
          <w:p>
            <w:pPr>
              <w:spacing w:after="0"/>
              <w:rPr>
                <w:sz w:val="19"/>
                <w:szCs w:val="19"/>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42,187</w:t>
            </w: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Trade receivables,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45,024</w:t>
            </w: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shd w:val="clear" w:color="auto" w:fill="CCEEFF"/>
          </w:tcPr>
          <w:p>
            <w:pPr>
              <w:spacing w:after="0"/>
              <w:rPr>
                <w:sz w:val="19"/>
                <w:szCs w:val="19"/>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0"/>
                <w:szCs w:val="20"/>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330,714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43,334</w:t>
            </w: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Deferred contract acquisition costs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40,110</w:t>
            </w: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18"/>
                <w:szCs w:val="18"/>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CCEEFF"/>
          </w:tcPr>
          <w:p>
            <w:pPr>
              <w:spacing w:after="0"/>
              <w:rPr>
                <w:sz w:val="19"/>
                <w:szCs w:val="19"/>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0"/>
                <w:szCs w:val="20"/>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119,913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450,627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445,206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shareholders’ equity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00" w:type="dxa"/>
            <w:vAlign w:val="bottom"/>
            <w:shd w:val="clear" w:color="auto" w:fill="CCEEFF"/>
          </w:tcPr>
          <w:p>
            <w:pPr>
              <w:spacing w:after="0"/>
              <w:rPr>
                <w:sz w:val="19"/>
                <w:szCs w:val="19"/>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53,414</w:t>
            </w:r>
          </w:p>
        </w:tc>
        <w:tc>
          <w:tcPr>
            <w:tcW w:w="100" w:type="dxa"/>
            <w:vAlign w:val="bottom"/>
          </w:tcPr>
          <w:p>
            <w:pPr>
              <w:spacing w:after="0"/>
              <w:rPr>
                <w:sz w:val="19"/>
                <w:szCs w:val="19"/>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166,802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167,468</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r>
      <w:tr>
        <w:trPr>
          <w:trHeight w:val="23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100" w:type="dxa"/>
            <w:vAlign w:val="bottom"/>
            <w:shd w:val="clear" w:color="auto" w:fill="CCEEFF"/>
          </w:tcPr>
          <w:p>
            <w:pPr>
              <w:spacing w:after="0"/>
              <w:rPr>
                <w:sz w:val="19"/>
                <w:szCs w:val="19"/>
                <w:color w:val="auto"/>
              </w:rPr>
            </w:pPr>
          </w:p>
        </w:tc>
      </w:tr>
      <w:tr>
        <w:trPr>
          <w:trHeight w:val="236"/>
        </w:trPr>
        <w:tc>
          <w:tcPr>
            <w:tcW w:w="86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r>
      <w:tr>
        <w:trPr>
          <w:trHeight w:val="223"/>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7"/>
        </w:trPr>
        <w:tc>
          <w:tcPr>
            <w:tcW w:w="866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182,952</w:t>
            </w:r>
          </w:p>
        </w:tc>
        <w:tc>
          <w:tcPr>
            <w:tcW w:w="100" w:type="dxa"/>
            <w:vAlign w:val="bottom"/>
          </w:tcPr>
          <w:p>
            <w:pPr>
              <w:spacing w:after="0"/>
              <w:rPr>
                <w:sz w:val="20"/>
                <w:szCs w:val="20"/>
                <w:color w:val="auto"/>
              </w:rPr>
            </w:pPr>
          </w:p>
        </w:tc>
      </w:tr>
      <w:tr>
        <w:trPr>
          <w:trHeight w:val="216"/>
        </w:trPr>
        <w:tc>
          <w:tcPr>
            <w:tcW w:w="8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Share capital and additional paid-in capital</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706,642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688,636</w:t>
            </w:r>
          </w:p>
        </w:tc>
        <w:tc>
          <w:tcPr>
            <w:tcW w:w="100" w:type="dxa"/>
            <w:vAlign w:val="bottom"/>
          </w:tcPr>
          <w:p>
            <w:pPr>
              <w:spacing w:after="0"/>
              <w:rPr>
                <w:sz w:val="19"/>
                <w:szCs w:val="19"/>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(1,817)</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(456,268)</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(432,645)</w:t>
            </w:r>
          </w:p>
        </w:tc>
      </w:tr>
      <w:tr>
        <w:trPr>
          <w:trHeight w:val="236"/>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247,988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254,174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60" w:type="dxa"/>
            <w:vAlign w:val="bottom"/>
          </w:tcPr>
          <w:p>
            <w:pPr>
              <w:spacing w:after="0"/>
              <w:rPr>
                <w:sz w:val="20"/>
                <w:szCs w:val="20"/>
                <w:color w:val="auto"/>
              </w:rPr>
            </w:pPr>
            <w:r>
              <w:rPr>
                <w:rFonts w:ascii="Arial" w:cs="Arial" w:eastAsia="Arial" w:hAnsi="Arial"/>
                <w:sz w:val="18"/>
                <w:szCs w:val="18"/>
                <w:b w:val="1"/>
                <w:bCs w:val="1"/>
                <w:color w:val="auto"/>
              </w:rPr>
              <w:t>Total Liabilities, redeemable non-controlling interest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450,627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445,206</w:t>
            </w:r>
          </w:p>
        </w:tc>
        <w:tc>
          <w:tcPr>
            <w:tcW w:w="100" w:type="dxa"/>
            <w:vAlign w:val="bottom"/>
          </w:tcPr>
          <w:p>
            <w:pPr>
              <w:spacing w:after="0"/>
              <w:rPr>
                <w:sz w:val="19"/>
                <w:szCs w:val="19"/>
                <w:color w:val="auto"/>
              </w:rPr>
            </w:pPr>
          </w:p>
        </w:tc>
      </w:tr>
      <w:tr>
        <w:trPr>
          <w:trHeight w:val="21"/>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9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7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(23,646)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(29,745)</w:t>
            </w:r>
          </w:p>
        </w:tc>
      </w:tr>
      <w:tr>
        <w:trPr>
          <w:trHeight w:val="216"/>
        </w:trPr>
        <w:tc>
          <w:tcPr>
            <w:tcW w:w="7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100" w:type="dxa"/>
            <w:vAlign w:val="bottom"/>
            <w:shd w:val="clear" w:color="auto" w:fill="CCEEFF"/>
          </w:tcPr>
          <w:p>
            <w:pPr>
              <w:spacing w:after="0"/>
              <w:rPr>
                <w:sz w:val="19"/>
                <w:szCs w:val="19"/>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and liabilities, net</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Finance income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 and accretion of discount on marketable securities, net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Increase in trade receivables, net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(3,720)</w:t>
            </w: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(9,737)</w:t>
            </w: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Increase in prepaid expenses and other current and non-current assets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(2,118)</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(3,398)</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Decrease (increase) in deferred contract acquisition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Decrease in trade payables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Decrease in accrued expenses and other current liabilities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(7,942)</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(9,101)</w:t>
            </w: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revenues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100" w:type="dxa"/>
            <w:vAlign w:val="bottom"/>
            <w:shd w:val="clear" w:color="auto" w:fill="CCEEFF"/>
          </w:tcPr>
          <w:p>
            <w:pPr>
              <w:spacing w:after="0"/>
              <w:rPr>
                <w:sz w:val="19"/>
                <w:szCs w:val="19"/>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Increase in other long-term liabilities</w:t>
            </w: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0"/>
                <w:szCs w:val="20"/>
                <w:color w:val="auto"/>
              </w:rPr>
            </w:pPr>
          </w:p>
        </w:tc>
      </w:tr>
      <w:tr>
        <w:trPr>
          <w:trHeight w:val="22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29"/>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Investment in short-term deposits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(27,000)</w:t>
            </w: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deposits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shd w:val="clear" w:color="auto" w:fill="CCEEFF"/>
          </w:tcPr>
          <w:p>
            <w:pPr>
              <w:spacing w:after="0"/>
              <w:rPr>
                <w:sz w:val="19"/>
                <w:szCs w:val="19"/>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Investment in marketable securities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(10,357)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6"/>
        </w:trPr>
        <w:tc>
          <w:tcPr>
            <w:tcW w:w="7740" w:type="dxa"/>
            <w:vAlign w:val="bottom"/>
          </w:tcPr>
          <w:p>
            <w:pPr>
              <w:spacing w:after="0"/>
              <w:rPr>
                <w:sz w:val="20"/>
                <w:szCs w:val="20"/>
                <w:color w:val="auto"/>
              </w:rPr>
            </w:pPr>
            <w:r>
              <w:rPr>
                <w:rFonts w:ascii="Arial" w:cs="Arial" w:eastAsia="Arial" w:hAnsi="Arial"/>
                <w:sz w:val="18"/>
                <w:szCs w:val="18"/>
                <w:color w:val="auto"/>
              </w:rPr>
              <w:t>Capitalization of software development costs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3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(1,372)</w:t>
            </w:r>
          </w:p>
        </w:tc>
      </w:tr>
      <w:tr>
        <w:trPr>
          <w:trHeight w:val="237"/>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36,356</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options</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r>
      <w:tr>
        <w:trPr>
          <w:trHeight w:val="237"/>
        </w:trPr>
        <w:tc>
          <w:tcPr>
            <w:tcW w:w="7740" w:type="dxa"/>
            <w:vAlign w:val="bottom"/>
          </w:tcPr>
          <w:p>
            <w:pPr>
              <w:spacing w:after="0"/>
              <w:rPr>
                <w:sz w:val="20"/>
                <w:szCs w:val="20"/>
                <w:color w:val="auto"/>
              </w:rPr>
            </w:pPr>
            <w:r>
              <w:rPr>
                <w:rFonts w:ascii="Arial" w:cs="Arial" w:eastAsia="Arial" w:hAnsi="Arial"/>
                <w:sz w:val="18"/>
                <w:szCs w:val="18"/>
                <w:color w:val="auto"/>
              </w:rPr>
              <w:t>Proceeds from employees share purchase plan</w:t>
            </w: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00" w:type="dxa"/>
            <w:vAlign w:val="bottom"/>
          </w:tcPr>
          <w:p>
            <w:pPr>
              <w:spacing w:after="0"/>
              <w:rPr>
                <w:sz w:val="20"/>
                <w:szCs w:val="20"/>
                <w:color w:val="auto"/>
              </w:rPr>
            </w:pPr>
          </w:p>
        </w:tc>
      </w:tr>
      <w:tr>
        <w:trPr>
          <w:trHeight w:val="223"/>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6"/>
        </w:trPr>
        <w:tc>
          <w:tcPr>
            <w:tcW w:w="7740" w:type="dxa"/>
            <w:vAlign w:val="bottom"/>
          </w:tcPr>
          <w:p>
            <w:pPr>
              <w:spacing w:after="0"/>
              <w:rPr>
                <w:sz w:val="20"/>
                <w:szCs w:val="20"/>
                <w:color w:val="auto"/>
              </w:rPr>
            </w:pPr>
            <w:r>
              <w:rPr>
                <w:rFonts w:ascii="Arial" w:cs="Arial" w:eastAsia="Arial" w:hAnsi="Arial"/>
                <w:sz w:val="18"/>
                <w:szCs w:val="18"/>
                <w:color w:val="auto"/>
              </w:rPr>
              <w:t>Effect of foreign currency exchange rate changes on cash, cash equivalents, and restricted cash</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r>
        <w:trPr>
          <w:trHeight w:val="23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9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30,369</w:t>
            </w:r>
          </w:p>
        </w:tc>
        <w:tc>
          <w:tcPr>
            <w:tcW w:w="2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(27,383)</w:t>
            </w:r>
          </w:p>
        </w:tc>
        <w:tc>
          <w:tcPr>
            <w:tcW w:w="100" w:type="dxa"/>
            <w:vAlign w:val="bottom"/>
            <w:shd w:val="clear" w:color="auto" w:fill="CCEEFF"/>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94,428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277,251</w:t>
            </w:r>
          </w:p>
        </w:tc>
        <w:tc>
          <w:tcPr>
            <w:tcW w:w="100" w:type="dxa"/>
            <w:vAlign w:val="bottom"/>
          </w:tcPr>
          <w:p>
            <w:pPr>
              <w:spacing w:after="0"/>
              <w:rPr>
                <w:sz w:val="19"/>
                <w:szCs w:val="19"/>
                <w:color w:val="auto"/>
              </w:rPr>
            </w:pPr>
          </w:p>
        </w:tc>
      </w:tr>
      <w:tr>
        <w:trPr>
          <w:trHeight w:val="270"/>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124,797</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249,868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46"/>
        </w:trPr>
        <w:tc>
          <w:tcPr>
            <w:tcW w:w="7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GAAP to Non-GAAP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8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gross profit and gross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GAAP gross profit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53,700</w:t>
            </w:r>
          </w:p>
        </w:tc>
        <w:tc>
          <w:tcPr>
            <w:tcW w:w="3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43,080</w:t>
            </w:r>
          </w:p>
        </w:tc>
      </w:tr>
      <w:tr>
        <w:trPr>
          <w:trHeight w:val="22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3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851</w:t>
            </w: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Plus: Amortization of acquired intangibles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176</w:t>
            </w:r>
          </w:p>
        </w:tc>
      </w:tr>
      <w:tr>
        <w:trPr>
          <w:trHeight w:val="257"/>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54,591</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44,107</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GAAP gross margin</w:t>
            </w:r>
          </w:p>
        </w:tc>
        <w:tc>
          <w:tcPr>
            <w:tcW w:w="200" w:type="dxa"/>
            <w:vAlign w:val="bottom"/>
          </w:tcPr>
          <w:p>
            <w:pPr>
              <w:spacing w:after="0"/>
              <w:rPr>
                <w:sz w:val="19"/>
                <w:szCs w:val="19"/>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Non-GAAP gross margin</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GAAP 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14,272</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15,475</w:t>
            </w: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(2,369)</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(1,566)</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Non-GAAP 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11,903</w:t>
            </w:r>
          </w:p>
        </w:tc>
        <w:tc>
          <w:tcPr>
            <w:tcW w:w="3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13,909</w:t>
            </w: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GAAP sales and marketing</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44,458</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42,079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(4,611)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(3,812)</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Non-GAAP sales and marketing</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39,847</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38,267</w:t>
            </w: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GAAP general and administrative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20,747</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15,168</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(9,094)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(4,647)</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Non-GAAP general and administrative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11,653</w:t>
            </w:r>
          </w:p>
        </w:tc>
        <w:tc>
          <w:tcPr>
            <w:tcW w:w="32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10,521</w:t>
            </w: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b w:val="1"/>
                <w:bCs w:val="1"/>
                <w:color w:val="auto"/>
              </w:rPr>
              <w:t>Reconciliation of operating loss and operating margin</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(25,777)</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(29,642)</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10,876</w:t>
            </w: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of acquired intangibles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r>
      <w:tr>
        <w:trPr>
          <w:trHeight w:val="27"/>
        </w:trPr>
        <w:tc>
          <w:tcPr>
            <w:tcW w:w="84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Non-GAAP operating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(8,812)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(18,590)</w:t>
            </w:r>
          </w:p>
        </w:tc>
      </w:tr>
      <w:tr>
        <w:trPr>
          <w:trHeight w:val="20"/>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margin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00" w:type="dxa"/>
            <w:vAlign w:val="bottom"/>
          </w:tcPr>
          <w:p>
            <w:pPr>
              <w:spacing w:after="0"/>
              <w:rPr>
                <w:sz w:val="19"/>
                <w:szCs w:val="19"/>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b w:val="1"/>
                <w:bCs w:val="1"/>
                <w:color w:val="auto"/>
              </w:rPr>
              <w:t>Reconciliation of net loss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GAAP net loss attributable to WalkMe Ltd.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(26,123)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(23,029)</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Plus: Share-based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16,897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10,876</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of acquired intangibles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176</w:t>
            </w:r>
          </w:p>
        </w:tc>
      </w:tr>
      <w:tr>
        <w:trPr>
          <w:trHeight w:val="237"/>
        </w:trPr>
        <w:tc>
          <w:tcPr>
            <w:tcW w:w="8480" w:type="dxa"/>
            <w:vAlign w:val="bottom"/>
          </w:tcPr>
          <w:p>
            <w:pPr>
              <w:spacing w:after="0"/>
              <w:rPr>
                <w:sz w:val="20"/>
                <w:szCs w:val="20"/>
                <w:color w:val="auto"/>
              </w:rPr>
            </w:pPr>
            <w:r>
              <w:rPr>
                <w:rFonts w:ascii="Arial" w:cs="Arial" w:eastAsia="Arial" w:hAnsi="Arial"/>
                <w:sz w:val="18"/>
                <w:szCs w:val="18"/>
                <w:color w:val="auto"/>
              </w:rPr>
              <w:t>Plus: Adjustment attributable to non-controlling interest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(6,458)</w:t>
            </w:r>
          </w:p>
        </w:tc>
      </w:tr>
      <w:tr>
        <w:trPr>
          <w:trHeight w:val="270"/>
        </w:trPr>
        <w:tc>
          <w:tcPr>
            <w:tcW w:w="8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loss attributable to WalkMe Ltd.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32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10"/>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per share attributable to WalkMe Ltd. basic and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(0.22)</w:t>
            </w:r>
          </w:p>
        </w:tc>
      </w:tr>
      <w:tr>
        <w:trPr>
          <w:trHeight w:val="223"/>
        </w:trPr>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 used in non-GAAP per share calculations:</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GAAP weighted-average shares used to compute net loss per share, basic and diluted</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87,288,085</w:t>
            </w:r>
          </w:p>
        </w:tc>
        <w:tc>
          <w:tcPr>
            <w:tcW w:w="3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0"/>
              </w:rPr>
              <w:t>83,964,074</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Non-GAAP weighted-average shares used to compute net loss per share, basic and 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87,288,085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w w:val="90"/>
              </w:rPr>
              <w:t>83,964,074</w:t>
            </w:r>
          </w:p>
        </w:tc>
      </w:tr>
      <w:tr>
        <w:trPr>
          <w:trHeight w:val="452"/>
        </w:trPr>
        <w:tc>
          <w:tcPr>
            <w:tcW w:w="8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WalkMe Ltd.</w:t>
      </w:r>
    </w:p>
    <w:p>
      <w:pPr>
        <w:spacing w:after="0" w:line="27" w:lineRule="exact"/>
        <w:rPr>
          <w:sz w:val="20"/>
          <w:szCs w:val="20"/>
          <w:color w:val="auto"/>
        </w:rPr>
      </w:pPr>
    </w:p>
    <w:p>
      <w:pPr>
        <w:ind w:right="5080"/>
        <w:spacing w:after="0" w:line="276" w:lineRule="auto"/>
        <w:rPr>
          <w:sz w:val="20"/>
          <w:szCs w:val="20"/>
          <w:color w:val="auto"/>
        </w:rPr>
      </w:pPr>
      <w:r>
        <w:rPr>
          <w:rFonts w:ascii="Arial" w:cs="Arial" w:eastAsia="Arial" w:hAnsi="Arial"/>
          <w:sz w:val="18"/>
          <w:szCs w:val="18"/>
          <w:b w:val="1"/>
          <w:bCs w:val="1"/>
          <w:color w:val="auto"/>
        </w:rPr>
        <w:t>Reconciliation of GAAP Cash Flow from Operating Activities to Free Cash Flow (in thousands;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r>
      <w:tr>
        <w:trPr>
          <w:trHeight w:val="241"/>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Pr>
          <w:p>
            <w:pPr>
              <w:spacing w:after="0"/>
              <w:rPr>
                <w:sz w:val="20"/>
                <w:szCs w:val="20"/>
                <w:color w:val="auto"/>
              </w:rPr>
            </w:pP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(18,287)</w:t>
            </w:r>
          </w:p>
        </w:tc>
        <w:tc>
          <w:tcPr>
            <w:tcW w:w="100" w:type="dxa"/>
            <w:vAlign w:val="bottom"/>
            <w:shd w:val="clear" w:color="auto" w:fill="CCEEFF"/>
          </w:tcPr>
          <w:p>
            <w:pPr>
              <w:spacing w:after="0"/>
              <w:rPr>
                <w:sz w:val="19"/>
                <w:szCs w:val="19"/>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29"/>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software development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(1,372)</w:t>
            </w:r>
          </w:p>
        </w:tc>
      </w:tr>
      <w:tr>
        <w:trPr>
          <w:trHeight w:val="27"/>
        </w:trPr>
        <w:tc>
          <w:tcPr>
            <w:tcW w:w="8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(8,279)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(20,309)</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8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8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2023-05-17T06:23:13Z</dcterms:created>
  <dcterms:modified xsi:type="dcterms:W3CDTF">2023-05-17T06:23:13Z</dcterms:modified>
</cp:coreProperties>
</file>