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September 12, 2024,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announced the consummation of the previously reported acquisition of the Company by Parent as a result of the merger of Merger Sub with and into the Company, in accordance with the Israeli Companies Law, 5759-1999, with the Company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terms of the Agreement and Plan of Merger, dated as of June 4, 2024, by and among the Company, Parent and Merger Sub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as of the Effective Time (as defined in the Merger Agreement), each ordinary share, no par value, of the Company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issued and outstanding immediately prior to the Effective Time was automatically converted into the right to receive, without interest, an amount in cash equal to $14.00 (subject to adjustment under the Merger Agreement and less any applicable withholding taxes). The terms of the Merger were further described in the proxy statement, dated July 1, 2024, distributed by the Company to its shareholders and which was attached as Exhibit 99.1 to the Company’s Report of Foreign Private Issuer on Form 6-K that was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 2024.</w:t>
      </w:r>
    </w:p>
    <w:p>
      <w:pPr>
        <w:spacing w:after="0" w:line="19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 copy of the press release announcing the consummation of the Merger is attached to this Report of Foreign Private Issuer on Form 6-K as Exhibit 99.1.</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notified the Nasdaq Global Select Markets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of the completion of the Merger, and trading of the Company Shares on Nasdaq will be suspended effective as of the opening of trading on Nasdaq on September 12, 2024. The Company has requested that Nasdaq file a delisting application on Form 25 with the SEC to report the delisting of the Company Shares from Nasdaq. The Company expects to terminate the registration of its Company Shares under the Securities Exchange Act of 1934, as amended, and to therefore cease to report to the SEC, approximately 10 days after the consummation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September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SAP Completes Acquisition of WalkMe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SAP NEWSBYTE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 12,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SAP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SAP) today announced it has successfully completed its acquisition of WalkMe Ltd., a leading</w:t>
      </w:r>
    </w:p>
    <w:p>
      <w:pPr>
        <w:spacing w:after="0" w:line="31"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digital adoption platform company listed on the Nasdaq Global Select Market (NASDAQ: WKME). WalkMe's innovative technology enables seamless workflow execution across business software applications, improving user experience and adoption and supporting business transformation. WalkeMeX’s AI capabilities will supercharge SAP's copilot Joule with context-aware and proactive help across workflows, allowing users to become more productive.</w:t>
      </w:r>
    </w:p>
    <w:p>
      <w:pPr>
        <w:spacing w:after="0" w:line="16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As a result of the acquisition, each ordinary issued and outstanding share of WalkMe Ltd. has been converted into the right for its shareholders to receive US$14.00, subject to adjustment, per share in cash. The completion of the acquisition has been duly reported to the Nasdaq Stock Market, and trading of WalkMe's ordinary shares is expected to be suspended at the close of market today pending delisting. With an equity value of about US$1.5 billion, this represents an approximate 45% premium to WalkMe's closing share price on June 4, 2024, the day SAP and WalkMe agreed to binding terms of the acquisition.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the </w:t>
      </w:r>
      <w:r>
        <w:rPr>
          <w:rFonts w:ascii="Times New Roman" w:cs="Times New Roman" w:eastAsia="Times New Roman" w:hAnsi="Times New Roman"/>
          <w:sz w:val="18"/>
          <w:szCs w:val="18"/>
          <w:u w:val="single" w:color="auto"/>
          <w:color w:val="auto"/>
        </w:rPr>
        <w:t>SAP News Center</w:t>
      </w:r>
      <w:r>
        <w:rPr>
          <w:rFonts w:ascii="Times New Roman" w:cs="Times New Roman" w:eastAsia="Times New Roman" w:hAnsi="Times New Roman"/>
          <w:sz w:val="18"/>
          <w:szCs w:val="18"/>
          <w:color w:val="auto"/>
        </w:rPr>
        <w:t xml:space="preserve">. Follow SAP at </w:t>
      </w:r>
      <w:r>
        <w:rPr>
          <w:rFonts w:ascii="Times New Roman" w:cs="Times New Roman" w:eastAsia="Times New Roman" w:hAnsi="Times New Roman"/>
          <w:sz w:val="18"/>
          <w:szCs w:val="18"/>
          <w:u w:val="single" w:color="auto"/>
          <w:color w:val="auto"/>
        </w:rPr>
        <w:t>@SAPNews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financial community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Alexandra Steiger, +49 6227-7-60437, </w:t>
      </w:r>
      <w:r>
        <w:rPr>
          <w:rFonts w:ascii="Times New Roman" w:cs="Times New Roman" w:eastAsia="Times New Roman" w:hAnsi="Times New Roman"/>
          <w:sz w:val="18"/>
          <w:szCs w:val="18"/>
          <w:u w:val="single" w:color="auto"/>
          <w:color w:val="auto"/>
        </w:rPr>
        <w:t>investor@sap.com</w:t>
      </w:r>
      <w:r>
        <w:rPr>
          <w:rFonts w:ascii="Times New Roman" w:cs="Times New Roman" w:eastAsia="Times New Roman" w:hAnsi="Times New Roman"/>
          <w:sz w:val="18"/>
          <w:szCs w:val="18"/>
          <w:color w:val="auto"/>
        </w:rPr>
        <w:t>, CEST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press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Joellen Perry, +1 650-445-6780, joellen.perry@sap.com, 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1062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Daniel Reinhardt, +49 6227-7-40201, </w:t>
      </w:r>
      <w:r>
        <w:rPr>
          <w:rFonts w:ascii="Times New Roman" w:cs="Times New Roman" w:eastAsia="Times New Roman" w:hAnsi="Times New Roman"/>
          <w:sz w:val="18"/>
          <w:szCs w:val="18"/>
          <w:u w:val="single" w:color="auto"/>
          <w:color w:val="auto"/>
        </w:rPr>
        <w:t>daniel.reinhardt@sap.com</w:t>
      </w:r>
      <w:r>
        <w:rPr>
          <w:rFonts w:ascii="Times New Roman" w:cs="Times New Roman" w:eastAsia="Times New Roman" w:hAnsi="Times New Roman"/>
          <w:sz w:val="18"/>
          <w:szCs w:val="18"/>
          <w:color w:val="auto"/>
        </w:rPr>
        <w:t>, CEST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Ofir Bloch, </w:t>
      </w:r>
      <w:r>
        <w:rPr>
          <w:rFonts w:ascii="Times New Roman" w:cs="Times New Roman" w:eastAsia="Times New Roman" w:hAnsi="Times New Roman"/>
          <w:sz w:val="18"/>
          <w:szCs w:val="18"/>
          <w:u w:val="single" w:color="auto"/>
          <w:color w:val="auto"/>
        </w:rPr>
        <w:t>press@walkme.com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SAP Press Room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press@sap.com</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3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This document contains forward-looking statements, which are predictions, projections, or other statements about future events. These statements are based on current expectations, forecasts, and assumptions that are subject to risks and uncertainties that could cause actual results and outcomes to materially differ. Additional information regarding these risks and uncertainties may be found in our filings with the Securities and Exchange Commission, including but not limited to the risk factors section of SAP’s 2023 Annual Report on Form 20-F.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 SAP SE. All rights reserved.</w:t>
      </w:r>
    </w:p>
    <w:p>
      <w:pPr>
        <w:spacing w:after="0" w:line="27"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8"/>
          <w:szCs w:val="18"/>
          <w:color w:val="auto"/>
        </w:rPr>
        <w:t xml:space="preserve">SAP and other SAP products and services mentioned herein as well as their respective logos are trademarks or registered trademarks of SAP SE (or its affiliates) in Germany and other countries. Please see </w:t>
      </w:r>
      <w:r>
        <w:rPr>
          <w:rFonts w:ascii="Times New Roman" w:cs="Times New Roman" w:eastAsia="Times New Roman" w:hAnsi="Times New Roman"/>
          <w:sz w:val="18"/>
          <w:szCs w:val="18"/>
          <w:u w:val="single" w:color="auto"/>
          <w:color w:val="auto"/>
        </w:rPr>
        <w:t>https://www.sap.com/copyright</w:t>
      </w:r>
      <w:r>
        <w:rPr>
          <w:rFonts w:ascii="Times New Roman" w:cs="Times New Roman" w:eastAsia="Times New Roman" w:hAnsi="Times New Roman"/>
          <w:sz w:val="18"/>
          <w:szCs w:val="18"/>
          <w:color w:val="auto"/>
        </w:rPr>
        <w:t xml:space="preserve"> for additional trademark information and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40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2024-09-12T08:21:09Z</dcterms:created>
  <dcterms:modified xsi:type="dcterms:W3CDTF">2024-09-12T08:21:09Z</dcterms:modified>
</cp:coreProperties>
</file>