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Results</w:t>
      </w:r>
    </w:p>
    <w:p>
      <w:pPr>
        <w:spacing w:after="0" w:line="24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May 22, 2024, WalkMe Ltd. (the “Company”) issued a press release titled “WalkMe Ltd. Announces First Quarter 2024 Financial Results.” A copy of the press release is furnished as Exhibit 99.1 herewith.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GAAP financial information contained in the (i) condensed consolidated statements of operations, (ii) condensed consolidated balance sheets and</w:t>
      </w:r>
    </w:p>
    <w:p>
      <w:pPr>
        <w:spacing w:after="0" w:line="27" w:lineRule="exact"/>
        <w:rPr>
          <w:sz w:val="20"/>
          <w:szCs w:val="20"/>
          <w:color w:val="auto"/>
        </w:rPr>
      </w:pPr>
    </w:p>
    <w:p>
      <w:pPr>
        <w:ind w:firstLine="8"/>
        <w:spacing w:after="0" w:line="292" w:lineRule="auto"/>
        <w:tabs>
          <w:tab w:leader="none" w:pos="3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 included in the press release attached as Exhibit 99.1 to this Report on Form 6-K is hereby incorporated by reference into the Company’s Registration Statements on Form S-8 (File Nos. 333-257354, 333-263823, 333-270537 and 333-278034).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22, 2024 titled “WalkMe Ltd. Announces First Quarter 2024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22, 2024</w:t>
      </w:r>
      <w:r>
        <w:rPr>
          <w:sz w:val="20"/>
          <w:szCs w:val="20"/>
          <w:color w:val="auto"/>
        </w:rPr>
        <w:tab/>
      </w:r>
      <w:r>
        <w:rPr>
          <w:rFonts w:ascii="Times New Roman" w:cs="Times New Roman" w:eastAsia="Times New Roman" w:hAnsi="Times New Roman"/>
          <w:sz w:val="18"/>
          <w:szCs w:val="18"/>
          <w:color w:val="auto"/>
        </w:rPr>
        <w:t>By: /s/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Hagit Ynon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Announces First Quarter 2024 Financial Results</w:t>
      </w:r>
    </w:p>
    <w:p>
      <w:pPr>
        <w:spacing w:after="0" w:line="28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1Q24 Revenue of $68.6 million at the high end of the guidance range.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1Q24 Non-GAAP Operating Income of $4.4 million or 6% compared to a loss of ($8.8) million or (13%) in 1Q23.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high Free Cash Flow of $16.6 million and 24% margin compared to cash burn of ($8.3) million and (13%) in 1Q23.</w:t>
      </w:r>
    </w:p>
    <w:p>
      <w:pPr>
        <w:spacing w:after="0" w:line="9" w:lineRule="exact"/>
        <w:rPr>
          <w:rFonts w:ascii="Times New Roman" w:cs="Times New Roman" w:eastAsia="Times New Roman" w:hAnsi="Times New Roman"/>
          <w:sz w:val="18"/>
          <w:szCs w:val="18"/>
          <w:color w:val="auto"/>
        </w:rPr>
      </w:pPr>
    </w:p>
    <w:p>
      <w:pPr>
        <w:ind w:left="660" w:right="80" w:hanging="328"/>
        <w:spacing w:after="0" w:line="19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Introducing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i w:val="1"/>
          <w:iCs w:val="1"/>
          <w:color w:val="auto"/>
        </w:rPr>
        <w:t>, the industry’s first always on, contextual AI copilot that proactively delivers next best actions to users across any workflow or application.</w:t>
      </w:r>
    </w:p>
    <w:p>
      <w:pPr>
        <w:spacing w:after="0" w:line="20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May 22,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WalkMe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(NASDAQ:WKME), a leading provider of digital adoption solutions for effectively navigating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change, today announced financial results for its first quarter ended March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43"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“Q1 has been a great kickoff as we turn the corner on growth with a focus on doubling our net new ARR in 2024," said Dan Adika, CEO of WalkMe. “GenAI has created a huge opportunity for WalkMe and with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our new contextual AI copilot, organizations will finally have the power to infuse GenAI right into the flow of work for every employee in any workflow.”</w:t>
      </w:r>
    </w:p>
    <w:p>
      <w:pPr>
        <w:spacing w:after="0" w:line="22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“I’m pleased we achieved the high end of our revenue guidance range and outperformed our profitability guidance with a record high free cash flow for the quarter,” said Hagit Ynon, CFO of WalkMe. “We are investing in innovation and our growth drivers as we maintain flexibility with our strong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239" w:lineRule="exact"/>
        <w:rPr>
          <w:sz w:val="20"/>
          <w:szCs w:val="20"/>
          <w:color w:val="auto"/>
        </w:rPr>
      </w:pPr>
    </w:p>
    <w:p>
      <w:pPr>
        <w:ind w:left="660" w:right="300" w:hanging="328"/>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Subscription revenue was $64.4 million, an increase of 6% year-over-year. Total revenue was $68.6 million, an increase of 4% year-over-year.</w:t>
      </w: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color w:val="auto"/>
        </w:rPr>
        <w:t>: GAAP Gross margin was 86%, compared to 81% in the first quarter of 2023. Non-GAAP Gross margin was 86%,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 in the first quarter of 2023.</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$7.9 million, or 12% of total revenue, compared to $25.8 million, or 39% in the first quarter of 2023.</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Income: </w:t>
      </w:r>
      <w:r>
        <w:rPr>
          <w:rFonts w:ascii="Times New Roman" w:cs="Times New Roman" w:eastAsia="Times New Roman" w:hAnsi="Times New Roman"/>
          <w:sz w:val="18"/>
          <w:szCs w:val="18"/>
          <w:color w:val="auto"/>
        </w:rPr>
        <w:t>was $4.4 million or 6% of total revenue, compared to a loss of ($8.8) million, or (13%)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ind w:left="660" w:right="5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Non-GAAP Net Income Per Share of $0.07 and GAAP Net Loss Per Share of ($0.07),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($0.08) and ($0.30) in the first quarter of 2023 respectively.</w:t>
      </w:r>
    </w:p>
    <w:p>
      <w:pPr>
        <w:ind w:left="660" w:right="2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Cash Flow</w:t>
      </w:r>
      <w:r>
        <w:rPr>
          <w:rFonts w:ascii="Times New Roman" w:cs="Times New Roman" w:eastAsia="Times New Roman" w:hAnsi="Times New Roman"/>
          <w:sz w:val="18"/>
          <w:szCs w:val="18"/>
          <w:color w:val="auto"/>
        </w:rPr>
        <w:t>: Net cash provided by operating activity was $17.8 million, or 26% of total revenue, compared to ($7.5) million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activity or (11%) in the first quarter of 2023.</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a positive $16.6 million or 24% of total revenue, compared to negative ($8.3) million, or (13%) in the first quarter of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Short-term Deposits and Marketable Securities: </w:t>
      </w:r>
      <w:r>
        <w:rPr>
          <w:rFonts w:ascii="Times New Roman" w:cs="Times New Roman" w:eastAsia="Times New Roman" w:hAnsi="Times New Roman"/>
          <w:sz w:val="18"/>
          <w:szCs w:val="18"/>
          <w:color w:val="auto"/>
        </w:rPr>
        <w:t>were $339.6 million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33" w:lineRule="exact"/>
        <w:rPr>
          <w:sz w:val="20"/>
          <w:szCs w:val="20"/>
          <w:color w:val="auto"/>
        </w:rPr>
      </w:pPr>
    </w:p>
    <w:p>
      <w:pPr>
        <w:jc w:val="both"/>
        <w:ind w:left="660" w:right="200" w:hanging="328"/>
        <w:spacing w:after="0" w:line="18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introduced its newest AI offering,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democratizes the AI revolution to the entire workforce – regardless of digital dexterity or comfort with technology by suggesting the next best action to users right where they are, without needing to be prompted. WalkMe</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is the only cross-application, contextual AI copilot that proactively meets the user wherever they are, within the flow of work.</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Cognizant to our Global Partner ecosystem further expanding the WalkMe ecosystem to leading global system integrators.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gathered key industry analysts in New York City earlier this month for a milestone analyst day event focused on powering successful generative AI transformation with WalkMe’s patented AI-driven digital adoption.</w:t>
      </w:r>
    </w:p>
    <w:p>
      <w:pPr>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will gather changemakers at its annual Realize conference virtually on June 18, 2024. This exciting annual event engages customers and partners, demonstrating what WalkMe can do for them — both today and tomorrow.</w:t>
      </w:r>
    </w:p>
    <w:p>
      <w:pPr>
        <w:ind w:left="660" w:right="3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Reached a new high of 42 customers with over $1 million in annualized recurring revenue (“ARR”) and 536 customers with over $100,000 in ARR as of March 31, 2024.</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DAP customers of 195 as of March 31, 2024, representing DAP customer count growth of 8% year-over-year.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2024, the Company currently expects:</w:t>
      </w:r>
    </w:p>
    <w:p>
      <w:pPr>
        <w:spacing w:after="0" w:line="2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$69 to $70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$2.3 to $3.3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2024, the Company currently expects: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$279 to $283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Non-GAAP Operating Income guidance to the range of $12.5 to $15 million</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section titled “Non-GAAP Financial Measures and Key Performance Indicators” below contains a description of the non-GAAP financial measures and Key Performance Indicators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19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3"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WalkMe will host a conference call and live webcast for analysts and investors at 5:00 a.m. Pacific Time on May 22, 2024. The press release with the financial results as well as the investor presentation materials will be accessible from the Company’s website prior to the conference call.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conference call will be accessible on the WalkMe investor relations website at https://ir.walkme.com.</w:t>
      </w:r>
    </w:p>
    <w:p>
      <w:pPr>
        <w:spacing w:after="0" w:line="239"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8"/>
          <w:szCs w:val="18"/>
          <w:color w:val="auto"/>
        </w:rPr>
        <w:t>Approximately one hour after completion of the live call and for at least 30 days thereafter, an archived version of the webcast will be available on the Company’s investor relations website at https://ir.walkme.com.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and Other Information:</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of our website.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Key Performance Indicators:</w:t>
      </w:r>
    </w:p>
    <w:p>
      <w:pPr>
        <w:spacing w:after="0" w:line="2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i w:val="1"/>
          <w:iCs w:val="1"/>
          <w:color w:val="auto"/>
        </w:rPr>
        <w:t>Non-GAAP Gross Profit and Non-GAAP Gross Margin</w:t>
      </w:r>
      <w:r>
        <w:rPr>
          <w:rFonts w:ascii="Times New Roman" w:cs="Times New Roman" w:eastAsia="Times New Roman" w:hAnsi="Times New Roman"/>
          <w:sz w:val="18"/>
          <w:szCs w:val="18"/>
          <w:color w:val="auto"/>
        </w:rPr>
        <w:t>. We define Non-GAAP Gross Profit as gross profit excluding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acquired intangibles and restructuring expenses.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0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i w:val="1"/>
          <w:iCs w:val="1"/>
          <w:color w:val="auto"/>
        </w:rPr>
        <w:t xml:space="preserve">Non-GAAP Operating Income (Loss) and Non-GAAP Operating Margin. </w:t>
      </w:r>
      <w:r>
        <w:rPr>
          <w:rFonts w:ascii="Times New Roman" w:cs="Times New Roman" w:eastAsia="Times New Roman" w:hAnsi="Times New Roman"/>
          <w:sz w:val="17"/>
          <w:szCs w:val="17"/>
          <w:color w:val="auto"/>
        </w:rPr>
        <w:t>We define Non-GAAP Operating Income (Loss) as net income (loss)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excluding share-based compensation, amortization and impairment of acquired intangible assets, restructuring expenses and non-recurring legal settlement expenses related to a complex class action lawsuit and related claims which are considered outside of the company’s ordinary course of business.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i w:val="1"/>
          <w:iCs w:val="1"/>
          <w:color w:val="auto"/>
        </w:rPr>
        <w:t>Non-GAAP Net Income (Loss) attributable to WalkMe Ltd</w:t>
      </w:r>
      <w:r>
        <w:rPr>
          <w:rFonts w:ascii="Times New Roman" w:cs="Times New Roman" w:eastAsia="Times New Roman" w:hAnsi="Times New Roman"/>
          <w:sz w:val="18"/>
          <w:szCs w:val="18"/>
          <w:color w:val="auto"/>
        </w:rPr>
        <w:t>. We define Non-GAAP Net Income (Loss) attributable to WalkMe Ltd. as Net Income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WalkMe Ltd. excluding share-based compensation, amortization and impairment of acquired intangible assets, restructuring expenses, non-recurring legal settlement expenses related to a complex class action lawsuit and related claims which are considered outside of the company’s ordinary course of business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basic and diluted.</w:t>
      </w:r>
    </w:p>
    <w:p>
      <w:pPr>
        <w:spacing w:after="0" w:line="19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1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ARR. </w:t>
      </w:r>
      <w:r>
        <w:rPr>
          <w:rFonts w:ascii="Times New Roman" w:cs="Times New Roman" w:eastAsia="Times New Roman" w:hAnsi="Times New Roman"/>
          <w:sz w:val="18"/>
          <w:szCs w:val="18"/>
          <w:color w:val="auto"/>
        </w:rPr>
        <w:t>We define ARR as the annualized value of customer subscription contracts as of the measurement date, assuming any contract that expires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19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Enterprise-Wide DAP Customers: </w:t>
      </w:r>
      <w:r>
        <w:rPr>
          <w:rFonts w:ascii="Times New Roman" w:cs="Times New Roman" w:eastAsia="Times New Roman" w:hAnsi="Times New Roman"/>
          <w:sz w:val="18"/>
          <w:szCs w:val="18"/>
          <w:color w:val="auto"/>
        </w:rPr>
        <w:t>We define Enterprise-Wide DAP Customers as those who have purchased enterprise-wide subscriptions or who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w:t>
      </w:r>
    </w:p>
    <w:p>
      <w:pPr>
        <w:spacing w:after="0" w:line="19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reconciliation tables provided in this press release. The accompanying reconciliation tables have more details on the GAAP financial measures that are most directly comparable to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future financial results, including revenue and non-GAAP operating loss guidance, and expectations regarding the Company’s ARR growth, operations and future profitability; the capabilities of and demand for the Company’s services including its generative AI offerings; the growth and evolution of the digital adoption platform industry; the Company’s participation in upcoming conferences, the Company's future financial strategy and competitive market position within the industry are all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risks related to the war in Israel and the related challenges to the political, economic and security conditions in Israel and its impact on our business, financial performance and our actions designed to mitigate such impact;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including recent declines in the value of the Israeli shekel following Hamas’ attacks against Israel;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18, 2024,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WalkMe</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WalkMe (WKME) pioneered the world’s leading Digital Adoption Platform (DAP) so companies can effectively navigate the constant change brought on by technology. With WalkMe, organizations drive enterprise productivity and reduce risk by ensuring consistent, responsible, and efficient adoption of software and the workflows it powers. Our AI-driven platform sits on top of an organization’s tech stack, identifies where people experience friction, and delivers the personalized guidance and automation needed to get the job done, right in the flow of work. Customers like IBM, Nestle, ThermoFisher Scientific, and the U.S. Dept. of Defense trust WalkMe to create the people-centric experiences required to boost the effectiveness of their workflows and maximize software ROI.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Melanie Pasch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press@walkme.com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Streppa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8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60,629</w:t>
            </w:r>
          </w:p>
        </w:tc>
      </w:tr>
      <w:tr>
        <w:trPr>
          <w:trHeight w:val="237"/>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65,892</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6"/>
                <w:szCs w:val="26"/>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6,389</w:t>
            </w:r>
          </w:p>
        </w:tc>
      </w:tr>
      <w:tr>
        <w:trPr>
          <w:trHeight w:val="237"/>
        </w:trPr>
        <w:tc>
          <w:tcPr>
            <w:tcW w:w="86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5,803</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53,700</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14,272</w:t>
            </w:r>
          </w:p>
        </w:tc>
      </w:tr>
      <w:tr>
        <w:trPr>
          <w:trHeight w:val="229"/>
        </w:trPr>
        <w:tc>
          <w:tcPr>
            <w:tcW w:w="8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44,458</w:t>
            </w:r>
          </w:p>
        </w:tc>
      </w:tr>
      <w:tr>
        <w:trPr>
          <w:trHeight w:val="237"/>
        </w:trPr>
        <w:tc>
          <w:tcPr>
            <w:tcW w:w="86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20,747</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(25,777)</w:t>
            </w:r>
          </w:p>
        </w:tc>
      </w:tr>
      <w:tr>
        <w:trPr>
          <w:trHeight w:val="237"/>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(22,534)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(23,646)</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ordinary shareholders, basic and diluted</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91,321,856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87,288,085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8680" w:type="dxa"/>
            <w:vAlign w:val="bottom"/>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share-based compensation expense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8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16,897</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Includes amortization of acquired intangibles as follows:</w:t>
      </w:r>
    </w:p>
    <w:p>
      <w:pPr>
        <w:spacing w:after="0" w:line="11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22860</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600" w:val="left"/>
          <w:tab w:leader="none" w:pos="10000" w:val="left"/>
          <w:tab w:leader="none" w:pos="10940" w:val="left"/>
        </w:tabs>
        <w:rPr>
          <w:sz w:val="20"/>
          <w:szCs w:val="20"/>
          <w:color w:val="auto"/>
        </w:rPr>
      </w:pPr>
      <w:r>
        <w:rPr>
          <w:rFonts w:ascii="Times New Roman" w:cs="Times New Roman" w:eastAsia="Times New Roman" w:hAnsi="Times New Roman"/>
          <w:sz w:val="18"/>
          <w:szCs w:val="18"/>
          <w:color w:val="auto"/>
        </w:rPr>
        <w:t>Cost of revenues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w:t>
        <w:tab/>
        <w:t>$</w:t>
      </w:r>
      <w:r>
        <w:rPr>
          <w:sz w:val="20"/>
          <w:szCs w:val="20"/>
          <w:color w:val="auto"/>
        </w:rPr>
        <w:tab/>
      </w: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177,223</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60,290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40,494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8,739</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356,643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56,282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469,578</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454,057</w:t>
            </w: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47,772</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161,981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8,222</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748,801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(494,578)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(489,132)</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469,578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454,057</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1"/>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(23,646)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and liabilities,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prepaid expenses and other current and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deferred contract acquisition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(10,357)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restricted deposits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 restricted cash</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30,369</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177,223</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193,002</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124,797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8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58,698</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53,700</w:t>
            </w: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w:t>
            </w: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14,272</w:t>
            </w: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(2,537)</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(2,369)</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11,903</w:t>
            </w: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GAAP sales and marketing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41,428</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44,458</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(5,394)</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(4,611)</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39,847</w:t>
            </w: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20,747</w:t>
            </w: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(3,764)</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(9,094)</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11,653</w:t>
            </w: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and operating margin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(7,892)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(25,777)</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16,897</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(8,812)</w:t>
            </w: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attributable to WalkMe Ltd.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(6,146)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(26,123)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16,897</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3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Plus: Adjustment attributable to non-controlling interest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r>
      <w:tr>
        <w:trPr>
          <w:trHeight w:val="27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attributable to WalkMe Ltd.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80" w:type="dxa"/>
            <w:vAlign w:val="bottom"/>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220" w:type="dxa"/>
            <w:vAlign w:val="bottom"/>
            <w:shd w:val="clear" w:color="auto" w:fill="CCEEFF"/>
          </w:tcPr>
          <w:p>
            <w:pPr>
              <w:spacing w:after="0"/>
              <w:rPr>
                <w:sz w:val="23"/>
                <w:szCs w:val="23"/>
                <w:color w:val="auto"/>
              </w:rPr>
            </w:pPr>
          </w:p>
        </w:tc>
      </w:tr>
      <w:tr>
        <w:trPr>
          <w:trHeight w:val="210"/>
        </w:trPr>
        <w:tc>
          <w:tcPr>
            <w:tcW w:w="8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 attributable to WalkMe Ltd.</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r>
      <w:tr>
        <w:trPr>
          <w:trHeight w:val="210"/>
        </w:trPr>
        <w:tc>
          <w:tcPr>
            <w:tcW w:w="8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non-GAAP per share calculations:</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weighted-average shares used to compute net income (loss) per share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91,321,856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87,288,085</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96,556,802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87,288,085</w:t>
            </w:r>
          </w:p>
        </w:tc>
      </w:tr>
      <w:tr>
        <w:trPr>
          <w:trHeight w:val="407"/>
        </w:trPr>
        <w:tc>
          <w:tcPr>
            <w:tcW w:w="8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ind w:right="5060"/>
        <w:spacing w:after="0" w:line="292" w:lineRule="auto"/>
        <w:rPr>
          <w:sz w:val="20"/>
          <w:szCs w:val="20"/>
          <w:color w:val="auto"/>
        </w:rPr>
      </w:pPr>
      <w:r>
        <w:rPr>
          <w:rFonts w:ascii="Times New Roman" w:cs="Times New Roman" w:eastAsia="Times New Roman" w:hAnsi="Times New Roman"/>
          <w:sz w:val="18"/>
          <w:szCs w:val="18"/>
          <w:b w:val="1"/>
          <w:bCs w:val="1"/>
          <w:color w:val="auto"/>
        </w:rPr>
        <w:t>Reconciliation of GAAP Cash Flow from Operating Activities to Free Cash Flow (in thousands;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3"/>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2024-05-22T06:05:53Z</dcterms:created>
  <dcterms:modified xsi:type="dcterms:W3CDTF">2024-05-22T06:05:53Z</dcterms:modified>
</cp:coreProperties>
</file>