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001-40490</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43" w:lineRule="exact"/>
        <w:rPr>
          <w:sz w:val="20"/>
          <w:szCs w:val="20"/>
          <w:color w:val="auto"/>
        </w:rPr>
      </w:pPr>
    </w:p>
    <w:p>
      <w:pPr>
        <w:jc w:val="both"/>
        <w:ind w:firstLine="520"/>
        <w:spacing w:after="0" w:line="269" w:lineRule="auto"/>
        <w:rPr>
          <w:sz w:val="20"/>
          <w:szCs w:val="20"/>
          <w:color w:val="auto"/>
        </w:rPr>
      </w:pPr>
      <w:r>
        <w:rPr>
          <w:rFonts w:ascii="Times New Roman" w:cs="Times New Roman" w:eastAsia="Times New Roman" w:hAnsi="Times New Roman"/>
          <w:sz w:val="18"/>
          <w:szCs w:val="18"/>
          <w:color w:val="auto"/>
        </w:rPr>
        <w:t>WalkMe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hold a special and annual general meeting of the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on August 7, 2024 at 4:00 p.m. Israel Time (9:00 a.m. Eastern Time) at the principal executive offices of the Company, located at 1 Walter Moses St. Tel Aviv 6789903, Israel. Only shareholders of record as of the close of business on June 27, 2024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are entitled to notice of the Meeting and to vote at the Meeting or any adjournment, postponement or other delay thereof. A copy of the notice for the Meeting is attached to this Report of Foreign Private Issuer on Form 6-K as Exhibit 99.1. The Company intends to furnish copies of a proxy statement, describing the various matters to be voted on at the Meeting, along with a form of proxy card and other documents to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Form 6-K on or around July 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43"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Meeting, the Company will send to its shareholders of record as of the Record Date, and will forward for distribution to beneficial shareholders who hold ordinary shares of the Company through a bank, broker or other nominee serving as a record holder as of the Record Date, the proxy statement describing the proposals, including a proposal to approve the merger of Hummingbird Acquisition Corp Ltd., a company organized under the laws of the State of Israel and a wholly owned subsidiary of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with and into the Company, with the Company surviving the merger and becoming a wholly owned subsidiary of Parent, to be voted upon at the Meeting, as well as logistical information related to the Meeting. Along with a proxy statement, the Company will also send or forward a proxy card or voting instruction form enabling shareholders to submit their votes on such proposals.</w:t>
      </w:r>
    </w:p>
    <w:p>
      <w:pPr>
        <w:spacing w:after="0" w:line="19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 xml:space="preserve">This communication is not a substitution for the proxy statement, proxy card or for any other documents that the Company may furnish to the SEC or send to shareholders in connection with the proposed merger. INVESTORS ARE URGED TO READ THE PROXY STATEMENT, PROXY CARD AND ANY OTHER RELEVANT MATERIALS (WHEN THEY BECOME AVAILABLE) FILED OR FURNISHED TO THE SEC CAREFULLY AND IN THEIR ENTIRETY BEFORE MAKING ANY VOTING OR INVESTMENT DECISION WITH RESPECT TO THE PROPOSED MERGER BECAUSE THEY CONTAIN OR WILL CONTAIN IMPORTANT INFORMATION ABOUT THE COMPANY AND THE PROPOSED MERGER. The proxy statement, proxy card and certain other relevant materials (when they become available) and any other documents submitted by the Company to the SEC may be obtained free of charge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the Company’s website at </w:t>
      </w:r>
      <w:r>
        <w:rPr>
          <w:rFonts w:ascii="Times New Roman" w:cs="Times New Roman" w:eastAsia="Times New Roman" w:hAnsi="Times New Roman"/>
          <w:sz w:val="18"/>
          <w:szCs w:val="18"/>
          <w:i w:val="1"/>
          <w:iCs w:val="1"/>
          <w:color w:val="auto"/>
        </w:rPr>
        <w:t>ir.walkme.com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by directing the request to the following address: WalkMe Ltd., 1 Walter Moses St., Tel Aviv 6789903, Israel, Attn: Mr. Paul Shinn, General Counsel. The contents of WalkMe’s website are not deemed to be incorporated by reference into the Form 6-K or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ind w:firstLine="510"/>
        <w:spacing w:after="0" w:line="297" w:lineRule="auto"/>
        <w:rPr>
          <w:sz w:val="20"/>
          <w:szCs w:val="20"/>
          <w:color w:val="auto"/>
        </w:rPr>
      </w:pPr>
      <w:r>
        <w:rPr>
          <w:rFonts w:ascii="Times New Roman" w:cs="Times New Roman" w:eastAsia="Times New Roman" w:hAnsi="Times New Roman"/>
          <w:sz w:val="18"/>
          <w:szCs w:val="18"/>
          <w:color w:val="auto"/>
        </w:rPr>
        <w:t>This Report of Foreign Private Issuer on Form 6-K (including exhibits hereto) is hereby incorporated by reference into the Company’s previously filed Form S-8 Registration Statements (File Nos. 333-257354, 333-263823, 333-270537 and 333-278034).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Report of Foreign Private Issuer on Form 6-K contains “forward-looking statements” within the meaning of the “safe harbor” provisions of the Private Securities Litigation Reform Act of 1995 and other applicable securities laws. All statements other than statements of historical fact, including statements regarding the proposed acquisition of the Company by Parent, the expected timing of the Meeting and the furnishing of the proxy statement, proxy card and other materials and any other statements regarding events or developments that may occur in the future, may be “forward-looking statements” for purposes of federal and state securities laws. These forward-looking statements, involve a number of risks and uncertainties. Words such as “expects,” “anticipates,” “intends,” “plans,” “believes,” “seeks,” “estimates,” “predicts,” “targets,” “would,” “will,” “should,” “may” and variations of such words and similar expressions are intended to identify such forward-looking statements. Such statements are based on management’s expectations as of the date they are first made, are not guarantees of future performance and involve certain risks, uncertainties and assumptions that are difficult to predict. Neither Parent nor the Company can give any assurances that the expectations in such forward-looking statements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proposed transaction, the satisfaction of the conditions to the consummation of the proposed transaction, including the receipt of certain regulatory approvals, and the timing of the closing of the proposed transaction; the occurrence of any event, change or other circumstance that could give rise to the termination of the proposed transaction; the potential that the Company’s shareholders may not approve the proposed transaction; the ability to successfully integrate operations and employees; the ability to realize anticipated benefits and synergies of the proposed transaction as rapidly or to the extent anticipated by financial analysts or investors; the potential impact of the announcement of the proposed transaction on operating results, business generally and business relationships, including with employees, customers, suppliers and competitors; unanticipated restructuring costs may be incurred or undisclosed liabilities assumed; actual or threatened legal proceedings that have been or may be instituted against Parent or the Company in connection with the proposed transaction or otherwise; the ability and costs related to retaining key personnel and clients; risks related to diverting management’s attention from ongoing business operations; delays, challenges, costs, fees, expenses and charges related to the proposed transaction; actions by competitors; general adverse economic, political, social and security conditions in the regions and industries in which Parent and the Company operate, including relating to Israel’s ongoing war with Hamas and other terrorist organizations in the Middle East and general hostilities; exposure to inflation, currency rate and interest rate fluctuations and risks associated with doing business locally and internationally, as well as fluctuations in the market price of Parent and the Company’s respective traded securities; natural catastrophes, any pandemic, epidemic or outbreak of infectious disease, warfare, protests and riots, and terrorist attacks; and those additional risks and factors discussed in reports filed or furnished with the SEC by Parent and the Company, including Parent’s and the Company’s most recent respective Annual Reports on Form 20-F and in any subsequent reports on Form 6-K, each of which is on file with or furnished to the SEC and available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Reports filed or furnished with the SEC by Parent are also available on Parent’s website at </w:t>
      </w:r>
      <w:r>
        <w:rPr>
          <w:rFonts w:ascii="Times New Roman" w:cs="Times New Roman" w:eastAsia="Times New Roman" w:hAnsi="Times New Roman"/>
          <w:sz w:val="18"/>
          <w:szCs w:val="18"/>
          <w:i w:val="1"/>
          <w:iCs w:val="1"/>
          <w:color w:val="auto"/>
        </w:rPr>
        <w:t xml:space="preserve">www.sap.com/investors/en.html </w:t>
      </w:r>
      <w:r>
        <w:rPr>
          <w:rFonts w:ascii="Times New Roman" w:cs="Times New Roman" w:eastAsia="Times New Roman" w:hAnsi="Times New Roman"/>
          <w:sz w:val="18"/>
          <w:szCs w:val="18"/>
          <w:color w:val="auto"/>
        </w:rPr>
        <w:t>and by the Company on the Company’s website at</w:t>
      </w:r>
      <w:r>
        <w:rPr>
          <w:rFonts w:ascii="Times New Roman" w:cs="Times New Roman" w:eastAsia="Times New Roman" w:hAnsi="Times New Roman"/>
          <w:sz w:val="18"/>
          <w:szCs w:val="18"/>
          <w:i w:val="1"/>
          <w:iCs w:val="1"/>
          <w:color w:val="auto"/>
        </w:rPr>
        <w:t xml:space="preserve"> ir.walkme.com</w:t>
      </w:r>
      <w:r>
        <w:rPr>
          <w:rFonts w:ascii="Times New Roman" w:cs="Times New Roman" w:eastAsia="Times New Roman" w:hAnsi="Times New Roman"/>
          <w:sz w:val="18"/>
          <w:szCs w:val="18"/>
          <w:color w:val="auto"/>
        </w:rPr>
        <w:t>. Moreover, other risks and uncertainties of which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Company are not currently aware or may not currently consider material may also affect each party’s forward-looking statements and may cause actual results and the timing of events to differ materially from those anticipated. The forward-looking statements made in this Form 6-K are made only as of the date hereof or as of the dates indicated in the forward-looking statements, even if they are subsequently made available by Parent or the Company on their respective websites or otherwise. Neither Parent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Notice for Special and Annual General Meeting of Shareholders of WalkMe Ltd., to be held on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WALKME LTD.</w:t>
      </w:r>
    </w:p>
    <w:p>
      <w:pPr>
        <w:spacing w:after="0" w:line="252"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Hagit Ynon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Name:Hagit Ynon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165735</wp:posOffset>
            </wp:positionV>
            <wp:extent cx="2202815" cy="728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281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Walter Moses St., Tel Aviv 6789903, Israel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AND ANNUAL GENERAL MEETING OF SHAREHOLDERS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7, 2024</w:t>
      </w:r>
    </w:p>
    <w:p>
      <w:pPr>
        <w:spacing w:after="0" w:line="24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Notice is hereby given that a special and annual general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of WalkMe Ltd., a company organized under the laws of the State of Israel (“</w:t>
      </w:r>
      <w:r>
        <w:rPr>
          <w:rFonts w:ascii="Times New Roman" w:cs="Times New Roman" w:eastAsia="Times New Roman" w:hAnsi="Times New Roman"/>
          <w:sz w:val="18"/>
          <w:szCs w:val="18"/>
          <w:u w:val="single" w:color="auto"/>
          <w:color w:val="auto"/>
        </w:rPr>
        <w:t>WalkMe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be held on August 7, 2024 at 4:00 p.m. Israel Time (9:00 a.m. Eastern Time) at the principal executive offices of WalkMe, located at 1 Walter Moses St., Tel Aviv 6789903, Israel.</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announced, WalkMe entered into an Agreement and Plan of Merger, dated as of June 4, 2024, a copy of which was attached as Exhibit 99.1 to WalkMe’s Report of Foreign Private Issuer on Form 6-K that was furnished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June 5, 2024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the Merger Agreement, subject to the satisfaction or waiver of the conditions set forth therein, Merger Sub will merge with and into WalkMe, with WalkMe surviving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237" w:lineRule="exact"/>
        <w:rPr>
          <w:sz w:val="20"/>
          <w:szCs w:val="20"/>
          <w:color w:val="auto"/>
        </w:rPr>
      </w:pPr>
    </w:p>
    <w:p>
      <w:pPr>
        <w:jc w:val="both"/>
        <w:ind w:left="980" w:hanging="324"/>
        <w:spacing w:after="0" w:line="25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To approve (a) the Merger Agreement; (b) the Merger itself; (c) the consideration to be received by the shareholders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WalkMe in the Merger, consisting of  $14.00 per share in cash, without interest, subject to adjustment under the Merger Agreement and less any applicable withholding taxes, for each ordinary share, no par value, of WalkMe (each, a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owned immediately prior to the Effective Time (as defined in the Merger Agreement) of the Merger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(d) the treatment of equity awards of WalkMe in accordance with the terms of the Merger Agreement; (e) the purchase of a prepaid “tail” directors’ and officers’ liability insurance policy for a period of seven years commencing upon the closing of the Merger, as permitted under the Merger Agreement; and (f) all other transactions and arrangements contemplated by the Merger Agreement (collectively,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w:t>
      </w:r>
    </w:p>
    <w:p>
      <w:pPr>
        <w:spacing w:after="0" w:line="196"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To approve the adjournment of the meeting to a later date or dates if necessary to solicit additional proxies if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votes to approve the Merger Proposal at the time of the Meeting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Re-election Proposal</w:t>
      </w:r>
      <w:r>
        <w:rPr>
          <w:rFonts w:ascii="Times New Roman" w:cs="Times New Roman" w:eastAsia="Times New Roman" w:hAnsi="Times New Roman"/>
          <w:sz w:val="18"/>
          <w:szCs w:val="18"/>
          <w:color w:val="auto"/>
        </w:rPr>
        <w:t>. To re-elect each of Jeff Horing, Ron Gutler and Haleli Barath as Class III directors, to hold office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of the Company’s annual general meeting of shareholders in 2027, and until their respective successors are duly elected and qualified, or until their respective offices are vacated in accordance with the Company’s amended and restated articles of association or the Companies Law, 5759-1999 (collectively with the regulations promulgated thereunder, the “</w:t>
      </w:r>
      <w:r>
        <w:rPr>
          <w:rFonts w:ascii="Times New Roman" w:cs="Times New Roman" w:eastAsia="Times New Roman" w:hAnsi="Times New Roman"/>
          <w:sz w:val="18"/>
          <w:szCs w:val="18"/>
          <w:u w:val="single" w:color="auto"/>
          <w:color w:val="auto"/>
        </w:rPr>
        <w:t>Companies Law</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Director Re-election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jc w:val="both"/>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Auditor Re-appointment Proposal</w:t>
      </w:r>
      <w:r>
        <w:rPr>
          <w:rFonts w:ascii="Times New Roman" w:cs="Times New Roman" w:eastAsia="Times New Roman" w:hAnsi="Times New Roman"/>
          <w:sz w:val="18"/>
          <w:szCs w:val="18"/>
          <w:color w:val="auto"/>
        </w:rPr>
        <w:t>. To approve the re-appointment of Kost, Forer, Gabbay &amp; Kasierer, a registered public accounting firm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 of Ernst &amp; Young Global, as the Company’s independent registered public accounting firm for the year ending December 31, 2024 and until the Company’s next annual general meeting of shareholders, and to authorize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(with power of delegation to its audit committee) to set the fees to be paid to such auditors (the “</w:t>
      </w:r>
      <w:r>
        <w:rPr>
          <w:rFonts w:ascii="Times New Roman" w:cs="Times New Roman" w:eastAsia="Times New Roman" w:hAnsi="Times New Roman"/>
          <w:sz w:val="18"/>
          <w:szCs w:val="18"/>
          <w:u w:val="single" w:color="auto"/>
          <w:color w:val="auto"/>
        </w:rPr>
        <w:t>Auditor Re-appointment Proposal</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CEO Compensation Proposal</w:t>
      </w:r>
      <w:r>
        <w:rPr>
          <w:rFonts w:ascii="Times New Roman" w:cs="Times New Roman" w:eastAsia="Times New Roman" w:hAnsi="Times New Roman"/>
          <w:sz w:val="18"/>
          <w:szCs w:val="18"/>
          <w:color w:val="auto"/>
        </w:rPr>
        <w:t>. To approve equity awards granted to Mr. Dan Adika, the Company’s Chief Executive Officer, on May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subject to requisite approval by the Company’s shareholders (the “</w:t>
      </w:r>
      <w:r>
        <w:rPr>
          <w:rFonts w:ascii="Times New Roman" w:cs="Times New Roman" w:eastAsia="Times New Roman" w:hAnsi="Times New Roman"/>
          <w:sz w:val="18"/>
          <w:szCs w:val="18"/>
          <w:u w:val="single" w:color="auto"/>
          <w:color w:val="auto"/>
        </w:rPr>
        <w:t>CEO Compensation Proposal</w:t>
      </w:r>
      <w:r>
        <w:rPr>
          <w:rFonts w:ascii="Times New Roman" w:cs="Times New Roman" w:eastAsia="Times New Roman" w:hAnsi="Times New Roman"/>
          <w:sz w:val="18"/>
          <w:szCs w:val="18"/>
          <w:color w:val="auto"/>
        </w:rPr>
        <w:t>”, and, together with the Merger Proposal, Adjournment Proposal, Director Re-election Proposal and Auditor Re-appointment Proposal, the “</w:t>
      </w:r>
      <w:r>
        <w:rPr>
          <w:rFonts w:ascii="Times New Roman" w:cs="Times New Roman" w:eastAsia="Times New Roman" w:hAnsi="Times New Roman"/>
          <w:sz w:val="18"/>
          <w:szCs w:val="18"/>
          <w:u w:val="single" w:color="auto"/>
          <w:color w:val="auto"/>
        </w:rPr>
        <w:t>proposals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cannot complete the Merger unless its shareholders approve the Merger Proposal (Proposal 1). However, the completion of the Merger is not contingent on the approval of the Adjournment Proposal (Proposal 2), Director Re-election Proposal (Proposal 3), Auditor Re-appointment Proposal (Proposal 4) or CEO Compensation Proposal (Proposal 5). With respect to the Director Re-election Proposal (Proposal 3), if the Merger is completed, the terms of all directors of the Company will end upon completion of the Merger, with the directors of Merger Sub as of immediately prior to the Effective Time becoming the directors of the Surviving Company. With respect to the Auditor Re-appointment Proposal (Proposal 4), if the Merger is completed, the appointment of Kost, Forer, Gabbay &amp; Kasierer, the Company’s independent registered public accounting firm, will, in coordination with Parent, terminate after the Merger is completed.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all of the proposals presented at the meeting, including the Merger Proposal.</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to considering and voting on the proposals, members of the Company’s management will be available at the meeting to discuss the consolidated financial statements of the Company for the fiscal year ended December 31, 2023.</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shares can be voted at the meeting only if you are present or represented by a valid proxy or proxy card. Only shareholders of record as of the close of business on June 27, 2024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are entitled to notice of the meeting and to vote at the meeting or any adjournment, postponement or other delay thereof. You are also entitled to vote at the meeting if you hold Company Shares through a bank, broker or other nominee which is one of our shareholders of record at the close of business on June 27, 2024, or which appears in the participant listing of a securities depository on that date. Even if you plan to attend the meeting, we request that you submit your proxy or voting instruction form in advance.</w:t>
      </w:r>
    </w:p>
    <w:p>
      <w:pPr>
        <w:spacing w:after="0" w:line="20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Board, after considering the factors to be more fully described in the proxy statement, has unanimously (i) determined that the terms of the Merger Agreement, the Merger and the other transactions contemplated by the Merger Agreement (together with the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fair to, advisable and in the best interests of WalkMe and WalkMe’s shareholders and that, considering the financial position of the merging companies, no reasonable concern exists that the Surviving Company will be unable to fulfill the obligations of WalkMe to its creditors, (ii) authorized and approved in all respects, the Merger Agreement, the execution, delivery and performance of the Merger Agreement and the consummation of the Merger and the other Transactions, upon the terms and subject to the conditions set forth in the Merger Agreement, (iii) directed that the performance of the Merger Agreement and the consummation of the Merger and the other Transactions be submitted to the Company’s shareholders for their adoption and approval and (iv) resolved to recommend that the Company’s shareholders adopt and approve the performance of the Merger Agreement, the Merger and the other Transactions.</w:t>
      </w:r>
    </w:p>
    <w:p>
      <w:pPr>
        <w:spacing w:after="0" w:line="19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Furthermore, the Board has determined the meeting to be an appropriate opportunity and efficient use of the Company’s time and resources to add to the agenda of the meeting such items that are required to be approved by the shareholders in connection with the Company’s annual general meeting, including the Director Re-election Proposal, the Auditor Re-appointment Proposal and the CEO Compensation Proposal.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Accordingly, the Board unanimously recommends that you vote (1) “FOR” the Merger Proposal, (2) “FOR” the Adjournment Proposal,</w:t>
      </w:r>
    </w:p>
    <w:p>
      <w:pPr>
        <w:spacing w:after="0" w:line="31" w:lineRule="exact"/>
        <w:rPr>
          <w:sz w:val="20"/>
          <w:szCs w:val="20"/>
          <w:color w:val="auto"/>
        </w:rPr>
      </w:pPr>
    </w:p>
    <w:p>
      <w:pPr>
        <w:jc w:val="both"/>
        <w:ind w:firstLine="8"/>
        <w:spacing w:after="0" w:line="271" w:lineRule="auto"/>
        <w:tabs>
          <w:tab w:leader="none" w:pos="25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Director Re-election Proposal, (4) “FOR” the Auditor Re-appointment Proposal, and (5) “FOR” the CEO Compensation Proposal, which will be described in the proxy statement describing the various matters to be voted on at the meeting, to be furnished to the SEC on Form 6-K on or around 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Company Shares that you own. </w:t>
      </w:r>
      <w:r>
        <w:rPr>
          <w:rFonts w:ascii="Times New Roman" w:cs="Times New Roman" w:eastAsia="Times New Roman" w:hAnsi="Times New Roman"/>
          <w:sz w:val="18"/>
          <w:szCs w:val="18"/>
          <w:color w:val="auto"/>
        </w:rPr>
        <w:t>The approval of each of the Merger Proposal,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Proposal, the Director Re-election Proposal, the Auditor Re-appointment Proposal and the CEO Compensation Proposal requires the affirmative vote of the holders of at least a majority of the Company Shares represented at the meeting (or any adjournment or postponement thereof), in person, by proxy or by electronic voting, and actually voting on such proposal (excluding abstentions and broker non-votes).</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the case of the Merger Proposal, the foregoing majority must be achieved after excluding any votes of Company Shares held by (a) Parent, Merger Sub or any person or entity holding, directly or indirectly, 25% or more of the total outstanding voting power of Parent or Merger Sub, or the right to appoint 25% or more of the directors of Parent or Merger Sub; (b) a person or entity acting on behalf of Parent, Merger Sub or a person or entity described in clause (a) above; or (c) a family member of, or an entity controlled by, Parent, Merger Sub or any of the foregoing.</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case of the CEO Compensation Proposal, the foregoing majority must be achieved subject to the fulfillment of one of the following additional voting requirements:</w:t>
      </w:r>
    </w:p>
    <w:p>
      <w:pPr>
        <w:spacing w:after="0" w:line="163" w:lineRule="exact"/>
        <w:rPr>
          <w:sz w:val="20"/>
          <w:szCs w:val="20"/>
          <w:color w:val="auto"/>
        </w:rPr>
      </w:pPr>
    </w:p>
    <w:p>
      <w:pPr>
        <w:jc w:val="both"/>
        <w:ind w:left="130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shares that are voted at the meeting in favor of the CEO Compensation Proposal, excluding abstentions, includes a majority of the votes of shareholders present and voting who are not controlling shareholders or do not have a personal interest in the approval of the proposal (within the meanings set forth below) (each controlling shareholder or shareholder with a personal interest, an “</w:t>
      </w:r>
      <w:r>
        <w:rPr>
          <w:rFonts w:ascii="Times New Roman" w:cs="Times New Roman" w:eastAsia="Times New Roman" w:hAnsi="Times New Roman"/>
          <w:sz w:val="18"/>
          <w:szCs w:val="18"/>
          <w:u w:val="single" w:color="auto"/>
          <w:color w:val="auto"/>
        </w:rPr>
        <w:t>Interested Shareholder</w:t>
      </w:r>
      <w:r>
        <w:rPr>
          <w:rFonts w:ascii="Times New Roman" w:cs="Times New Roman" w:eastAsia="Times New Roman" w:hAnsi="Times New Roman"/>
          <w:sz w:val="18"/>
          <w:szCs w:val="18"/>
          <w:color w:val="auto"/>
        </w:rPr>
        <w:t>”); or</w:t>
      </w:r>
    </w:p>
    <w:p>
      <w:pPr>
        <w:spacing w:after="0" w:line="19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the shareholders mentioned in clause (i) above that are voted against the CEO Compensation Proposal does not exceed two percent (2%) of the aggregate voting rights in the Company.</w:t>
      </w:r>
    </w:p>
    <w:p>
      <w:pPr>
        <w:spacing w:after="0" w:line="175" w:lineRule="exact"/>
        <w:rPr>
          <w:sz w:val="20"/>
          <w:szCs w:val="20"/>
          <w:color w:val="auto"/>
        </w:rPr>
      </w:pPr>
    </w:p>
    <w:p>
      <w:pPr>
        <w:jc w:val="both"/>
        <w:ind w:firstLine="639"/>
        <w:spacing w:after="0" w:line="26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controlling shareholder</w:t>
      </w:r>
      <w:r>
        <w:rPr>
          <w:rFonts w:ascii="Times New Roman" w:cs="Times New Roman" w:eastAsia="Times New Roman" w:hAnsi="Times New Roman"/>
          <w:sz w:val="18"/>
          <w:szCs w:val="18"/>
          <w:color w:val="auto"/>
        </w:rPr>
        <w:t>” is defined as any shareholder that has the ability to direct the Company’s activities (other than by means of being a director or office holder (as defined in the Companies Law) of the Company), including, with respect to the CEO Compensation Proposal, a person who holds 25% or more of the voting rights in the general meeting of the Company if there is no other person who holds more than 50% of the voting rights in the Company. Two or more persons holding voting rights in the Company each of which has a personal interest in the approval of the transaction being brought for approval by the Company’s shareholders will be considered to be joint holders. A person is presumed to be a controlling shareholder if it holds or controls, by itself or together with others, one half or more of any one of the “means of control” of the Company. “</w:t>
      </w:r>
      <w:r>
        <w:rPr>
          <w:rFonts w:ascii="Times New Roman" w:cs="Times New Roman" w:eastAsia="Times New Roman" w:hAnsi="Times New Roman"/>
          <w:sz w:val="18"/>
          <w:szCs w:val="18"/>
          <w:u w:val="single" w:color="auto"/>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the Company's shareholders, or (ii) the right to appoint directors of the Company or its chief executive officer.</w:t>
      </w:r>
    </w:p>
    <w:p>
      <w:pPr>
        <w:spacing w:after="0" w:line="197" w:lineRule="exact"/>
        <w:rPr>
          <w:sz w:val="20"/>
          <w:szCs w:val="20"/>
          <w:color w:val="auto"/>
        </w:rPr>
      </w:pPr>
    </w:p>
    <w:p>
      <w:pPr>
        <w:jc w:val="both"/>
        <w:ind w:firstLine="639"/>
        <w:spacing w:after="0" w:line="26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personal interest</w:t>
      </w:r>
      <w:r>
        <w:rPr>
          <w:rFonts w:ascii="Times New Roman" w:cs="Times New Roman" w:eastAsia="Times New Roman" w:hAnsi="Times New Roman"/>
          <w:sz w:val="18"/>
          <w:szCs w:val="18"/>
          <w:color w:val="auto"/>
        </w:rPr>
        <w:t>” of a shareholder in an action or transaction of a company (i) includes a personal interest of any of the shareholder’s relative (i.e., spouse, brother or sister, parent, grandparent, child as well as child, brother, sister or parent of such shareholder’s spouse or the spouse of any of the above) or an interest of a company with respect to which the shareholder or the shareholder’s relative (as detailed above) holds 5% or more of such company’s issued shares or voting rights, in which any such person has the right to appoint a director or the chief executive officer or in which any such person serves as a director or the chief executive officer, including the personal interest of a person voting pursuant to a proxy whether or not the proxy grantor has a personal interest, and (ii) excludes an interest arising solely from the ownership of the Company Shares.</w:t>
      </w:r>
    </w:p>
    <w:p>
      <w:pPr>
        <w:spacing w:after="0" w:line="188" w:lineRule="exact"/>
        <w:rPr>
          <w:sz w:val="20"/>
          <w:szCs w:val="20"/>
          <w:color w:val="auto"/>
        </w:rPr>
      </w:pPr>
    </w:p>
    <w:p>
      <w:pPr>
        <w:jc w:val="both"/>
        <w:ind w:firstLine="639"/>
        <w:spacing w:after="0" w:line="270" w:lineRule="auto"/>
        <w:rPr>
          <w:sz w:val="20"/>
          <w:szCs w:val="20"/>
          <w:color w:val="auto"/>
        </w:rPr>
      </w:pPr>
      <w:r>
        <w:rPr>
          <w:rFonts w:ascii="Times New Roman" w:cs="Times New Roman" w:eastAsia="Times New Roman" w:hAnsi="Times New Roman"/>
          <w:sz w:val="18"/>
          <w:szCs w:val="18"/>
          <w:color w:val="auto"/>
        </w:rPr>
        <w:t>Under Israeli law, every voting shareholder is required to notify the Company whether such shareholder is an Interested Shareholder. To avoid confusion, every shareholder voting by means of the enclosed proxy card or voting instruction form, or via telephone or internet voting, will be deemed to confirm that such shareholder is NOT an Interested Shareholder. If you are an Interested Shareholder (in which case your vote will only count for or against the ordinary majority, and not for or against the special tally under the CEO Compensation Proposal), please notify Paul Shinn, General Counsel, at legal@walkme.com.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jc w:val="both"/>
        <w:ind w:firstLine="639"/>
        <w:spacing w:after="0" w:line="273" w:lineRule="auto"/>
        <w:rPr>
          <w:sz w:val="20"/>
          <w:szCs w:val="20"/>
          <w:color w:val="auto"/>
        </w:rPr>
      </w:pPr>
      <w:r>
        <w:rPr>
          <w:rFonts w:ascii="Times New Roman" w:cs="Times New Roman" w:eastAsia="Times New Roman" w:hAnsi="Times New Roman"/>
          <w:sz w:val="18"/>
          <w:szCs w:val="18"/>
          <w:b w:val="1"/>
          <w:bCs w:val="1"/>
          <w:color w:val="auto"/>
        </w:rPr>
        <w:t>Other than entities affiliated with Insight Partners, who are deemed for purposes of the CEO Compensation Proposal to be controlling shareholders, we do not believe we have a controlling shareholder as of the Record Date, and therefore, we believe that none of our other shareholders (except for Mr. Adika) should have a personal interest in the CEO Compensation Proposal and be deemed an Interested Shareholder.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Company’s amended and restated articles of association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the meeting will be properly convened and a requisite quorum will be present if two or more shareholders (not in default in payment of any sum referred to in Article 13 of the Articles) attend the meeting in person or sign and return proxies, provided that they hold, in the aggregate, ordinary shares representing at least 25% of the voting power of the Company. If such quorum is not present within half an hour from the time appointed for the meeting, then, without any further notice, the meeting will be adjourned (i) to the following week (to the same day, time and place), (ii) to such day and at such time and place as indicated in the notice of such meeting, or (iii) to such day (which day may be earlier or later than the day pursuant to clause (i) above) and at such time and place the chairperson of the meeting shall determine. At such adjourned meeting, the presence of at least one or more shareholders in person or by proxy (regardless of the voting power represented by their ordinary shares) will constitute a quorum.</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your signed proxy card must be delivered physically to our offices by 5:00 p.m. Israel Time on August 6, 2024 (i.e., 10:00 a.m. Eastern Time on August 6, 2024) to be validly included in the tally of Company Shares voted at the meeting. If submitted to our proxy tabulator, Broadridge Financial Solutions, Inc., located at 51 Mercedes Way, Edgewood, NY 11717, your signed proxy card must be received by 11:59 p.m. Eastern Time on August 6, 2024 (i.e., 6:59 a.m. Israel Time on August 7, 2024) to be counted towards the tally of Company Shares so voted. In the alternative, a proxy card may be presented in person to the chairperson of the meeting in order to be counted towards the tally of votes at the meeting. If you are a shareholder of record and attend the meeting, you may vote in person, and if you do so, your proxy will not be used.</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 xml:space="preserve">If your Company Shares are held in a stock brokerage account or by a bank, broker or other nominee, you are considered the “beneficial holder” of the Company Shares held for you in what is known as “street name.” If that is the case, you may instruct your bank, broker or other nominee how to vote by completing and returning the voting instruction form provided by your bank, broker or other nominee, or by providing voting instructions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via telephone (as per the directions on the enclosed voting instruction form). If you plan to attend the meeting and vote in person, you will be required to present a “legal proxy” from your bank, broker or other nominee, along with an account statement showing ownership of your Company Shares as of the Record Date, in order to be given a ballot to vote the shares in person at the meeting.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accordance with, and subject to, the provisions of our Articles and of the Companies Law and the regulations promulgated thereunder, certain of our shareholders may present proposals for consideration at the meeting by submitting their proposals in writing to the Company no later than 11:59 p.m. Israel Time on July 5, 2024, provided that such proposal is appropriate for consideration by shareholders at the meeting. Such proposals should be submitted in writing to the Company at the following address: WalkMe Ltd., 1 Walter Moses St., Tel Aviv 6789903, Israel, Attn: Mr. Paul Shinn, General Counsel. If the Board determines that a shareholder proposal has been duly and timely received and is appropriate for inclusion in the agenda of the meeting, the Company will publish a revised agenda for the meeting in accordance with the provisions of the Companies Law and the regulations promulgated thereunder by way of issuing a press release or furnishing a report on Form 6-K to the SEC. However, the Record Date will not change.</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 xml:space="preserve">The Company intends to furnish a copy of the proxy statement for the meeting, describing the matters to be voted on at the meeting, along with the proxy card and other documents to the SEC on a Report of Foreign Private Issuer on Form 6-K on or around July 1, 2024. Once available, such proxy statement, proxy card and other documents may be obtained for free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the Company’s website at </w:t>
      </w:r>
      <w:r>
        <w:rPr>
          <w:rFonts w:ascii="Times New Roman" w:cs="Times New Roman" w:eastAsia="Times New Roman" w:hAnsi="Times New Roman"/>
          <w:sz w:val="18"/>
          <w:szCs w:val="18"/>
          <w:i w:val="1"/>
          <w:iCs w:val="1"/>
          <w:color w:val="auto"/>
        </w:rPr>
        <w:t>ir.walkme.com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by directing the request to the following address: WalkMe Ltd., 1 Walter Moses St., Tel Aviv 6789903, Israel, Attn: Mr. Paul Shinn,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Counsel. The contents of WalkMe’s website are not deemed to be incorporated by reference into the Form 6-K or the proxy statement.</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THIS COMMUNICATION IS NOT A SUBSTITUTION FOR THE PROXY STATEMENT OR FOR ANY OTHER DOCUMENTS THAT WALKME MAY FURNISH TO THE SEC OR SEND TO SHAREHOLDERS IN CONNECTION WITH THE PROPOSED MERGER. INVESTORS AND SECURITY HOLDERS ARE URGED TO READ THE PROXY STATEMENT AND ANY OTHER RELEVANT DOCUMENTS FILED OR FURNISHED TO THE SEC CAREFULLY AND IN THEIR ENTIRETY WHEN THEY BECOME AVAILABLE BECAUSE THEY CONTAIN IMPORTANT INFORMATION ABOUT THE PROPOSED MERGER.</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WALKME LTD.</w:t>
      </w:r>
    </w:p>
    <w:p>
      <w:pPr>
        <w:spacing w:after="0" w:line="252"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Michele Bettencourt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255460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Michele Bettencourt</w:t>
      </w:r>
    </w:p>
    <w:p>
      <w:pPr>
        <w:spacing w:after="0" w:line="27" w:lineRule="exact"/>
        <w:rPr>
          <w:sz w:val="20"/>
          <w:szCs w:val="20"/>
          <w:color w:val="auto"/>
        </w:rPr>
      </w:pPr>
    </w:p>
    <w:p>
      <w:pPr>
        <w:ind w:left="562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Chairperson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2024-06-28T16:05:19Z</dcterms:created>
  <dcterms:modified xsi:type="dcterms:W3CDTF">2024-06-28T16:05:19Z</dcterms:modified>
</cp:coreProperties>
</file>