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As filed with the Securities and Exchange Commission on September 12, 2024</w:t>
      </w:r>
    </w:p>
    <w:p>
      <w:pPr>
        <w:spacing w:after="0" w:line="239" w:lineRule="exact"/>
        <w:rPr>
          <w:sz w:val="24"/>
          <w:szCs w:val="24"/>
          <w:color w:val="auto"/>
        </w:rPr>
      </w:pPr>
    </w:p>
    <w:p>
      <w:pPr>
        <w:ind w:left="8820"/>
        <w:spacing w:after="0"/>
        <w:rPr>
          <w:sz w:val="20"/>
          <w:szCs w:val="20"/>
          <w:color w:val="auto"/>
        </w:rPr>
      </w:pPr>
      <w:r>
        <w:rPr>
          <w:rFonts w:ascii="Times New Roman" w:cs="Times New Roman" w:eastAsia="Times New Roman" w:hAnsi="Times New Roman"/>
          <w:sz w:val="18"/>
          <w:szCs w:val="18"/>
          <w:b w:val="1"/>
          <w:bCs w:val="1"/>
          <w:color w:val="auto"/>
        </w:rPr>
        <w:t>Registration No. 333-257354</w:t>
      </w:r>
    </w:p>
    <w:p>
      <w:pPr>
        <w:spacing w:after="0" w:line="31" w:lineRule="exact"/>
        <w:rPr>
          <w:sz w:val="24"/>
          <w:szCs w:val="24"/>
          <w:color w:val="auto"/>
        </w:rPr>
      </w:pPr>
    </w:p>
    <w:p>
      <w:pPr>
        <w:ind w:left="8820"/>
        <w:spacing w:after="0"/>
        <w:rPr>
          <w:sz w:val="20"/>
          <w:szCs w:val="20"/>
          <w:color w:val="auto"/>
        </w:rPr>
      </w:pPr>
      <w:r>
        <w:rPr>
          <w:rFonts w:ascii="Times New Roman" w:cs="Times New Roman" w:eastAsia="Times New Roman" w:hAnsi="Times New Roman"/>
          <w:sz w:val="18"/>
          <w:szCs w:val="18"/>
          <w:b w:val="1"/>
          <w:bCs w:val="1"/>
          <w:color w:val="auto"/>
        </w:rPr>
        <w:t>Registration No. 333-263823</w:t>
      </w:r>
    </w:p>
    <w:p>
      <w:pPr>
        <w:spacing w:after="0" w:line="23" w:lineRule="exact"/>
        <w:rPr>
          <w:sz w:val="24"/>
          <w:szCs w:val="24"/>
          <w:color w:val="auto"/>
        </w:rPr>
      </w:pPr>
    </w:p>
    <w:p>
      <w:pPr>
        <w:ind w:left="8820"/>
        <w:spacing w:after="0"/>
        <w:rPr>
          <w:sz w:val="20"/>
          <w:szCs w:val="20"/>
          <w:color w:val="auto"/>
        </w:rPr>
      </w:pPr>
      <w:r>
        <w:rPr>
          <w:rFonts w:ascii="Times New Roman" w:cs="Times New Roman" w:eastAsia="Times New Roman" w:hAnsi="Times New Roman"/>
          <w:sz w:val="18"/>
          <w:szCs w:val="18"/>
          <w:b w:val="1"/>
          <w:bCs w:val="1"/>
          <w:color w:val="auto"/>
        </w:rPr>
        <w:t>Registration No. 333-270537</w:t>
      </w:r>
    </w:p>
    <w:p>
      <w:pPr>
        <w:spacing w:after="0" w:line="9" w:lineRule="exact"/>
        <w:rPr>
          <w:sz w:val="24"/>
          <w:szCs w:val="24"/>
          <w:color w:val="auto"/>
        </w:rPr>
      </w:pPr>
    </w:p>
    <w:p>
      <w:pPr>
        <w:ind w:left="8820"/>
        <w:spacing w:after="0"/>
        <w:rPr>
          <w:sz w:val="20"/>
          <w:szCs w:val="20"/>
          <w:color w:val="auto"/>
        </w:rPr>
      </w:pPr>
      <w:r>
        <w:rPr>
          <w:rFonts w:ascii="Times New Roman" w:cs="Times New Roman" w:eastAsia="Times New Roman" w:hAnsi="Times New Roman"/>
          <w:sz w:val="18"/>
          <w:szCs w:val="18"/>
          <w:b w:val="1"/>
          <w:bCs w:val="1"/>
          <w:color w:val="auto"/>
        </w:rPr>
        <w:t>Registration No. 333-278034</w:t>
      </w:r>
    </w:p>
    <w:p>
      <w:pPr>
        <w:spacing w:after="0" w:line="2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POST-EFFECTIVE AMENDMENT NO. 1 TO:</w:t>
      </w:r>
    </w:p>
    <w:p>
      <w:pPr>
        <w:spacing w:after="0" w:line="31"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333-257354</w:t>
      </w:r>
    </w:p>
    <w:p>
      <w:pPr>
        <w:spacing w:after="0" w:line="2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333-263823</w:t>
      </w:r>
    </w:p>
    <w:p>
      <w:pPr>
        <w:spacing w:after="0" w:line="2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333-270537</w:t>
      </w:r>
    </w:p>
    <w:p>
      <w:pPr>
        <w:spacing w:after="0" w:line="9"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333-278034</w:t>
      </w:r>
    </w:p>
    <w:p>
      <w:pPr>
        <w:spacing w:after="0" w:line="2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2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WalkMe Ltd.</w:t>
      </w:r>
    </w:p>
    <w:p>
      <w:pPr>
        <w:spacing w:after="0" w:line="4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3" w:lineRule="exact"/>
        <w:rPr>
          <w:sz w:val="24"/>
          <w:szCs w:val="24"/>
          <w:color w:val="auto"/>
        </w:rPr>
      </w:pPr>
    </w:p>
    <w:tbl>
      <w:tblPr>
        <w:tblLayout w:type="fixed"/>
        <w:tblInd w:w="1740" w:type="dxa"/>
        <w:tblCellMar>
          <w:top w:w="0" w:type="dxa"/>
          <w:left w:w="0" w:type="dxa"/>
          <w:bottom w:w="0" w:type="dxa"/>
          <w:right w:w="0" w:type="dxa"/>
        </w:tblCellMar>
      </w:tblPr>
      <w:tr>
        <w:trPr>
          <w:trHeight w:val="233"/>
        </w:trPr>
        <w:tc>
          <w:tcPr>
            <w:tcW w:w="4000" w:type="dxa"/>
            <w:vAlign w:val="bottom"/>
          </w:tcPr>
          <w:p>
            <w:pPr>
              <w:jc w:val="center"/>
              <w:ind w:right="1750"/>
              <w:spacing w:after="0"/>
              <w:rPr>
                <w:sz w:val="20"/>
                <w:szCs w:val="20"/>
                <w:color w:val="auto"/>
              </w:rPr>
            </w:pPr>
            <w:r>
              <w:rPr>
                <w:rFonts w:ascii="Times New Roman" w:cs="Times New Roman" w:eastAsia="Times New Roman" w:hAnsi="Times New Roman"/>
                <w:sz w:val="18"/>
                <w:szCs w:val="18"/>
                <w:b w:val="1"/>
                <w:bCs w:val="1"/>
                <w:color w:val="auto"/>
              </w:rPr>
              <w:t>State of Israel</w:t>
            </w:r>
          </w:p>
        </w:tc>
        <w:tc>
          <w:tcPr>
            <w:tcW w:w="3520" w:type="dxa"/>
            <w:vAlign w:val="bottom"/>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30"/>
        </w:trPr>
        <w:tc>
          <w:tcPr>
            <w:tcW w:w="4000" w:type="dxa"/>
            <w:vAlign w:val="bottom"/>
          </w:tcPr>
          <w:p>
            <w:pPr>
              <w:jc w:val="center"/>
              <w:ind w:right="17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52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000" w:type="dxa"/>
            <w:vAlign w:val="bottom"/>
          </w:tcPr>
          <w:p>
            <w:pPr>
              <w:jc w:val="center"/>
              <w:ind w:right="17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2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20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1 Walter Moses St.</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Tel Aviv 6789903, Israel</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+972 (3) 763-0333</w:t>
      </w:r>
    </w:p>
    <w:p>
      <w:pPr>
        <w:spacing w:after="0" w:line="2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230"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WalkMe Ltd. Restated 2012 Share Option Plan</w:t>
      </w:r>
    </w:p>
    <w:p>
      <w:pPr>
        <w:spacing w:after="0" w:line="3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WalkMe Ltd. 2021 Share Incentive Plan</w:t>
      </w:r>
    </w:p>
    <w:p>
      <w:pPr>
        <w:spacing w:after="0" w:line="2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WalkMe Ltd. 2021 Employee Share Purchase Plan</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(Full title of the plans)</w:t>
      </w:r>
    </w:p>
    <w:p>
      <w:pPr>
        <w:spacing w:after="0" w:line="230"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WalkMe, Inc.</w:t>
      </w:r>
    </w:p>
    <w:p>
      <w:pPr>
        <w:spacing w:after="0" w:line="3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71 Stevenson Street, Floor 20</w:t>
      </w:r>
    </w:p>
    <w:p>
      <w:pPr>
        <w:spacing w:after="0" w:line="23"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San Francisco, CA 94105</w:t>
      </w:r>
    </w:p>
    <w:p>
      <w:pPr>
        <w:spacing w:after="0" w:line="2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(855) 492-5563</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30" w:lineRule="exact"/>
        <w:rPr>
          <w:sz w:val="24"/>
          <w:szCs w:val="24"/>
          <w:color w:val="auto"/>
        </w:rPr>
      </w:pPr>
    </w:p>
    <w:tbl>
      <w:tblPr>
        <w:tblLayout w:type="fixed"/>
        <w:tblInd w:w="168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49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437"/>
        </w:trPr>
        <w:tc>
          <w:tcPr>
            <w:tcW w:w="292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Tad J. Freese</w:t>
            </w:r>
          </w:p>
        </w:tc>
        <w:tc>
          <w:tcPr>
            <w:tcW w:w="4900" w:type="dxa"/>
            <w:vAlign w:val="bottom"/>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w w:val="99"/>
              </w:rPr>
              <w:t>Shachar Hadar</w:t>
            </w:r>
          </w:p>
        </w:tc>
      </w:tr>
      <w:tr>
        <w:trPr>
          <w:trHeight w:val="230"/>
        </w:trPr>
        <w:tc>
          <w:tcPr>
            <w:tcW w:w="292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Mark M. Bekheit</w:t>
            </w:r>
          </w:p>
        </w:tc>
        <w:tc>
          <w:tcPr>
            <w:tcW w:w="4900" w:type="dxa"/>
            <w:vAlign w:val="bottom"/>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rPr>
              <w:t>Matthew Rudolph</w:t>
            </w:r>
          </w:p>
        </w:tc>
      </w:tr>
      <w:tr>
        <w:trPr>
          <w:trHeight w:val="230"/>
        </w:trPr>
        <w:tc>
          <w:tcPr>
            <w:tcW w:w="292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Latham &amp; Watkins LLP</w:t>
            </w:r>
          </w:p>
        </w:tc>
        <w:tc>
          <w:tcPr>
            <w:tcW w:w="4900" w:type="dxa"/>
            <w:vAlign w:val="bottom"/>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w w:val="99"/>
              </w:rPr>
              <w:t>Meitar | Law Offices</w:t>
            </w:r>
          </w:p>
        </w:tc>
      </w:tr>
      <w:tr>
        <w:trPr>
          <w:trHeight w:val="216"/>
        </w:trPr>
        <w:tc>
          <w:tcPr>
            <w:tcW w:w="292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140 Scott Drive</w:t>
            </w:r>
          </w:p>
        </w:tc>
        <w:tc>
          <w:tcPr>
            <w:tcW w:w="4900" w:type="dxa"/>
            <w:vAlign w:val="bottom"/>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rPr>
              <w:t>16 Abba Hillel Road</w:t>
            </w:r>
          </w:p>
        </w:tc>
      </w:tr>
      <w:tr>
        <w:trPr>
          <w:trHeight w:val="229"/>
        </w:trPr>
        <w:tc>
          <w:tcPr>
            <w:tcW w:w="292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Menlo Park, California 94025</w:t>
            </w:r>
          </w:p>
        </w:tc>
        <w:tc>
          <w:tcPr>
            <w:tcW w:w="4900" w:type="dxa"/>
            <w:vAlign w:val="bottom"/>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w w:val="99"/>
              </w:rPr>
              <w:t>Ramat Gan, 5250608, Israel</w:t>
            </w:r>
          </w:p>
        </w:tc>
      </w:tr>
      <w:tr>
        <w:trPr>
          <w:trHeight w:val="216"/>
        </w:trPr>
        <w:tc>
          <w:tcPr>
            <w:tcW w:w="292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Tel: (650) 328-4600</w:t>
            </w:r>
          </w:p>
        </w:tc>
        <w:tc>
          <w:tcPr>
            <w:tcW w:w="4900" w:type="dxa"/>
            <w:vAlign w:val="bottom"/>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w w:val="98"/>
              </w:rPr>
              <w:t>Tel: +972 (3) 610-3100</w:t>
            </w:r>
          </w:p>
        </w:tc>
      </w:tr>
      <w:tr>
        <w:trPr>
          <w:trHeight w:val="238"/>
        </w:trPr>
        <w:tc>
          <w:tcPr>
            <w:tcW w:w="2920" w:type="dxa"/>
            <w:vAlign w:val="bottom"/>
          </w:tcPr>
          <w:p>
            <w:pPr>
              <w:spacing w:after="0"/>
              <w:rPr>
                <w:sz w:val="20"/>
                <w:szCs w:val="20"/>
                <w:color w:val="auto"/>
              </w:rPr>
            </w:pPr>
          </w:p>
        </w:tc>
        <w:tc>
          <w:tcPr>
            <w:tcW w:w="4900" w:type="dxa"/>
            <w:vAlign w:val="bottom"/>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w w:val="98"/>
              </w:rPr>
              <w:t>Fax: +972 (3) 610-3111</w:t>
            </w:r>
          </w:p>
        </w:tc>
      </w:tr>
    </w:tbl>
    <w:p>
      <w:pPr>
        <w:spacing w:after="0" w:line="225" w:lineRule="exact"/>
        <w:rPr>
          <w:sz w:val="24"/>
          <w:szCs w:val="24"/>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080"/>
          </w:cols>
          <w:pgMar w:left="320" w:top="738" w:right="499" w:bottom="797" w:gutter="0" w:footer="0" w:header="0"/>
        </w:sectPr>
      </w:pPr>
    </w:p>
    <w:p>
      <w:pPr>
        <w:spacing w:after="0" w:line="177" w:lineRule="exact"/>
        <w:rPr>
          <w:sz w:val="24"/>
          <w:szCs w:val="24"/>
          <w:color w:val="auto"/>
        </w:rPr>
      </w:pPr>
    </w:p>
    <w:p>
      <w:pPr>
        <w:ind w:left="4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108" w:lineRule="exact"/>
        <w:rPr>
          <w:sz w:val="24"/>
          <w:szCs w:val="24"/>
          <w:color w:val="auto"/>
        </w:rPr>
      </w:pPr>
    </w:p>
    <w:p>
      <w:pPr>
        <w:sectPr>
          <w:pgSz w:w="11900" w:h="16838" w:orient="portrait"/>
          <w:cols w:equalWidth="0" w:num="2">
            <w:col w:w="6800" w:space="720"/>
            <w:col w:w="3560"/>
          </w:cols>
          <w:pgMar w:left="320" w:top="738" w:right="499" w:bottom="797" w:gutter="0" w:footer="0" w:header="0"/>
          <w:type w:val="continuous"/>
        </w:sectPr>
      </w:pPr>
    </w:p>
    <w:p>
      <w:pPr>
        <w:ind w:left="4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02" w:lineRule="exact"/>
        <w:rPr>
          <w:sz w:val="24"/>
          <w:szCs w:val="24"/>
          <w:color w:val="auto"/>
        </w:rPr>
      </w:pPr>
    </w:p>
    <w:p>
      <w:pPr>
        <w:sectPr>
          <w:pgSz w:w="11900" w:h="16838" w:orient="portrait"/>
          <w:cols w:equalWidth="0" w:num="2">
            <w:col w:w="6800" w:space="720"/>
            <w:col w:w="3560"/>
          </w:cols>
          <w:pgMar w:left="320" w:top="738" w:right="499" w:bottom="797" w:gutter="0" w:footer="0" w:header="0"/>
          <w:type w:val="continuous"/>
        </w:sectPr>
      </w:pPr>
    </w:p>
    <w:p>
      <w:pPr>
        <w:ind w:left="75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080"/>
          </w:cols>
          <w:pgMar w:left="320" w:top="738" w:right="499" w:bottom="797" w:gutter="0" w:footer="0" w:header="0"/>
          <w:type w:val="continuous"/>
        </w:sectPr>
      </w:pPr>
    </w:p>
    <w:p>
      <w:pPr>
        <w:spacing w:after="0" w:line="312" w:lineRule="exact"/>
        <w:rPr>
          <w:sz w:val="24"/>
          <w:szCs w:val="24"/>
          <w:color w:val="auto"/>
        </w:rPr>
      </w:pPr>
    </w:p>
    <w:p>
      <w:pPr>
        <w:spacing w:after="0" w:line="24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738" w:right="499" w:bottom="797"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34"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This filing (the “</w:t>
      </w:r>
      <w:r>
        <w:rPr>
          <w:rFonts w:ascii="Times New Roman" w:cs="Times New Roman" w:eastAsia="Times New Roman" w:hAnsi="Times New Roman"/>
          <w:sz w:val="18"/>
          <w:szCs w:val="18"/>
          <w:u w:val="single" w:color="auto"/>
          <w:color w:val="auto"/>
        </w:rPr>
        <w:t>Post-Effective Amendment</w:t>
      </w:r>
      <w:r>
        <w:rPr>
          <w:rFonts w:ascii="Times New Roman" w:cs="Times New Roman" w:eastAsia="Times New Roman" w:hAnsi="Times New Roman"/>
          <w:sz w:val="18"/>
          <w:szCs w:val="18"/>
          <w:color w:val="auto"/>
        </w:rPr>
        <w:t>”) relates to the following registration statements on Form S-8 (collectively, the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Statements</w:t>
      </w:r>
      <w:r>
        <w:rPr>
          <w:rFonts w:ascii="Times New Roman" w:cs="Times New Roman" w:eastAsia="Times New Roman" w:hAnsi="Times New Roman"/>
          <w:sz w:val="18"/>
          <w:szCs w:val="18"/>
          <w:color w:val="auto"/>
        </w:rPr>
        <w:t>”) filed by WalkMe Ltd., a company organized under the laws of the State of Israel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left="980" w:hanging="324"/>
        <w:spacing w:after="0" w:line="261"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333-257354 filed with the SEC on June 24, 2021, pertaining to the registration of 15,060,484 ordinary shares, no par value per share, of the Company (each, an “</w:t>
      </w:r>
      <w:r>
        <w:rPr>
          <w:rFonts w:ascii="Times New Roman" w:cs="Times New Roman" w:eastAsia="Times New Roman" w:hAnsi="Times New Roman"/>
          <w:sz w:val="18"/>
          <w:szCs w:val="18"/>
          <w:u w:val="single" w:color="auto"/>
          <w:color w:val="auto"/>
        </w:rPr>
        <w:t>Ordinary Share</w:t>
      </w:r>
      <w:r>
        <w:rPr>
          <w:rFonts w:ascii="Times New Roman" w:cs="Times New Roman" w:eastAsia="Times New Roman" w:hAnsi="Times New Roman"/>
          <w:sz w:val="18"/>
          <w:szCs w:val="18"/>
          <w:color w:val="auto"/>
        </w:rPr>
        <w:t>”) under the WalkMe Ltd. Restated 2012 Share Option Plan (the “</w:t>
      </w:r>
      <w:r>
        <w:rPr>
          <w:rFonts w:ascii="Times New Roman" w:cs="Times New Roman" w:eastAsia="Times New Roman" w:hAnsi="Times New Roman"/>
          <w:sz w:val="18"/>
          <w:szCs w:val="18"/>
          <w:u w:val="single" w:color="auto"/>
          <w:color w:val="auto"/>
        </w:rPr>
        <w:t>2012 Plan</w:t>
      </w:r>
      <w:r>
        <w:rPr>
          <w:rFonts w:ascii="Times New Roman" w:cs="Times New Roman" w:eastAsia="Times New Roman" w:hAnsi="Times New Roman"/>
          <w:sz w:val="18"/>
          <w:szCs w:val="18"/>
          <w:color w:val="auto"/>
        </w:rPr>
        <w:t>”), 9,955,667 Ordinary Shares under the WalkMe Ltd. 2021 Share Incentive Plan (the “</w:t>
      </w:r>
      <w:r>
        <w:rPr>
          <w:rFonts w:ascii="Times New Roman" w:cs="Times New Roman" w:eastAsia="Times New Roman" w:hAnsi="Times New Roman"/>
          <w:sz w:val="18"/>
          <w:szCs w:val="18"/>
          <w:u w:val="single" w:color="auto"/>
          <w:color w:val="auto"/>
        </w:rPr>
        <w:t>2021 Plan</w:t>
      </w:r>
      <w:r>
        <w:rPr>
          <w:rFonts w:ascii="Times New Roman" w:cs="Times New Roman" w:eastAsia="Times New Roman" w:hAnsi="Times New Roman"/>
          <w:sz w:val="18"/>
          <w:szCs w:val="18"/>
          <w:color w:val="auto"/>
        </w:rPr>
        <w:t>”) and 1,824,988 Ordinary Shares under the WalkMe Ltd. 2021 Employee Share Purchase Plan (the “</w:t>
      </w:r>
      <w:r>
        <w:rPr>
          <w:rFonts w:ascii="Times New Roman" w:cs="Times New Roman" w:eastAsia="Times New Roman" w:hAnsi="Times New Roman"/>
          <w:sz w:val="18"/>
          <w:szCs w:val="18"/>
          <w:u w:val="single" w:color="auto"/>
          <w:color w:val="auto"/>
        </w:rPr>
        <w:t>2021 ESPP</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333-263823 filed with the SEC on March 24, 2022, pertaining to the registration of an additional 4,187,700 Ordinary Shares under the 2021 Plan and 1,002,812 Ordinary Shares under the 2021 ESPP.</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333-270537 filed with the SEC on March 14, 2023, pertaining to the registration of an additional 4,339,004 Ordinary Shares under the 2021 Plan and 1,057,521 Ordinary Shares under the 2021 ESPP.</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333-278034 filed with the SEC on March 18, 2024, pertaining to the registration of an additional 4,543,233 Ordinary Shares under the 2021 Plan and 1,089,308 Ordinary Shares under the 2021 ESPP.</w:t>
      </w:r>
    </w:p>
    <w:p>
      <w:pPr>
        <w:spacing w:after="0" w:line="17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On June 4, 2024, the Company entered into an Agreement and Plan of Merger with SAP SE,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under the laws of Germany and the European Union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Hummingbird Acquisition Corp Ltd., a company organized under the laws of the State of Israel and a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(as amended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the Merger Agreement, on September 12, 2024, Merger Sub merged with and into the Company, with the Company surviving the merger and becoming a wholly owned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Merger, the Company has terminated all offerings of its Ordinary Shares pursuant to each of the Registration Statements under the Securities Act of 1933, as amended. In accordance with an undertaking made by the Company in each of the Registration Statements to remove from registration, by means of a post-effective amendment, any Ordinary Shares which remain unsold at the termination of the offering, the Company hereby removes from registration all Ordinary Shares registered under the Registration Statements that remain unsold as of the date hereof, if any, and terminates the effectiveness of each of the Registration Statements. The Registration Statements are hereby amended, as appropriate, to reflect the deregistration of all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Post-Effective Amendment to the Registration Statements to be signed on its behalf by the undersigned, thereunto duly authorized, in Tel Aviv, Israel, on this 12th day of September.</w:t>
      </w:r>
    </w:p>
    <w:p>
      <w:pPr>
        <w:spacing w:after="0" w:line="19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WALKME LTD.</w:t>
      </w:r>
    </w:p>
    <w:p>
      <w:pPr>
        <w:spacing w:after="0" w:line="24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By:/s/ Paul Shinn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4860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Paul Shinn</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00" w:lineRule="exact"/>
        <w:rPr>
          <w:sz w:val="20"/>
          <w:szCs w:val="20"/>
          <w:color w:val="auto"/>
        </w:rPr>
      </w:pPr>
    </w:p>
    <w:p>
      <w:pPr>
        <w:spacing w:after="0" w:line="223"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No other person is required to sign this Post-Effective Amendment to the Registration Statements in reliance on Rule 478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120"/>
      </w:cols>
      <w:pgMar w:left="320" w:top="34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2024-09-12T08:30:05Z</dcterms:created>
  <dcterms:modified xsi:type="dcterms:W3CDTF">2024-09-12T08:30:05Z</dcterms:modified>
</cp:coreProperties>
</file>