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203200</wp:posOffset>
            </wp:positionH>
            <wp:positionV relativeFrom="page">
              <wp:posOffset>152400</wp:posOffset>
            </wp:positionV>
            <wp:extent cx="714184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845" cy="31750"/>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264160</wp:posOffset>
            </wp:positionV>
            <wp:extent cx="7141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845"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141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20-F</w:t>
      </w:r>
    </w:p>
    <w:p>
      <w:pPr>
        <w:spacing w:after="0" w:line="21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06" w:lineRule="exact"/>
        <w:rPr>
          <w:sz w:val="24"/>
          <w:szCs w:val="24"/>
          <w:color w:val="auto"/>
        </w:rPr>
      </w:pPr>
    </w:p>
    <w:p>
      <w:pPr>
        <w:ind w:left="5500" w:right="860" w:hanging="5500"/>
        <w:spacing w:after="0" w:line="477" w:lineRule="auto"/>
        <w:tabs>
          <w:tab w:leader="none" w:pos="32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REGISTRATION STATEMENT PURSUANT TO SECTION 12(b) OR SECTION 12(g) OF THE SECURITIES EXCHANGE ACT OF 1934 OR</w:t>
      </w:r>
    </w:p>
    <w:p>
      <w:pPr>
        <w:spacing w:after="0" w:line="26" w:lineRule="exact"/>
        <w:rPr>
          <w:sz w:val="24"/>
          <w:szCs w:val="24"/>
          <w:color w:val="auto"/>
        </w:rPr>
      </w:pPr>
    </w:p>
    <w:p>
      <w:pPr>
        <w:ind w:left="4040" w:right="2760" w:hanging="4040"/>
        <w:spacing w:after="0" w:line="493" w:lineRule="auto"/>
        <w:tabs>
          <w:tab w:leader="none" w:pos="305"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ANNUAL REPORT PURSUANT TO SECTION 13 OR 15(d) OF THE SECURITIES EXCHANGE ACT OF 1934 For the fiscal year ended December 31, 2021</w:t>
      </w:r>
    </w:p>
    <w:p>
      <w:pPr>
        <w:ind w:left="5500"/>
        <w:spacing w:after="0"/>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OR</w:t>
      </w:r>
    </w:p>
    <w:p>
      <w:pPr>
        <w:spacing w:after="0" w:line="206" w:lineRule="exact"/>
        <w:rPr>
          <w:sz w:val="24"/>
          <w:szCs w:val="24"/>
          <w:color w:val="auto"/>
        </w:rPr>
      </w:pPr>
    </w:p>
    <w:p>
      <w:pPr>
        <w:ind w:left="320" w:hanging="320"/>
        <w:spacing w:after="0"/>
        <w:tabs>
          <w:tab w:leader="none" w:pos="320" w:val="left"/>
        </w:tabs>
        <w:numPr>
          <w:ilvl w:val="0"/>
          <w:numId w:val="3"/>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06" w:lineRule="exact"/>
        <w:rPr>
          <w:sz w:val="24"/>
          <w:szCs w:val="24"/>
          <w:color w:val="auto"/>
        </w:rPr>
      </w:pPr>
    </w:p>
    <w:p>
      <w:pPr>
        <w:jc w:val="center"/>
        <w:ind w:right="-19"/>
        <w:spacing w:after="0"/>
        <w:tabs>
          <w:tab w:leader="none" w:pos="7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06" w:lineRule="exact"/>
        <w:rPr>
          <w:sz w:val="24"/>
          <w:szCs w:val="24"/>
          <w:color w:val="auto"/>
        </w:rPr>
      </w:pPr>
    </w:p>
    <w:p>
      <w:pPr>
        <w:ind w:left="3860" w:right="2000" w:hanging="3860"/>
        <w:spacing w:after="0" w:line="495" w:lineRule="auto"/>
        <w:tabs>
          <w:tab w:leader="none" w:pos="310" w:val="left"/>
        </w:tabs>
        <w:numPr>
          <w:ilvl w:val="0"/>
          <w:numId w:val="4"/>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SHELL COMPANY REPORT PURSUANT TO SECTION 13 OR 15(d) OF THE SECURITIES EXCHANGE ACT OF 1934 Date of event requiring this shell company report</w:t>
      </w:r>
    </w:p>
    <w:p>
      <w:pPr>
        <w:spacing w:after="0" w:line="1" w:lineRule="exact"/>
        <w:rPr>
          <w:rFonts w:ascii="MS PGothic" w:cs="MS PGothic" w:eastAsia="MS PGothic" w:hAnsi="MS PGothic"/>
          <w:sz w:val="17"/>
          <w:szCs w:val="17"/>
          <w:color w:val="auto"/>
          <w:highlight w:val="black"/>
        </w:rPr>
      </w:pPr>
    </w:p>
    <w:p>
      <w:pPr>
        <w:ind w:left="4380"/>
        <w:spacing w:after="0"/>
        <w:rPr>
          <w:rFonts w:ascii="MS PGothic" w:cs="MS PGothic" w:eastAsia="MS PGothic" w:hAnsi="MS PGothic"/>
          <w:sz w:val="17"/>
          <w:szCs w:val="17"/>
          <w:color w:val="auto"/>
          <w:highlight w:val="black"/>
        </w:rPr>
      </w:pPr>
      <w:r>
        <w:rPr>
          <w:rFonts w:ascii="Arial" w:cs="Arial" w:eastAsia="Arial" w:hAnsi="Arial"/>
          <w:sz w:val="17"/>
          <w:szCs w:val="17"/>
          <w:color w:val="auto"/>
        </w:rPr>
        <w:t>Commission File Number 001-40490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2574925</wp:posOffset>
            </wp:positionH>
            <wp:positionV relativeFrom="paragraph">
              <wp:posOffset>139065</wp:posOffset>
            </wp:positionV>
            <wp:extent cx="1992630" cy="653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92630" cy="653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WalkMe Ltd.</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(Translation of Registrant’s name into English)</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State of Israel</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(Jurisdiction of incorporation or organization)</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 Walter Moses St.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Tel Aviv 6789903, Israel</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+972 (3) 763-0333</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Paul Bradley Shinn, Esq.</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General Counsel</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71 Stevenson Street, Floor 20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San Francisco, CA 94105</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Telephone: (855) 492-5563</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Email: investors@walkme.com</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Telephone, E-mail and/or Facsimile number and Address of Company Contact Person)</w:t>
      </w:r>
    </w:p>
    <w:p>
      <w:pPr>
        <w:spacing w:after="0" w:line="194"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or to be registered, pursuant to Section 12(b) of the Act</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Borders>
              <w:bottom w:val="single" w:sz="8" w:color="auto"/>
            </w:tcBorders>
          </w:tcPr>
          <w:p>
            <w:pPr>
              <w:jc w:val="center"/>
              <w:ind w:right="76"/>
              <w:spacing w:after="0"/>
              <w:rPr>
                <w:sz w:val="20"/>
                <w:szCs w:val="20"/>
                <w:color w:val="auto"/>
              </w:rPr>
            </w:pPr>
            <w:r>
              <w:rPr>
                <w:rFonts w:ascii="Arial" w:cs="Arial" w:eastAsia="Arial" w:hAnsi="Arial"/>
                <w:sz w:val="17"/>
                <w:szCs w:val="17"/>
                <w:b w:val="1"/>
                <w:bCs w:val="1"/>
                <w:color w:val="auto"/>
                <w:w w:val="85"/>
              </w:rPr>
              <w:t>Title of each class</w:t>
            </w:r>
          </w:p>
        </w:tc>
        <w:tc>
          <w:tcPr>
            <w:tcW w:w="3160" w:type="dxa"/>
            <w:vAlign w:val="bottom"/>
            <w:tcBorders>
              <w:bottom w:val="single" w:sz="8" w:color="auto"/>
            </w:tcBorders>
          </w:tcPr>
          <w:p>
            <w:pPr>
              <w:jc w:val="center"/>
              <w:ind w:left="196"/>
              <w:spacing w:after="0"/>
              <w:rPr>
                <w:sz w:val="20"/>
                <w:szCs w:val="20"/>
                <w:color w:val="auto"/>
              </w:rPr>
            </w:pPr>
            <w:r>
              <w:rPr>
                <w:rFonts w:ascii="Arial" w:cs="Arial" w:eastAsia="Arial" w:hAnsi="Arial"/>
                <w:sz w:val="17"/>
                <w:szCs w:val="17"/>
                <w:b w:val="1"/>
                <w:bCs w:val="1"/>
                <w:color w:val="auto"/>
                <w:w w:val="88"/>
              </w:rPr>
              <w:t>Trading Symbol(s)</w:t>
            </w:r>
          </w:p>
        </w:tc>
        <w:tc>
          <w:tcPr>
            <w:tcW w:w="4180" w:type="dxa"/>
            <w:vAlign w:val="bottom"/>
            <w:tcBorders>
              <w:bottom w:val="single" w:sz="8" w:color="auto"/>
            </w:tcBorders>
          </w:tcPr>
          <w:p>
            <w:pPr>
              <w:jc w:val="center"/>
              <w:ind w:left="356"/>
              <w:spacing w:after="0"/>
              <w:rPr>
                <w:sz w:val="20"/>
                <w:szCs w:val="20"/>
                <w:color w:val="auto"/>
              </w:rPr>
            </w:pPr>
            <w:r>
              <w:rPr>
                <w:rFonts w:ascii="Arial" w:cs="Arial" w:eastAsia="Arial" w:hAnsi="Arial"/>
                <w:sz w:val="17"/>
                <w:szCs w:val="17"/>
                <w:b w:val="1"/>
                <w:bCs w:val="1"/>
                <w:color w:val="auto"/>
                <w:w w:val="86"/>
              </w:rPr>
              <w:t>Name of each exchange on which registered</w:t>
            </w:r>
          </w:p>
        </w:tc>
      </w:tr>
      <w:tr>
        <w:trPr>
          <w:trHeight w:val="213"/>
        </w:trPr>
        <w:tc>
          <w:tcPr>
            <w:tcW w:w="3900" w:type="dxa"/>
            <w:vAlign w:val="bottom"/>
          </w:tcPr>
          <w:p>
            <w:pPr>
              <w:jc w:val="center"/>
              <w:ind w:right="76"/>
              <w:spacing w:after="0"/>
              <w:rPr>
                <w:sz w:val="20"/>
                <w:szCs w:val="20"/>
                <w:color w:val="auto"/>
              </w:rPr>
            </w:pPr>
            <w:r>
              <w:rPr>
                <w:rFonts w:ascii="Arial" w:cs="Arial" w:eastAsia="Arial" w:hAnsi="Arial"/>
                <w:sz w:val="17"/>
                <w:szCs w:val="17"/>
                <w:color w:val="auto"/>
                <w:w w:val="88"/>
              </w:rPr>
              <w:t>Ordinary shares, no par value</w:t>
            </w:r>
          </w:p>
        </w:tc>
        <w:tc>
          <w:tcPr>
            <w:tcW w:w="3160" w:type="dxa"/>
            <w:vAlign w:val="bottom"/>
          </w:tcPr>
          <w:p>
            <w:pPr>
              <w:jc w:val="center"/>
              <w:ind w:left="196"/>
              <w:spacing w:after="0"/>
              <w:rPr>
                <w:sz w:val="20"/>
                <w:szCs w:val="20"/>
                <w:color w:val="auto"/>
              </w:rPr>
            </w:pPr>
            <w:r>
              <w:rPr>
                <w:rFonts w:ascii="Arial" w:cs="Arial" w:eastAsia="Arial" w:hAnsi="Arial"/>
                <w:sz w:val="17"/>
                <w:szCs w:val="17"/>
                <w:color w:val="auto"/>
                <w:w w:val="98"/>
              </w:rPr>
              <w:t>WKME</w:t>
            </w:r>
          </w:p>
        </w:tc>
        <w:tc>
          <w:tcPr>
            <w:tcW w:w="4180" w:type="dxa"/>
            <w:vAlign w:val="bottom"/>
          </w:tcPr>
          <w:p>
            <w:pPr>
              <w:jc w:val="center"/>
              <w:ind w:left="356"/>
              <w:spacing w:after="0"/>
              <w:rPr>
                <w:sz w:val="20"/>
                <w:szCs w:val="20"/>
                <w:color w:val="auto"/>
              </w:rPr>
            </w:pPr>
            <w:r>
              <w:rPr>
                <w:rFonts w:ascii="Arial" w:cs="Arial" w:eastAsia="Arial" w:hAnsi="Arial"/>
                <w:sz w:val="17"/>
                <w:szCs w:val="17"/>
                <w:color w:val="auto"/>
                <w:w w:val="90"/>
              </w:rPr>
              <w:t>The Nasdaq Stock Market LLC</w:t>
            </w:r>
          </w:p>
        </w:tc>
      </w:tr>
    </w:tbl>
    <w:p>
      <w:pPr>
        <w:spacing w:after="0" w:line="17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or to be registered pursuant to Section 12(g) of the Act: None</w:t>
      </w: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for which there is a reporting obligation pursuant to Section 15(d) of the Act: None</w:t>
      </w:r>
    </w:p>
    <w:p>
      <w:pPr>
        <w:spacing w:after="0" w:line="210" w:lineRule="exact"/>
        <w:rPr>
          <w:sz w:val="24"/>
          <w:szCs w:val="24"/>
          <w:color w:val="auto"/>
        </w:rPr>
      </w:pPr>
    </w:p>
    <w:p>
      <w:pPr>
        <w:jc w:val="both"/>
        <w:spacing w:after="0" w:line="268" w:lineRule="auto"/>
        <w:rPr>
          <w:sz w:val="20"/>
          <w:szCs w:val="20"/>
          <w:color w:val="auto"/>
        </w:rPr>
      </w:pPr>
      <w:r>
        <w:rPr>
          <w:rFonts w:ascii="Arial" w:cs="Arial" w:eastAsia="Arial" w:hAnsi="Arial"/>
          <w:sz w:val="17"/>
          <w:szCs w:val="17"/>
          <w:color w:val="auto"/>
        </w:rPr>
        <w:t>Indicate the number of outstanding shares of each of the issuer’s classes of capital stock or common stock as of the close of the period covered by the annual report. As of December 31, 2021, the registrant had outstanding 83,754,006 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14184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507" w:right="339" w:bottom="1061"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176" w:lineRule="exact"/>
        <w:rPr>
          <w:sz w:val="20"/>
          <w:szCs w:val="20"/>
          <w:color w:val="auto"/>
        </w:rPr>
      </w:pPr>
    </w:p>
    <w:p>
      <w:pPr>
        <w:jc w:val="cente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highlight w:val="black"/>
        </w:rPr>
        <w:t>☒</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this report is an annual or transition report, indicate by check mark if the registrant is not required to file reports pursuant to Section 13 or 15(d) of the Securities Exchange Act of 1934.</w:t>
      </w:r>
    </w:p>
    <w:p>
      <w:pPr>
        <w:spacing w:after="0" w:line="136" w:lineRule="exact"/>
        <w:rPr>
          <w:sz w:val="20"/>
          <w:szCs w:val="20"/>
          <w:color w:val="auto"/>
        </w:rPr>
      </w:pPr>
    </w:p>
    <w:p>
      <w:pPr>
        <w:jc w:val="cente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highlight w:val="black"/>
        </w:rPr>
        <w:t>☐</w:t>
      </w:r>
      <w:r>
        <w:rPr>
          <w:rFonts w:ascii="Arial" w:cs="Arial" w:eastAsia="Arial" w:hAnsi="Arial"/>
          <w:sz w:val="17"/>
          <w:szCs w:val="17"/>
          <w:color w:val="auto"/>
        </w:rPr>
        <w:t xml:space="preserve"> No </w:t>
      </w:r>
      <w:r>
        <w:rPr>
          <w:rFonts w:ascii="MS PGothic" w:cs="MS PGothic" w:eastAsia="MS PGothic" w:hAnsi="MS PGothic"/>
          <w:sz w:val="17"/>
          <w:szCs w:val="17"/>
          <w:color w:val="auto"/>
          <w:highlight w:val="black"/>
        </w:rPr>
        <w:t>☒</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Note—Checking the box above will not relieve any registrant required to file reports pursuant to Section 13 or 15(d) of the Securities Exchange Act of 1934 from their obligations under those Sections.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5" w:lineRule="exact"/>
        <w:rPr>
          <w:sz w:val="20"/>
          <w:szCs w:val="20"/>
          <w:color w:val="auto"/>
        </w:rPr>
      </w:pPr>
    </w:p>
    <w:p>
      <w:pPr>
        <w:jc w:val="cente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highlight w:val="black"/>
        </w:rPr>
        <w:t>☒</w:t>
      </w:r>
      <w:r>
        <w:rPr>
          <w:rFonts w:ascii="Arial" w:cs="Arial" w:eastAsia="Arial" w:hAnsi="Arial"/>
          <w:sz w:val="17"/>
          <w:szCs w:val="17"/>
          <w:color w:val="auto"/>
        </w:rPr>
        <w:t xml:space="preserve"> No </w:t>
      </w:r>
      <w:r>
        <w:rPr>
          <w:rFonts w:ascii="MS PGothic" w:cs="MS PGothic" w:eastAsia="MS PGothic" w:hAnsi="MS PGothic"/>
          <w:sz w:val="17"/>
          <w:szCs w:val="17"/>
          <w:color w:val="auto"/>
          <w:highlight w:val="black"/>
        </w:rPr>
        <w:t>☐</w:t>
      </w:r>
    </w:p>
    <w:p>
      <w:pPr>
        <w:spacing w:after="0" w:line="23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14" w:lineRule="exact"/>
        <w:rPr>
          <w:sz w:val="20"/>
          <w:szCs w:val="20"/>
          <w:color w:val="auto"/>
        </w:rPr>
      </w:pPr>
    </w:p>
    <w:p>
      <w:pPr>
        <w:jc w:val="cente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highlight w:val="black"/>
        </w:rPr>
        <w:t>☒</w:t>
      </w:r>
      <w:r>
        <w:rPr>
          <w:rFonts w:ascii="Arial" w:cs="Arial" w:eastAsia="Arial" w:hAnsi="Arial"/>
          <w:sz w:val="17"/>
          <w:szCs w:val="17"/>
          <w:color w:val="auto"/>
        </w:rPr>
        <w:t xml:space="preserve"> No </w:t>
      </w:r>
      <w:r>
        <w:rPr>
          <w:rFonts w:ascii="MS PGothic" w:cs="MS PGothic" w:eastAsia="MS PGothic" w:hAnsi="MS PGothic"/>
          <w:sz w:val="17"/>
          <w:szCs w:val="17"/>
          <w:color w:val="auto"/>
          <w:highlight w:val="black"/>
        </w:rPr>
        <w:t>☐</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See definitions of “large accelerated filer,” “accelerated filer,” and “emerging growth company” in Rule 12b-2 of the Exchange Act.</w:t>
      </w:r>
    </w:p>
    <w:p>
      <w:pPr>
        <w:spacing w:after="0" w:line="136" w:lineRule="exact"/>
        <w:rPr>
          <w:sz w:val="20"/>
          <w:szCs w:val="20"/>
          <w:color w:val="auto"/>
        </w:rPr>
      </w:pPr>
    </w:p>
    <w:p>
      <w:pPr>
        <w:ind w:left="500"/>
        <w:spacing w:after="0" w:line="196" w:lineRule="exact"/>
        <w:tabs>
          <w:tab w:leader="none" w:pos="3500" w:val="left"/>
          <w:tab w:leader="none" w:pos="6160" w:val="left"/>
          <w:tab w:leader="none" w:pos="8760" w:val="left"/>
        </w:tabs>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 xml:space="preserve"> Large accelerated filer</w:t>
      </w:r>
      <w:r>
        <w:rPr>
          <w:sz w:val="20"/>
          <w:szCs w:val="20"/>
          <w:color w:val="auto"/>
        </w:rPr>
        <w:tab/>
      </w:r>
      <w:r>
        <w:rPr>
          <w:rFonts w:ascii="MS PGothic" w:cs="MS PGothic" w:eastAsia="MS PGothic" w:hAnsi="MS PGothic"/>
          <w:sz w:val="17"/>
          <w:szCs w:val="17"/>
          <w:color w:val="auto"/>
          <w:highlight w:val="black"/>
        </w:rPr>
        <w:t xml:space="preserve">☐ </w:t>
      </w:r>
      <w:r>
        <w:rPr>
          <w:rFonts w:ascii="Arial" w:cs="Arial" w:eastAsia="Arial" w:hAnsi="Arial"/>
          <w:sz w:val="17"/>
          <w:szCs w:val="17"/>
          <w:b w:val="1"/>
          <w:bCs w:val="1"/>
          <w:color w:val="auto"/>
        </w:rPr>
        <w:t>Accelerated filer</w:t>
      </w:r>
      <w:r>
        <w:rPr>
          <w:sz w:val="20"/>
          <w:szCs w:val="20"/>
          <w:color w:val="auto"/>
        </w:rPr>
        <w:tab/>
      </w:r>
      <w:r>
        <w:rPr>
          <w:rFonts w:ascii="MS PGothic" w:cs="MS PGothic" w:eastAsia="MS PGothic" w:hAnsi="MS PGothic"/>
          <w:sz w:val="17"/>
          <w:szCs w:val="17"/>
          <w:color w:val="auto"/>
          <w:highlight w:val="black"/>
        </w:rPr>
        <w:t xml:space="preserve">☒ </w:t>
      </w:r>
      <w:r>
        <w:rPr>
          <w:rFonts w:ascii="Arial" w:cs="Arial" w:eastAsia="Arial" w:hAnsi="Arial"/>
          <w:sz w:val="17"/>
          <w:szCs w:val="17"/>
          <w:b w:val="1"/>
          <w:bCs w:val="1"/>
          <w:color w:val="auto"/>
        </w:rPr>
        <w:t>Non-accelerated filer</w:t>
      </w:r>
      <w:r>
        <w:rPr>
          <w:sz w:val="20"/>
          <w:szCs w:val="20"/>
          <w:color w:val="auto"/>
        </w:rPr>
        <w:tab/>
      </w:r>
      <w:r>
        <w:rPr>
          <w:rFonts w:ascii="MS PGothic" w:cs="MS PGothic" w:eastAsia="MS PGothic" w:hAnsi="MS PGothic"/>
          <w:sz w:val="15"/>
          <w:szCs w:val="15"/>
          <w:color w:val="auto"/>
          <w:highlight w:val="black"/>
        </w:rPr>
        <w:t xml:space="preserve">☒ </w:t>
      </w:r>
      <w:r>
        <w:rPr>
          <w:rFonts w:ascii="Arial" w:cs="Arial" w:eastAsia="Arial" w:hAnsi="Arial"/>
          <w:sz w:val="15"/>
          <w:szCs w:val="15"/>
          <w:b w:val="1"/>
          <w:bCs w:val="1"/>
          <w:color w:val="auto"/>
        </w:rPr>
        <w:t>Emerging growth company</w:t>
      </w:r>
    </w:p>
    <w:p>
      <w:pPr>
        <w:spacing w:after="0" w:line="236" w:lineRule="exact"/>
        <w:rPr>
          <w:sz w:val="20"/>
          <w:szCs w:val="20"/>
          <w:color w:val="auto"/>
        </w:rPr>
      </w:pPr>
    </w:p>
    <w:p>
      <w:pPr>
        <w:jc w:val="both"/>
        <w:spacing w:after="0" w:line="216" w:lineRule="exact"/>
        <w:rPr>
          <w:sz w:val="20"/>
          <w:szCs w:val="20"/>
          <w:color w:val="auto"/>
        </w:rPr>
      </w:pPr>
      <w:r>
        <w:rPr>
          <w:rFonts w:ascii="Arial" w:cs="Arial" w:eastAsia="Arial" w:hAnsi="Arial"/>
          <w:sz w:val="15"/>
          <w:szCs w:val="15"/>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highlight w:val="black"/>
        </w:rPr>
        <w:t>☐</w:t>
      </w:r>
    </w:p>
    <w:p>
      <w:pPr>
        <w:spacing w:after="0" w:line="171" w:lineRule="exact"/>
        <w:rPr>
          <w:sz w:val="20"/>
          <w:szCs w:val="20"/>
          <w:color w:val="auto"/>
        </w:rPr>
      </w:pPr>
    </w:p>
    <w:p>
      <w:pPr>
        <w:jc w:val="both"/>
        <w:spacing w:after="0" w:line="211" w:lineRule="exact"/>
        <w:rPr>
          <w:sz w:val="20"/>
          <w:szCs w:val="20"/>
          <w:color w:val="auto"/>
        </w:rPr>
      </w:pPr>
      <w:r>
        <w:rPr>
          <w:rFonts w:ascii="Arial" w:cs="Arial" w:eastAsia="Arial" w:hAnsi="Arial"/>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7"/>
          <w:szCs w:val="17"/>
          <w:color w:val="auto"/>
          <w:highlight w:val="black"/>
        </w:rPr>
        <w: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127" w:right="339" w:bottom="1440" w:gutter="0" w:footer="0" w:header="0"/>
        </w:sectPr>
      </w:pPr>
    </w:p>
    <w:p>
      <w:pPr>
        <w:spacing w:after="0" w:line="176" w:lineRule="exact"/>
        <w:rPr>
          <w:sz w:val="20"/>
          <w:szCs w:val="20"/>
          <w:color w:val="auto"/>
        </w:rPr>
      </w:pPr>
    </w:p>
    <w:p>
      <w:pPr>
        <w:ind w:left="90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 GAAP</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420"/>
        <w:spacing w:after="0" w:line="173" w:lineRule="exact"/>
        <w:rPr>
          <w:sz w:val="20"/>
          <w:szCs w:val="20"/>
          <w:color w:val="auto"/>
        </w:rPr>
      </w:pPr>
      <w:r>
        <w:rPr>
          <w:rFonts w:ascii="MS PGothic" w:cs="MS PGothic" w:eastAsia="MS PGothic" w:hAnsi="MS PGothic"/>
          <w:sz w:val="15"/>
          <w:szCs w:val="15"/>
          <w:color w:val="auto"/>
          <w:highlight w:val="black"/>
        </w:rPr>
        <w:t>☐</w:t>
      </w:r>
      <w:r>
        <w:rPr>
          <w:rFonts w:ascii="Arial" w:cs="Arial" w:eastAsia="Arial" w:hAnsi="Arial"/>
          <w:sz w:val="15"/>
          <w:szCs w:val="15"/>
          <w:b w:val="1"/>
          <w:bCs w:val="1"/>
          <w:color w:val="auto"/>
        </w:rPr>
        <w:t xml:space="preserve"> International Financial Reporting Standards as issued by the International</w:t>
      </w:r>
    </w:p>
    <w:p>
      <w:pPr>
        <w:spacing w:after="0" w:line="73"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Accounting Standards Board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08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b w:val="1"/>
          <w:bCs w:val="1"/>
          <w:color w:val="auto"/>
        </w:rPr>
        <w:t xml:space="preserve"> Other</w:t>
      </w:r>
    </w:p>
    <w:p>
      <w:pPr>
        <w:spacing w:after="0" w:line="460" w:lineRule="exact"/>
        <w:rPr>
          <w:sz w:val="20"/>
          <w:szCs w:val="20"/>
          <w:color w:val="auto"/>
        </w:rPr>
      </w:pPr>
    </w:p>
    <w:p>
      <w:pPr>
        <w:sectPr>
          <w:pgSz w:w="11900" w:h="16838" w:orient="portrait"/>
          <w:cols w:equalWidth="0" w:num="4">
            <w:col w:w="1060" w:space="40"/>
            <w:col w:w="1040" w:space="720"/>
            <w:col w:w="5960" w:space="720"/>
            <w:col w:w="1700"/>
          </w:cols>
          <w:pgMar w:left="320" w:top="127" w:right="339" w:bottom="1440" w:gutter="0" w:footer="0" w:header="0"/>
          <w:type w:val="continuous"/>
        </w:sectPr>
      </w:pPr>
    </w:p>
    <w:p>
      <w:pPr>
        <w:spacing w:after="0"/>
        <w:rPr>
          <w:sz w:val="20"/>
          <w:szCs w:val="20"/>
          <w:color w:val="auto"/>
        </w:rPr>
      </w:pPr>
      <w:r>
        <w:rPr>
          <w:rFonts w:ascii="Arial" w:cs="Arial" w:eastAsia="Arial" w:hAnsi="Arial"/>
          <w:sz w:val="15"/>
          <w:szCs w:val="15"/>
          <w:color w:val="auto"/>
        </w:rPr>
        <w:t>If “Other” has been checked in response to the previous question indicate by check mark which financial statement item the registrant has elected to follow.</w:t>
      </w:r>
    </w:p>
    <w:p>
      <w:pPr>
        <w:spacing w:after="0" w:line="199" w:lineRule="exact"/>
        <w:rPr>
          <w:sz w:val="20"/>
          <w:szCs w:val="20"/>
          <w:color w:val="auto"/>
        </w:rPr>
      </w:pPr>
    </w:p>
    <w:p>
      <w:pPr>
        <w:jc w:val="center"/>
        <w:spacing w:after="0" w:line="196" w:lineRule="exact"/>
        <w:rPr>
          <w:sz w:val="20"/>
          <w:szCs w:val="20"/>
          <w:color w:val="auto"/>
        </w:rPr>
      </w:pPr>
      <w:r>
        <w:rPr>
          <w:rFonts w:ascii="Arial" w:cs="Arial" w:eastAsia="Arial" w:hAnsi="Arial"/>
          <w:sz w:val="17"/>
          <w:szCs w:val="17"/>
          <w:color w:val="auto"/>
        </w:rPr>
        <w:t xml:space="preserve">Item 17 </w:t>
      </w:r>
      <w:r>
        <w:rPr>
          <w:rFonts w:ascii="MS PGothic" w:cs="MS PGothic" w:eastAsia="MS PGothic" w:hAnsi="MS PGothic"/>
          <w:sz w:val="17"/>
          <w:szCs w:val="17"/>
          <w:color w:val="auto"/>
          <w:highlight w:val="black"/>
        </w:rPr>
        <w:t>☐</w:t>
      </w:r>
      <w:r>
        <w:rPr>
          <w:rFonts w:ascii="Arial" w:cs="Arial" w:eastAsia="Arial" w:hAnsi="Arial"/>
          <w:sz w:val="17"/>
          <w:szCs w:val="17"/>
          <w:color w:val="auto"/>
        </w:rPr>
        <w:t xml:space="preserve"> Item 18 </w:t>
      </w:r>
      <w:r>
        <w:rPr>
          <w:rFonts w:ascii="MS PGothic" w:cs="MS PGothic" w:eastAsia="MS PGothic" w:hAnsi="MS PGothic"/>
          <w:sz w:val="17"/>
          <w:szCs w:val="17"/>
          <w:color w:val="auto"/>
          <w:highlight w:val="black"/>
        </w:rPr>
        <w:t>☐</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If this is an annual report, indicate by check mark whether the registrant is a shell company (as defined in Rule 12b-2 of the Exchange Act).</w:t>
      </w:r>
    </w:p>
    <w:p>
      <w:pPr>
        <w:spacing w:after="0" w:line="188" w:lineRule="exact"/>
        <w:rPr>
          <w:sz w:val="20"/>
          <w:szCs w:val="20"/>
          <w:color w:val="auto"/>
        </w:rPr>
      </w:pPr>
    </w:p>
    <w:p>
      <w:pPr>
        <w:jc w:val="cente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highlight w:val="black"/>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gridSpan w:val="6"/>
          </w:tcPr>
          <w:p>
            <w:pPr>
              <w:ind w:left="240"/>
              <w:spacing w:after="0"/>
              <w:rPr>
                <w:sz w:val="20"/>
                <w:szCs w:val="20"/>
                <w:color w:val="auto"/>
              </w:rPr>
            </w:pPr>
            <w:r>
              <w:rPr>
                <w:rFonts w:ascii="Arial" w:cs="Arial" w:eastAsia="Arial" w:hAnsi="Arial"/>
                <w:sz w:val="17"/>
                <w:szCs w:val="17"/>
                <w:b w:val="1"/>
                <w:bCs w:val="1"/>
                <w:color w:val="auto"/>
              </w:rPr>
              <w:t>CONTENTS</w:t>
            </w:r>
          </w:p>
        </w:tc>
        <w:tc>
          <w:tcPr>
            <w:tcW w:w="2760" w:type="dxa"/>
            <w:vAlign w:val="bottom"/>
          </w:tcPr>
          <w:p>
            <w:pPr>
              <w:spacing w:after="0"/>
              <w:rPr>
                <w:sz w:val="18"/>
                <w:szCs w:val="18"/>
                <w:color w:val="auto"/>
              </w:rPr>
            </w:pPr>
          </w:p>
        </w:tc>
      </w:tr>
      <w:tr>
        <w:trPr>
          <w:trHeight w:val="389"/>
        </w:trPr>
        <w:tc>
          <w:tcPr>
            <w:tcW w:w="20" w:type="dxa"/>
            <w:vAlign w:val="bottom"/>
          </w:tcPr>
          <w:p>
            <w:pPr>
              <w:spacing w:after="0"/>
              <w:rPr>
                <w:sz w:val="24"/>
                <w:szCs w:val="24"/>
                <w:color w:val="auto"/>
              </w:rPr>
            </w:pPr>
          </w:p>
        </w:tc>
        <w:tc>
          <w:tcPr>
            <w:tcW w:w="8460" w:type="dxa"/>
            <w:vAlign w:val="bottom"/>
            <w:gridSpan w:val="16"/>
          </w:tcPr>
          <w:p>
            <w:pPr>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INTRODUCTION</w:t>
              </w:r>
            </w:hyperlink>
          </w:p>
        </w:tc>
        <w:tc>
          <w:tcPr>
            <w:tcW w:w="2760" w:type="dxa"/>
            <w:vAlign w:val="bottom"/>
          </w:tcPr>
          <w:p>
            <w:pPr>
              <w:ind w:left="2240"/>
              <w:spacing w:after="0"/>
              <w:rPr>
                <w:sz w:val="20"/>
                <w:szCs w:val="20"/>
                <w:color w:val="auto"/>
              </w:rPr>
            </w:pPr>
            <w:r>
              <w:rPr>
                <w:rFonts w:ascii="Arial" w:cs="Arial" w:eastAsia="Arial" w:hAnsi="Arial"/>
                <w:sz w:val="17"/>
                <w:szCs w:val="17"/>
                <w:b w:val="1"/>
                <w:bCs w:val="1"/>
                <w:color w:val="auto"/>
              </w:rPr>
              <w:t>5</w:t>
            </w:r>
          </w:p>
        </w:tc>
      </w:tr>
      <w:tr>
        <w:trPr>
          <w:trHeight w:val="20"/>
        </w:trPr>
        <w:tc>
          <w:tcPr>
            <w:tcW w:w="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240" w:type="dxa"/>
            <w:vAlign w:val="bottom"/>
            <w:tcBorders>
              <w:bottom w:val="single" w:sz="8" w:color="0000EE"/>
            </w:tcBorders>
            <w:gridSpan w:val="15"/>
          </w:tcPr>
          <w:p>
            <w:pPr>
              <w:spacing w:after="0"/>
              <w:rPr>
                <w:rFonts w:ascii="Arial" w:cs="Arial" w:eastAsia="Arial" w:hAnsi="Arial"/>
                <w:sz w:val="17"/>
                <w:szCs w:val="17"/>
                <w:b w:val="1"/>
                <w:bCs w:val="1"/>
                <w:color w:val="0000EE"/>
                <w:w w:val="98"/>
              </w:rPr>
            </w:pPr>
            <w:hyperlink w:anchor="page5">
              <w:r>
                <w:rPr>
                  <w:rFonts w:ascii="Arial" w:cs="Arial" w:eastAsia="Arial" w:hAnsi="Arial"/>
                  <w:sz w:val="17"/>
                  <w:szCs w:val="17"/>
                  <w:b w:val="1"/>
                  <w:bCs w:val="1"/>
                  <w:color w:val="0000EE"/>
                  <w:w w:val="98"/>
                </w:rPr>
                <w:t>CAUTIONARY STATEMENT REGARDING FORWARD-LOOKING STATEMENTS</w:t>
              </w:r>
            </w:hyperlink>
          </w:p>
        </w:tc>
        <w:tc>
          <w:tcPr>
            <w:tcW w:w="2220" w:type="dxa"/>
            <w:vAlign w:val="bottom"/>
          </w:tcPr>
          <w:p>
            <w:pPr>
              <w:spacing w:after="0"/>
              <w:rPr>
                <w:sz w:val="20"/>
                <w:szCs w:val="20"/>
                <w:color w:val="auto"/>
              </w:rPr>
            </w:pPr>
          </w:p>
        </w:tc>
        <w:tc>
          <w:tcPr>
            <w:tcW w:w="2760" w:type="dxa"/>
            <w:vAlign w:val="bottom"/>
          </w:tcPr>
          <w:p>
            <w:pPr>
              <w:ind w:left="2240"/>
              <w:spacing w:after="0"/>
              <w:rPr>
                <w:sz w:val="20"/>
                <w:szCs w:val="20"/>
                <w:color w:val="auto"/>
              </w:rPr>
            </w:pPr>
            <w:r>
              <w:rPr>
                <w:rFonts w:ascii="Arial" w:cs="Arial" w:eastAsia="Arial" w:hAnsi="Arial"/>
                <w:sz w:val="17"/>
                <w:szCs w:val="17"/>
                <w:b w:val="1"/>
                <w:bCs w:val="1"/>
                <w:color w:val="auto"/>
              </w:rPr>
              <w:t>5</w:t>
            </w:r>
          </w:p>
        </w:tc>
      </w:tr>
      <w:tr>
        <w:trPr>
          <w:trHeight w:val="231"/>
        </w:trPr>
        <w:tc>
          <w:tcPr>
            <w:tcW w:w="20" w:type="dxa"/>
            <w:vAlign w:val="bottom"/>
          </w:tcPr>
          <w:p>
            <w:pPr>
              <w:spacing w:after="0"/>
              <w:rPr>
                <w:sz w:val="20"/>
                <w:szCs w:val="20"/>
                <w:color w:val="auto"/>
              </w:rPr>
            </w:pPr>
          </w:p>
        </w:tc>
        <w:tc>
          <w:tcPr>
            <w:tcW w:w="8460" w:type="dxa"/>
            <w:vAlign w:val="bottom"/>
            <w:gridSpan w:val="16"/>
          </w:tcPr>
          <w:p>
            <w:pPr>
              <w:spacing w:after="0"/>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PRESENTATION OF FINANCIAL AND OTHER INFORMATION</w:t>
              </w:r>
            </w:hyperlink>
          </w:p>
        </w:tc>
        <w:tc>
          <w:tcPr>
            <w:tcW w:w="2760" w:type="dxa"/>
            <w:vAlign w:val="bottom"/>
          </w:tcPr>
          <w:p>
            <w:pPr>
              <w:ind w:left="2240"/>
              <w:spacing w:after="0"/>
              <w:rPr>
                <w:sz w:val="20"/>
                <w:szCs w:val="20"/>
                <w:color w:val="auto"/>
              </w:rPr>
            </w:pPr>
            <w:r>
              <w:rPr>
                <w:rFonts w:ascii="Arial" w:cs="Arial" w:eastAsia="Arial" w:hAnsi="Arial"/>
                <w:sz w:val="17"/>
                <w:szCs w:val="17"/>
                <w:color w:val="auto"/>
              </w:rPr>
              <w:t>7</w:t>
            </w:r>
          </w:p>
        </w:tc>
      </w:tr>
      <w:tr>
        <w:trPr>
          <w:trHeight w:val="231"/>
        </w:trPr>
        <w:tc>
          <w:tcPr>
            <w:tcW w:w="20" w:type="dxa"/>
            <w:vAlign w:val="bottom"/>
          </w:tcPr>
          <w:p>
            <w:pPr>
              <w:spacing w:after="0"/>
              <w:rPr>
                <w:sz w:val="20"/>
                <w:szCs w:val="20"/>
                <w:color w:val="auto"/>
              </w:rPr>
            </w:pPr>
          </w:p>
        </w:tc>
        <w:tc>
          <w:tcPr>
            <w:tcW w:w="540" w:type="dxa"/>
            <w:vAlign w:val="bottom"/>
            <w:tcBorders>
              <w:top w:val="single" w:sz="8" w:color="0000EE"/>
              <w:bottom w:val="single" w:sz="8" w:color="0000EE"/>
            </w:tcBorders>
          </w:tcPr>
          <w:p>
            <w:pPr>
              <w:spacing w:after="0"/>
              <w:rPr>
                <w:rFonts w:ascii="Arial" w:cs="Arial" w:eastAsia="Arial" w:hAnsi="Arial"/>
                <w:sz w:val="17"/>
                <w:szCs w:val="17"/>
                <w:b w:val="1"/>
                <w:bCs w:val="1"/>
                <w:color w:val="0000EE"/>
                <w:w w:val="93"/>
              </w:rPr>
            </w:pPr>
            <w:hyperlink w:anchor="page8">
              <w:r>
                <w:rPr>
                  <w:rFonts w:ascii="Arial" w:cs="Arial" w:eastAsia="Arial" w:hAnsi="Arial"/>
                  <w:sz w:val="17"/>
                  <w:szCs w:val="17"/>
                  <w:b w:val="1"/>
                  <w:bCs w:val="1"/>
                  <w:color w:val="0000EE"/>
                  <w:w w:val="93"/>
                </w:rPr>
                <w:t>PART I</w:t>
              </w:r>
            </w:hyperlink>
          </w:p>
        </w:tc>
        <w:tc>
          <w:tcPr>
            <w:tcW w:w="800" w:type="dxa"/>
            <w:vAlign w:val="bottom"/>
            <w:tcBorders>
              <w:top w:val="single" w:sz="8" w:color="0000EE"/>
            </w:tcBorders>
          </w:tcPr>
          <w:p>
            <w:pPr>
              <w:spacing w:after="0"/>
              <w:rPr>
                <w:sz w:val="20"/>
                <w:szCs w:val="20"/>
                <w:color w:val="auto"/>
              </w:rPr>
            </w:pPr>
          </w:p>
        </w:tc>
        <w:tc>
          <w:tcPr>
            <w:tcW w:w="96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60" w:type="dxa"/>
            <w:vAlign w:val="bottom"/>
          </w:tcPr>
          <w:p>
            <w:pPr>
              <w:ind w:left="2240"/>
              <w:spacing w:after="0"/>
              <w:rPr>
                <w:sz w:val="20"/>
                <w:szCs w:val="20"/>
                <w:color w:val="auto"/>
              </w:rPr>
            </w:pPr>
            <w:r>
              <w:rPr>
                <w:rFonts w:ascii="Arial" w:cs="Arial" w:eastAsia="Arial" w:hAnsi="Arial"/>
                <w:sz w:val="17"/>
                <w:szCs w:val="17"/>
                <w:b w:val="1"/>
                <w:bCs w:val="1"/>
                <w:color w:val="auto"/>
              </w:rPr>
              <w:t>8</w:t>
            </w:r>
          </w:p>
        </w:tc>
      </w:tr>
      <w:tr>
        <w:trPr>
          <w:trHeight w:val="231"/>
        </w:trPr>
        <w:tc>
          <w:tcPr>
            <w:tcW w:w="20" w:type="dxa"/>
            <w:vAlign w:val="bottom"/>
          </w:tcPr>
          <w:p>
            <w:pPr>
              <w:spacing w:after="0"/>
              <w:rPr>
                <w:sz w:val="20"/>
                <w:szCs w:val="20"/>
                <w:color w:val="auto"/>
              </w:rPr>
            </w:pPr>
          </w:p>
        </w:tc>
        <w:tc>
          <w:tcPr>
            <w:tcW w:w="6120" w:type="dxa"/>
            <w:vAlign w:val="bottom"/>
            <w:tcBorders>
              <w:bottom w:val="single" w:sz="8" w:color="0000EE"/>
            </w:tcBorders>
            <w:gridSpan w:val="14"/>
          </w:tcPr>
          <w:p>
            <w:pPr>
              <w:spacing w:after="0"/>
              <w:rPr>
                <w:rFonts w:ascii="Arial" w:cs="Arial" w:eastAsia="Arial" w:hAnsi="Arial"/>
                <w:sz w:val="17"/>
                <w:szCs w:val="17"/>
                <w:b w:val="1"/>
                <w:bCs w:val="1"/>
                <w:color w:val="0000EE"/>
                <w:w w:val="99"/>
              </w:rPr>
            </w:pPr>
            <w:hyperlink w:anchor="page8">
              <w:r>
                <w:rPr>
                  <w:rFonts w:ascii="Arial" w:cs="Arial" w:eastAsia="Arial" w:hAnsi="Arial"/>
                  <w:sz w:val="17"/>
                  <w:szCs w:val="17"/>
                  <w:b w:val="1"/>
                  <w:bCs w:val="1"/>
                  <w:color w:val="0000EE"/>
                  <w:w w:val="99"/>
                </w:rPr>
                <w:t>ITEM 1. IDENTITY OF DIRECTORS, SENIOR MANAGEMENT AND ADVISERS</w:t>
              </w:r>
            </w:hyperlink>
          </w:p>
        </w:tc>
        <w:tc>
          <w:tcPr>
            <w:tcW w:w="2340" w:type="dxa"/>
            <w:vAlign w:val="bottom"/>
            <w:gridSpan w:val="2"/>
          </w:tcPr>
          <w:p>
            <w:pPr>
              <w:spacing w:after="0"/>
              <w:rPr>
                <w:sz w:val="20"/>
                <w:szCs w:val="20"/>
                <w:color w:val="auto"/>
              </w:rPr>
            </w:pPr>
          </w:p>
        </w:tc>
        <w:tc>
          <w:tcPr>
            <w:tcW w:w="2760" w:type="dxa"/>
            <w:vAlign w:val="bottom"/>
          </w:tcPr>
          <w:p>
            <w:pPr>
              <w:ind w:left="2240"/>
              <w:spacing w:after="0"/>
              <w:rPr>
                <w:sz w:val="20"/>
                <w:szCs w:val="20"/>
                <w:color w:val="auto"/>
              </w:rPr>
            </w:pPr>
            <w:r>
              <w:rPr>
                <w:rFonts w:ascii="Arial" w:cs="Arial" w:eastAsia="Arial" w:hAnsi="Arial"/>
                <w:sz w:val="17"/>
                <w:szCs w:val="17"/>
                <w:b w:val="1"/>
                <w:bCs w:val="1"/>
                <w:color w:val="auto"/>
              </w:rPr>
              <w:t>8</w:t>
            </w:r>
          </w:p>
        </w:tc>
      </w:tr>
      <w:tr>
        <w:trPr>
          <w:trHeight w:val="231"/>
        </w:trPr>
        <w:tc>
          <w:tcPr>
            <w:tcW w:w="20" w:type="dxa"/>
            <w:vAlign w:val="bottom"/>
          </w:tcPr>
          <w:p>
            <w:pPr>
              <w:spacing w:after="0"/>
              <w:rPr>
                <w:sz w:val="20"/>
                <w:szCs w:val="20"/>
                <w:color w:val="auto"/>
              </w:rPr>
            </w:pPr>
          </w:p>
        </w:tc>
        <w:tc>
          <w:tcPr>
            <w:tcW w:w="4640" w:type="dxa"/>
            <w:vAlign w:val="bottom"/>
            <w:tcBorders>
              <w:bottom w:val="single" w:sz="8" w:color="0000EE"/>
            </w:tcBorders>
            <w:gridSpan w:val="9"/>
          </w:tcPr>
          <w:p>
            <w:pPr>
              <w:spacing w:after="0"/>
              <w:rPr>
                <w:rFonts w:ascii="Arial" w:cs="Arial" w:eastAsia="Arial" w:hAnsi="Arial"/>
                <w:sz w:val="17"/>
                <w:szCs w:val="17"/>
                <w:b w:val="1"/>
                <w:bCs w:val="1"/>
                <w:color w:val="0000EE"/>
                <w:w w:val="99"/>
              </w:rPr>
            </w:pPr>
            <w:hyperlink w:anchor="page8">
              <w:r>
                <w:rPr>
                  <w:rFonts w:ascii="Arial" w:cs="Arial" w:eastAsia="Arial" w:hAnsi="Arial"/>
                  <w:sz w:val="17"/>
                  <w:szCs w:val="17"/>
                  <w:b w:val="1"/>
                  <w:bCs w:val="1"/>
                  <w:color w:val="0000EE"/>
                  <w:w w:val="99"/>
                </w:rPr>
                <w:t>ITEM 2. OFFER STATISTICS AND EXPECTED TIMETABLE</w:t>
              </w:r>
            </w:hyperlink>
          </w:p>
        </w:tc>
        <w:tc>
          <w:tcPr>
            <w:tcW w:w="3820" w:type="dxa"/>
            <w:vAlign w:val="bottom"/>
            <w:gridSpan w:val="7"/>
          </w:tcPr>
          <w:p>
            <w:pPr>
              <w:spacing w:after="0"/>
              <w:rPr>
                <w:sz w:val="20"/>
                <w:szCs w:val="20"/>
                <w:color w:val="auto"/>
              </w:rPr>
            </w:pPr>
          </w:p>
        </w:tc>
        <w:tc>
          <w:tcPr>
            <w:tcW w:w="2760" w:type="dxa"/>
            <w:vAlign w:val="bottom"/>
          </w:tcPr>
          <w:p>
            <w:pPr>
              <w:ind w:left="2240"/>
              <w:spacing w:after="0"/>
              <w:rPr>
                <w:sz w:val="20"/>
                <w:szCs w:val="20"/>
                <w:color w:val="auto"/>
              </w:rPr>
            </w:pPr>
            <w:r>
              <w:rPr>
                <w:rFonts w:ascii="Arial" w:cs="Arial" w:eastAsia="Arial" w:hAnsi="Arial"/>
                <w:sz w:val="17"/>
                <w:szCs w:val="17"/>
                <w:b w:val="1"/>
                <w:bCs w:val="1"/>
                <w:color w:val="auto"/>
              </w:rPr>
              <w:t>8</w:t>
            </w:r>
          </w:p>
        </w:tc>
      </w:tr>
      <w:tr>
        <w:trPr>
          <w:trHeight w:val="231"/>
        </w:trPr>
        <w:tc>
          <w:tcPr>
            <w:tcW w:w="20" w:type="dxa"/>
            <w:vAlign w:val="bottom"/>
          </w:tcPr>
          <w:p>
            <w:pPr>
              <w:spacing w:after="0"/>
              <w:rPr>
                <w:sz w:val="20"/>
                <w:szCs w:val="20"/>
                <w:color w:val="auto"/>
              </w:rPr>
            </w:pPr>
          </w:p>
        </w:tc>
        <w:tc>
          <w:tcPr>
            <w:tcW w:w="2300" w:type="dxa"/>
            <w:vAlign w:val="bottom"/>
            <w:tcBorders>
              <w:bottom w:val="single" w:sz="8" w:color="0000EE"/>
            </w:tcBorders>
            <w:gridSpan w:val="3"/>
          </w:tcPr>
          <w:p>
            <w:pPr>
              <w:spacing w:after="0"/>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ITEM 3. KEY INFORMATION</w:t>
              </w:r>
            </w:hyperlink>
          </w:p>
        </w:tc>
        <w:tc>
          <w:tcPr>
            <w:tcW w:w="6160" w:type="dxa"/>
            <w:vAlign w:val="bottom"/>
            <w:gridSpan w:val="13"/>
          </w:tcPr>
          <w:p>
            <w:pPr>
              <w:spacing w:after="0"/>
              <w:rPr>
                <w:sz w:val="20"/>
                <w:szCs w:val="20"/>
                <w:color w:val="auto"/>
              </w:rPr>
            </w:pPr>
          </w:p>
        </w:tc>
        <w:tc>
          <w:tcPr>
            <w:tcW w:w="2760" w:type="dxa"/>
            <w:vAlign w:val="bottom"/>
          </w:tcPr>
          <w:p>
            <w:pPr>
              <w:ind w:left="2240"/>
              <w:spacing w:after="0"/>
              <w:rPr>
                <w:sz w:val="20"/>
                <w:szCs w:val="20"/>
                <w:color w:val="auto"/>
              </w:rPr>
            </w:pPr>
            <w:r>
              <w:rPr>
                <w:rFonts w:ascii="Arial" w:cs="Arial" w:eastAsia="Arial" w:hAnsi="Arial"/>
                <w:sz w:val="17"/>
                <w:szCs w:val="17"/>
                <w:b w:val="1"/>
                <w:bCs w:val="1"/>
                <w:color w:val="auto"/>
              </w:rPr>
              <w:t>8</w:t>
            </w:r>
          </w:p>
        </w:tc>
      </w:tr>
      <w:tr>
        <w:trPr>
          <w:trHeight w:val="268"/>
        </w:trPr>
        <w:tc>
          <w:tcPr>
            <w:tcW w:w="20" w:type="dxa"/>
            <w:vAlign w:val="bottom"/>
          </w:tcPr>
          <w:p>
            <w:pPr>
              <w:spacing w:after="0"/>
              <w:rPr>
                <w:sz w:val="23"/>
                <w:szCs w:val="23"/>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A. [Reserved.]</w:t>
            </w:r>
          </w:p>
        </w:tc>
        <w:tc>
          <w:tcPr>
            <w:tcW w:w="2760" w:type="dxa"/>
            <w:vAlign w:val="bottom"/>
          </w:tcPr>
          <w:p>
            <w:pPr>
              <w:ind w:left="2240"/>
              <w:spacing w:after="0"/>
              <w:rPr>
                <w:sz w:val="20"/>
                <w:szCs w:val="20"/>
                <w:color w:val="auto"/>
              </w:rPr>
            </w:pPr>
            <w:r>
              <w:rPr>
                <w:rFonts w:ascii="Arial" w:cs="Arial" w:eastAsia="Arial" w:hAnsi="Arial"/>
                <w:sz w:val="17"/>
                <w:szCs w:val="17"/>
                <w:color w:val="auto"/>
              </w:rPr>
              <w:t>8</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B. Capitalization and Indebtedness</w:t>
            </w:r>
          </w:p>
        </w:tc>
        <w:tc>
          <w:tcPr>
            <w:tcW w:w="2760" w:type="dxa"/>
            <w:vAlign w:val="bottom"/>
          </w:tcPr>
          <w:p>
            <w:pPr>
              <w:ind w:left="2240"/>
              <w:spacing w:after="0"/>
              <w:rPr>
                <w:sz w:val="20"/>
                <w:szCs w:val="20"/>
                <w:color w:val="auto"/>
              </w:rPr>
            </w:pPr>
            <w:r>
              <w:rPr>
                <w:rFonts w:ascii="Arial" w:cs="Arial" w:eastAsia="Arial" w:hAnsi="Arial"/>
                <w:sz w:val="17"/>
                <w:szCs w:val="17"/>
                <w:color w:val="auto"/>
              </w:rPr>
              <w:t>8</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C. Reasons for the Offer and Use of Proceeds</w:t>
            </w:r>
          </w:p>
        </w:tc>
        <w:tc>
          <w:tcPr>
            <w:tcW w:w="2760" w:type="dxa"/>
            <w:vAlign w:val="bottom"/>
          </w:tcPr>
          <w:p>
            <w:pPr>
              <w:ind w:left="2240"/>
              <w:spacing w:after="0"/>
              <w:rPr>
                <w:sz w:val="20"/>
                <w:szCs w:val="20"/>
                <w:color w:val="auto"/>
              </w:rPr>
            </w:pPr>
            <w:r>
              <w:rPr>
                <w:rFonts w:ascii="Arial" w:cs="Arial" w:eastAsia="Arial" w:hAnsi="Arial"/>
                <w:sz w:val="17"/>
                <w:szCs w:val="17"/>
                <w:color w:val="auto"/>
              </w:rPr>
              <w:t>8</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D. Risk Factors</w:t>
            </w:r>
          </w:p>
        </w:tc>
        <w:tc>
          <w:tcPr>
            <w:tcW w:w="2760" w:type="dxa"/>
            <w:vAlign w:val="bottom"/>
          </w:tcPr>
          <w:p>
            <w:pPr>
              <w:ind w:left="2240"/>
              <w:spacing w:after="0"/>
              <w:rPr>
                <w:sz w:val="20"/>
                <w:szCs w:val="20"/>
                <w:color w:val="auto"/>
              </w:rPr>
            </w:pPr>
            <w:r>
              <w:rPr>
                <w:rFonts w:ascii="Arial" w:cs="Arial" w:eastAsia="Arial" w:hAnsi="Arial"/>
                <w:sz w:val="17"/>
                <w:szCs w:val="17"/>
                <w:color w:val="auto"/>
              </w:rPr>
              <w:t>8</w:t>
            </w:r>
          </w:p>
        </w:tc>
      </w:tr>
      <w:tr>
        <w:trPr>
          <w:trHeight w:val="214"/>
        </w:trPr>
        <w:tc>
          <w:tcPr>
            <w:tcW w:w="20" w:type="dxa"/>
            <w:vAlign w:val="bottom"/>
          </w:tcPr>
          <w:p>
            <w:pPr>
              <w:spacing w:after="0"/>
              <w:rPr>
                <w:sz w:val="18"/>
                <w:szCs w:val="18"/>
                <w:color w:val="auto"/>
              </w:rPr>
            </w:pPr>
          </w:p>
        </w:tc>
        <w:tc>
          <w:tcPr>
            <w:tcW w:w="8460" w:type="dxa"/>
            <w:vAlign w:val="bottom"/>
            <w:gridSpan w:val="16"/>
          </w:tcPr>
          <w:p>
            <w:pPr>
              <w:spacing w:after="0"/>
              <w:rPr>
                <w:rFonts w:ascii="Arial" w:cs="Arial" w:eastAsia="Arial" w:hAnsi="Arial"/>
                <w:sz w:val="17"/>
                <w:szCs w:val="17"/>
                <w:b w:val="1"/>
                <w:bCs w:val="1"/>
                <w:color w:val="0000EE"/>
              </w:rPr>
            </w:pPr>
            <w:hyperlink w:anchor="page57">
              <w:r>
                <w:rPr>
                  <w:rFonts w:ascii="Arial" w:cs="Arial" w:eastAsia="Arial" w:hAnsi="Arial"/>
                  <w:sz w:val="17"/>
                  <w:szCs w:val="17"/>
                  <w:b w:val="1"/>
                  <w:bCs w:val="1"/>
                  <w:color w:val="0000EE"/>
                </w:rPr>
                <w:t>ITEM 4. INFORMATION ON THE COMPANY</w:t>
              </w:r>
            </w:hyperlink>
          </w:p>
        </w:tc>
        <w:tc>
          <w:tcPr>
            <w:tcW w:w="2760" w:type="dxa"/>
            <w:vAlign w:val="bottom"/>
          </w:tcPr>
          <w:p>
            <w:pPr>
              <w:ind w:left="2240"/>
              <w:spacing w:after="0"/>
              <w:rPr>
                <w:sz w:val="20"/>
                <w:szCs w:val="20"/>
                <w:color w:val="auto"/>
              </w:rPr>
            </w:pPr>
            <w:r>
              <w:rPr>
                <w:rFonts w:ascii="Arial" w:cs="Arial" w:eastAsia="Arial" w:hAnsi="Arial"/>
                <w:sz w:val="17"/>
                <w:szCs w:val="17"/>
                <w:b w:val="1"/>
                <w:bCs w:val="1"/>
                <w:color w:val="auto"/>
              </w:rPr>
              <w:t>57</w:t>
            </w:r>
          </w:p>
        </w:tc>
      </w:tr>
      <w:tr>
        <w:trPr>
          <w:trHeight w:val="20"/>
        </w:trPr>
        <w:tc>
          <w:tcPr>
            <w:tcW w:w="20" w:type="dxa"/>
            <w:vAlign w:val="bottom"/>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A. History and Development of the Company</w:t>
            </w:r>
          </w:p>
        </w:tc>
        <w:tc>
          <w:tcPr>
            <w:tcW w:w="2760" w:type="dxa"/>
            <w:vAlign w:val="bottom"/>
          </w:tcPr>
          <w:p>
            <w:pPr>
              <w:ind w:left="2240"/>
              <w:spacing w:after="0"/>
              <w:rPr>
                <w:sz w:val="20"/>
                <w:szCs w:val="20"/>
                <w:color w:val="auto"/>
              </w:rPr>
            </w:pPr>
            <w:r>
              <w:rPr>
                <w:rFonts w:ascii="Arial" w:cs="Arial" w:eastAsia="Arial" w:hAnsi="Arial"/>
                <w:sz w:val="17"/>
                <w:szCs w:val="17"/>
                <w:color w:val="auto"/>
              </w:rPr>
              <w:t>57</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B. Business Overview</w:t>
            </w:r>
          </w:p>
        </w:tc>
        <w:tc>
          <w:tcPr>
            <w:tcW w:w="2760" w:type="dxa"/>
            <w:vAlign w:val="bottom"/>
          </w:tcPr>
          <w:p>
            <w:pPr>
              <w:ind w:left="2240"/>
              <w:spacing w:after="0"/>
              <w:rPr>
                <w:sz w:val="20"/>
                <w:szCs w:val="20"/>
                <w:color w:val="auto"/>
              </w:rPr>
            </w:pPr>
            <w:r>
              <w:rPr>
                <w:rFonts w:ascii="Arial" w:cs="Arial" w:eastAsia="Arial" w:hAnsi="Arial"/>
                <w:sz w:val="17"/>
                <w:szCs w:val="17"/>
                <w:color w:val="auto"/>
              </w:rPr>
              <w:t>57</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C. Corporate Structure</w:t>
            </w:r>
          </w:p>
        </w:tc>
        <w:tc>
          <w:tcPr>
            <w:tcW w:w="2760" w:type="dxa"/>
            <w:vAlign w:val="bottom"/>
          </w:tcPr>
          <w:p>
            <w:pPr>
              <w:ind w:left="2240"/>
              <w:spacing w:after="0"/>
              <w:rPr>
                <w:sz w:val="20"/>
                <w:szCs w:val="20"/>
                <w:color w:val="auto"/>
              </w:rPr>
            </w:pPr>
            <w:r>
              <w:rPr>
                <w:rFonts w:ascii="Arial" w:cs="Arial" w:eastAsia="Arial" w:hAnsi="Arial"/>
                <w:sz w:val="17"/>
                <w:szCs w:val="17"/>
                <w:color w:val="auto"/>
              </w:rPr>
              <w:t>75</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D. Property, Plants and Equipment</w:t>
            </w:r>
          </w:p>
        </w:tc>
        <w:tc>
          <w:tcPr>
            <w:tcW w:w="2760" w:type="dxa"/>
            <w:vAlign w:val="bottom"/>
          </w:tcPr>
          <w:p>
            <w:pPr>
              <w:ind w:left="2240"/>
              <w:spacing w:after="0"/>
              <w:rPr>
                <w:sz w:val="20"/>
                <w:szCs w:val="20"/>
                <w:color w:val="auto"/>
              </w:rPr>
            </w:pPr>
            <w:r>
              <w:rPr>
                <w:rFonts w:ascii="Arial" w:cs="Arial" w:eastAsia="Arial" w:hAnsi="Arial"/>
                <w:sz w:val="17"/>
                <w:szCs w:val="17"/>
                <w:color w:val="auto"/>
              </w:rPr>
              <w:t>75</w:t>
            </w:r>
          </w:p>
        </w:tc>
      </w:tr>
      <w:tr>
        <w:trPr>
          <w:trHeight w:val="214"/>
        </w:trPr>
        <w:tc>
          <w:tcPr>
            <w:tcW w:w="20" w:type="dxa"/>
            <w:vAlign w:val="bottom"/>
          </w:tcPr>
          <w:p>
            <w:pPr>
              <w:spacing w:after="0"/>
              <w:rPr>
                <w:sz w:val="18"/>
                <w:szCs w:val="18"/>
                <w:color w:val="auto"/>
              </w:rPr>
            </w:pPr>
          </w:p>
        </w:tc>
        <w:tc>
          <w:tcPr>
            <w:tcW w:w="3580" w:type="dxa"/>
            <w:vAlign w:val="bottom"/>
            <w:tcBorders>
              <w:bottom w:val="single" w:sz="8" w:color="0000EE"/>
            </w:tcBorders>
            <w:gridSpan w:val="8"/>
          </w:tcPr>
          <w:p>
            <w:pPr>
              <w:spacing w:after="0"/>
              <w:rPr>
                <w:rFonts w:ascii="Arial" w:cs="Arial" w:eastAsia="Arial" w:hAnsi="Arial"/>
                <w:sz w:val="17"/>
                <w:szCs w:val="17"/>
                <w:b w:val="1"/>
                <w:bCs w:val="1"/>
                <w:color w:val="0000EE"/>
                <w:w w:val="99"/>
              </w:rPr>
            </w:pPr>
            <w:hyperlink w:anchor="page76">
              <w:r>
                <w:rPr>
                  <w:rFonts w:ascii="Arial" w:cs="Arial" w:eastAsia="Arial" w:hAnsi="Arial"/>
                  <w:sz w:val="17"/>
                  <w:szCs w:val="17"/>
                  <w:b w:val="1"/>
                  <w:bCs w:val="1"/>
                  <w:color w:val="0000EE"/>
                  <w:w w:val="99"/>
                </w:rPr>
                <w:t>ITEM 4A. UNRESOLVED STAFF COMMENTS</w:t>
              </w:r>
            </w:hyperlink>
          </w:p>
        </w:tc>
        <w:tc>
          <w:tcPr>
            <w:tcW w:w="4880" w:type="dxa"/>
            <w:vAlign w:val="bottom"/>
            <w:gridSpan w:val="8"/>
          </w:tcPr>
          <w:p>
            <w:pPr>
              <w:spacing w:after="0"/>
              <w:rPr>
                <w:sz w:val="18"/>
                <w:szCs w:val="18"/>
                <w:color w:val="auto"/>
              </w:rPr>
            </w:pPr>
          </w:p>
        </w:tc>
        <w:tc>
          <w:tcPr>
            <w:tcW w:w="2760" w:type="dxa"/>
            <w:vAlign w:val="bottom"/>
          </w:tcPr>
          <w:p>
            <w:pPr>
              <w:ind w:left="2240"/>
              <w:spacing w:after="0"/>
              <w:rPr>
                <w:sz w:val="20"/>
                <w:szCs w:val="20"/>
                <w:color w:val="auto"/>
              </w:rPr>
            </w:pPr>
            <w:r>
              <w:rPr>
                <w:rFonts w:ascii="Arial" w:cs="Arial" w:eastAsia="Arial" w:hAnsi="Arial"/>
                <w:sz w:val="17"/>
                <w:szCs w:val="17"/>
                <w:b w:val="1"/>
                <w:bCs w:val="1"/>
                <w:color w:val="auto"/>
              </w:rPr>
              <w:t>76</w:t>
            </w:r>
          </w:p>
        </w:tc>
      </w:tr>
      <w:tr>
        <w:trPr>
          <w:trHeight w:val="231"/>
        </w:trPr>
        <w:tc>
          <w:tcPr>
            <w:tcW w:w="20" w:type="dxa"/>
            <w:vAlign w:val="bottom"/>
          </w:tcPr>
          <w:p>
            <w:pPr>
              <w:spacing w:after="0"/>
              <w:rPr>
                <w:sz w:val="20"/>
                <w:szCs w:val="20"/>
                <w:color w:val="auto"/>
              </w:rPr>
            </w:pPr>
          </w:p>
        </w:tc>
        <w:tc>
          <w:tcPr>
            <w:tcW w:w="5240" w:type="dxa"/>
            <w:vAlign w:val="bottom"/>
            <w:tcBorders>
              <w:bottom w:val="single" w:sz="8" w:color="0000EE"/>
            </w:tcBorders>
            <w:gridSpan w:val="12"/>
          </w:tcPr>
          <w:p>
            <w:pPr>
              <w:spacing w:after="0"/>
              <w:rPr>
                <w:rFonts w:ascii="Arial" w:cs="Arial" w:eastAsia="Arial" w:hAnsi="Arial"/>
                <w:sz w:val="17"/>
                <w:szCs w:val="17"/>
                <w:b w:val="1"/>
                <w:bCs w:val="1"/>
                <w:color w:val="0000EE"/>
                <w:w w:val="99"/>
              </w:rPr>
            </w:pPr>
            <w:hyperlink w:anchor="page76">
              <w:r>
                <w:rPr>
                  <w:rFonts w:ascii="Arial" w:cs="Arial" w:eastAsia="Arial" w:hAnsi="Arial"/>
                  <w:sz w:val="17"/>
                  <w:szCs w:val="17"/>
                  <w:b w:val="1"/>
                  <w:bCs w:val="1"/>
                  <w:color w:val="0000EE"/>
                  <w:w w:val="99"/>
                </w:rPr>
                <w:t>ITEM 5. OPERATING AND FINANCIAL REVIEW AND PROSPECTS</w:t>
              </w:r>
            </w:hyperlink>
          </w:p>
        </w:tc>
        <w:tc>
          <w:tcPr>
            <w:tcW w:w="3220" w:type="dxa"/>
            <w:vAlign w:val="bottom"/>
            <w:gridSpan w:val="4"/>
          </w:tcPr>
          <w:p>
            <w:pPr>
              <w:spacing w:after="0"/>
              <w:rPr>
                <w:sz w:val="20"/>
                <w:szCs w:val="20"/>
                <w:color w:val="auto"/>
              </w:rPr>
            </w:pPr>
          </w:p>
        </w:tc>
        <w:tc>
          <w:tcPr>
            <w:tcW w:w="2760" w:type="dxa"/>
            <w:vAlign w:val="bottom"/>
          </w:tcPr>
          <w:p>
            <w:pPr>
              <w:ind w:left="2240"/>
              <w:spacing w:after="0"/>
              <w:rPr>
                <w:sz w:val="20"/>
                <w:szCs w:val="20"/>
                <w:color w:val="auto"/>
              </w:rPr>
            </w:pPr>
            <w:r>
              <w:rPr>
                <w:rFonts w:ascii="Arial" w:cs="Arial" w:eastAsia="Arial" w:hAnsi="Arial"/>
                <w:sz w:val="17"/>
                <w:szCs w:val="17"/>
                <w:b w:val="1"/>
                <w:bCs w:val="1"/>
                <w:color w:val="auto"/>
              </w:rPr>
              <w:t>76</w:t>
            </w:r>
          </w:p>
        </w:tc>
      </w:tr>
      <w:tr>
        <w:trPr>
          <w:trHeight w:val="268"/>
        </w:trPr>
        <w:tc>
          <w:tcPr>
            <w:tcW w:w="20" w:type="dxa"/>
            <w:vAlign w:val="bottom"/>
          </w:tcPr>
          <w:p>
            <w:pPr>
              <w:spacing w:after="0"/>
              <w:rPr>
                <w:sz w:val="23"/>
                <w:szCs w:val="23"/>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A. Operating Results</w:t>
            </w:r>
          </w:p>
        </w:tc>
        <w:tc>
          <w:tcPr>
            <w:tcW w:w="2760" w:type="dxa"/>
            <w:vAlign w:val="bottom"/>
          </w:tcPr>
          <w:p>
            <w:pPr>
              <w:ind w:left="2240"/>
              <w:spacing w:after="0"/>
              <w:rPr>
                <w:sz w:val="20"/>
                <w:szCs w:val="20"/>
                <w:color w:val="auto"/>
              </w:rPr>
            </w:pPr>
            <w:r>
              <w:rPr>
                <w:rFonts w:ascii="Arial" w:cs="Arial" w:eastAsia="Arial" w:hAnsi="Arial"/>
                <w:sz w:val="17"/>
                <w:szCs w:val="17"/>
                <w:color w:val="auto"/>
              </w:rPr>
              <w:t>84</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B. Liquidity and Capital Resources</w:t>
            </w:r>
          </w:p>
        </w:tc>
        <w:tc>
          <w:tcPr>
            <w:tcW w:w="2760" w:type="dxa"/>
            <w:vAlign w:val="bottom"/>
          </w:tcPr>
          <w:p>
            <w:pPr>
              <w:ind w:left="2240"/>
              <w:spacing w:after="0"/>
              <w:rPr>
                <w:sz w:val="20"/>
                <w:szCs w:val="20"/>
                <w:color w:val="auto"/>
              </w:rPr>
            </w:pPr>
            <w:r>
              <w:rPr>
                <w:rFonts w:ascii="Arial" w:cs="Arial" w:eastAsia="Arial" w:hAnsi="Arial"/>
                <w:sz w:val="17"/>
                <w:szCs w:val="17"/>
                <w:color w:val="auto"/>
              </w:rPr>
              <w:t>87</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C. Research and Development, Patents and Licenses, Etc.</w:t>
            </w:r>
          </w:p>
        </w:tc>
        <w:tc>
          <w:tcPr>
            <w:tcW w:w="2760" w:type="dxa"/>
            <w:vAlign w:val="bottom"/>
          </w:tcPr>
          <w:p>
            <w:pPr>
              <w:ind w:left="2240"/>
              <w:spacing w:after="0"/>
              <w:rPr>
                <w:sz w:val="20"/>
                <w:szCs w:val="20"/>
                <w:color w:val="auto"/>
              </w:rPr>
            </w:pPr>
            <w:r>
              <w:rPr>
                <w:rFonts w:ascii="Arial" w:cs="Arial" w:eastAsia="Arial" w:hAnsi="Arial"/>
                <w:sz w:val="17"/>
                <w:szCs w:val="17"/>
                <w:color w:val="auto"/>
              </w:rPr>
              <w:t>90</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D. Trend Information</w:t>
            </w:r>
          </w:p>
        </w:tc>
        <w:tc>
          <w:tcPr>
            <w:tcW w:w="2760" w:type="dxa"/>
            <w:vAlign w:val="bottom"/>
          </w:tcPr>
          <w:p>
            <w:pPr>
              <w:ind w:left="2240"/>
              <w:spacing w:after="0"/>
              <w:rPr>
                <w:sz w:val="20"/>
                <w:szCs w:val="20"/>
                <w:color w:val="auto"/>
              </w:rPr>
            </w:pPr>
            <w:r>
              <w:rPr>
                <w:rFonts w:ascii="Arial" w:cs="Arial" w:eastAsia="Arial" w:hAnsi="Arial"/>
                <w:sz w:val="17"/>
                <w:szCs w:val="17"/>
                <w:color w:val="auto"/>
              </w:rPr>
              <w:t>90</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E. Critical Accounting Estimates</w:t>
            </w:r>
          </w:p>
        </w:tc>
        <w:tc>
          <w:tcPr>
            <w:tcW w:w="2760" w:type="dxa"/>
            <w:vAlign w:val="bottom"/>
          </w:tcPr>
          <w:p>
            <w:pPr>
              <w:ind w:left="2240"/>
              <w:spacing w:after="0"/>
              <w:rPr>
                <w:sz w:val="20"/>
                <w:szCs w:val="20"/>
                <w:color w:val="auto"/>
              </w:rPr>
            </w:pPr>
            <w:r>
              <w:rPr>
                <w:rFonts w:ascii="Arial" w:cs="Arial" w:eastAsia="Arial" w:hAnsi="Arial"/>
                <w:sz w:val="17"/>
                <w:szCs w:val="17"/>
                <w:color w:val="auto"/>
              </w:rPr>
              <w:t>90</w:t>
            </w:r>
          </w:p>
        </w:tc>
      </w:tr>
      <w:tr>
        <w:trPr>
          <w:trHeight w:val="214"/>
        </w:trPr>
        <w:tc>
          <w:tcPr>
            <w:tcW w:w="20" w:type="dxa"/>
            <w:vAlign w:val="bottom"/>
          </w:tcPr>
          <w:p>
            <w:pPr>
              <w:spacing w:after="0"/>
              <w:rPr>
                <w:sz w:val="18"/>
                <w:szCs w:val="18"/>
                <w:color w:val="auto"/>
              </w:rPr>
            </w:pPr>
          </w:p>
        </w:tc>
        <w:tc>
          <w:tcPr>
            <w:tcW w:w="8460" w:type="dxa"/>
            <w:vAlign w:val="bottom"/>
            <w:gridSpan w:val="16"/>
          </w:tcPr>
          <w:p>
            <w:pPr>
              <w:spacing w:after="0"/>
              <w:rPr>
                <w:rFonts w:ascii="Arial" w:cs="Arial" w:eastAsia="Arial" w:hAnsi="Arial"/>
                <w:sz w:val="17"/>
                <w:szCs w:val="17"/>
                <w:b w:val="1"/>
                <w:bCs w:val="1"/>
                <w:color w:val="0000EE"/>
              </w:rPr>
            </w:pPr>
            <w:hyperlink w:anchor="page95">
              <w:r>
                <w:rPr>
                  <w:rFonts w:ascii="Arial" w:cs="Arial" w:eastAsia="Arial" w:hAnsi="Arial"/>
                  <w:sz w:val="17"/>
                  <w:szCs w:val="17"/>
                  <w:b w:val="1"/>
                  <w:bCs w:val="1"/>
                  <w:color w:val="0000EE"/>
                </w:rPr>
                <w:t>ITEM 6. DIRECTORS, SENIOR MANAGEMENT AND EMPLOYEES</w:t>
              </w:r>
            </w:hyperlink>
          </w:p>
        </w:tc>
        <w:tc>
          <w:tcPr>
            <w:tcW w:w="2760" w:type="dxa"/>
            <w:vAlign w:val="bottom"/>
          </w:tcPr>
          <w:p>
            <w:pPr>
              <w:ind w:left="2240"/>
              <w:spacing w:after="0"/>
              <w:rPr>
                <w:sz w:val="20"/>
                <w:szCs w:val="20"/>
                <w:color w:val="auto"/>
              </w:rPr>
            </w:pPr>
            <w:r>
              <w:rPr>
                <w:rFonts w:ascii="Arial" w:cs="Arial" w:eastAsia="Arial" w:hAnsi="Arial"/>
                <w:sz w:val="17"/>
                <w:szCs w:val="17"/>
                <w:b w:val="1"/>
                <w:bCs w:val="1"/>
                <w:color w:val="auto"/>
              </w:rPr>
              <w:t>95</w:t>
            </w:r>
          </w:p>
        </w:tc>
      </w:tr>
      <w:tr>
        <w:trPr>
          <w:trHeight w:val="269"/>
        </w:trPr>
        <w:tc>
          <w:tcPr>
            <w:tcW w:w="20" w:type="dxa"/>
            <w:vAlign w:val="bottom"/>
          </w:tcPr>
          <w:p>
            <w:pPr>
              <w:spacing w:after="0"/>
              <w:rPr>
                <w:sz w:val="23"/>
                <w:szCs w:val="23"/>
                <w:color w:val="auto"/>
              </w:rPr>
            </w:pPr>
          </w:p>
        </w:tc>
        <w:tc>
          <w:tcPr>
            <w:tcW w:w="5220" w:type="dxa"/>
            <w:vAlign w:val="bottom"/>
            <w:tcBorders>
              <w:top w:val="single" w:sz="8" w:color="0000EE"/>
            </w:tcBorders>
            <w:gridSpan w:val="11"/>
          </w:tcPr>
          <w:p>
            <w:pPr>
              <w:ind w:left="300"/>
              <w:spacing w:after="0"/>
              <w:rPr>
                <w:sz w:val="20"/>
                <w:szCs w:val="20"/>
                <w:color w:val="auto"/>
              </w:rPr>
            </w:pPr>
            <w:r>
              <w:rPr>
                <w:rFonts w:ascii="Arial" w:cs="Arial" w:eastAsia="Arial" w:hAnsi="Arial"/>
                <w:sz w:val="17"/>
                <w:szCs w:val="17"/>
                <w:b w:val="1"/>
                <w:bCs w:val="1"/>
                <w:color w:val="auto"/>
              </w:rPr>
              <w:t>A. Directors and Senior Management</w:t>
            </w:r>
          </w:p>
        </w:tc>
        <w:tc>
          <w:tcPr>
            <w:tcW w:w="3240" w:type="dxa"/>
            <w:vAlign w:val="bottom"/>
            <w:gridSpan w:val="5"/>
          </w:tcPr>
          <w:p>
            <w:pPr>
              <w:spacing w:after="0"/>
              <w:rPr>
                <w:sz w:val="23"/>
                <w:szCs w:val="23"/>
                <w:color w:val="auto"/>
              </w:rPr>
            </w:pPr>
          </w:p>
        </w:tc>
        <w:tc>
          <w:tcPr>
            <w:tcW w:w="2760" w:type="dxa"/>
            <w:vAlign w:val="bottom"/>
          </w:tcPr>
          <w:p>
            <w:pPr>
              <w:ind w:left="2240"/>
              <w:spacing w:after="0"/>
              <w:rPr>
                <w:sz w:val="20"/>
                <w:szCs w:val="20"/>
                <w:color w:val="auto"/>
              </w:rPr>
            </w:pPr>
            <w:r>
              <w:rPr>
                <w:rFonts w:ascii="Arial" w:cs="Arial" w:eastAsia="Arial" w:hAnsi="Arial"/>
                <w:sz w:val="17"/>
                <w:szCs w:val="17"/>
                <w:color w:val="auto"/>
              </w:rPr>
              <w:t>95</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B. Compensation</w:t>
            </w:r>
          </w:p>
        </w:tc>
        <w:tc>
          <w:tcPr>
            <w:tcW w:w="2760" w:type="dxa"/>
            <w:vAlign w:val="bottom"/>
          </w:tcPr>
          <w:p>
            <w:pPr>
              <w:ind w:left="2240"/>
              <w:spacing w:after="0"/>
              <w:rPr>
                <w:sz w:val="20"/>
                <w:szCs w:val="20"/>
                <w:color w:val="auto"/>
              </w:rPr>
            </w:pPr>
            <w:r>
              <w:rPr>
                <w:rFonts w:ascii="Arial" w:cs="Arial" w:eastAsia="Arial" w:hAnsi="Arial"/>
                <w:sz w:val="17"/>
                <w:szCs w:val="17"/>
                <w:color w:val="auto"/>
              </w:rPr>
              <w:t>98</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C. Board Practices</w:t>
            </w:r>
          </w:p>
        </w:tc>
        <w:tc>
          <w:tcPr>
            <w:tcW w:w="2760" w:type="dxa"/>
            <w:vAlign w:val="bottom"/>
          </w:tcPr>
          <w:p>
            <w:pPr>
              <w:ind w:left="2240"/>
              <w:spacing w:after="0"/>
              <w:rPr>
                <w:sz w:val="20"/>
                <w:szCs w:val="20"/>
                <w:color w:val="auto"/>
              </w:rPr>
            </w:pPr>
            <w:r>
              <w:rPr>
                <w:rFonts w:ascii="Arial" w:cs="Arial" w:eastAsia="Arial" w:hAnsi="Arial"/>
                <w:sz w:val="17"/>
                <w:szCs w:val="17"/>
                <w:color w:val="auto"/>
              </w:rPr>
              <w:t>108</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D. Employees</w:t>
            </w:r>
          </w:p>
        </w:tc>
        <w:tc>
          <w:tcPr>
            <w:tcW w:w="2760" w:type="dxa"/>
            <w:vAlign w:val="bottom"/>
          </w:tcPr>
          <w:p>
            <w:pPr>
              <w:ind w:left="2240"/>
              <w:spacing w:after="0"/>
              <w:rPr>
                <w:sz w:val="20"/>
                <w:szCs w:val="20"/>
                <w:color w:val="auto"/>
              </w:rPr>
            </w:pPr>
            <w:r>
              <w:rPr>
                <w:rFonts w:ascii="Arial" w:cs="Arial" w:eastAsia="Arial" w:hAnsi="Arial"/>
                <w:sz w:val="17"/>
                <w:szCs w:val="17"/>
                <w:color w:val="auto"/>
              </w:rPr>
              <w:t>120</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E. Share Ownership</w:t>
            </w:r>
          </w:p>
        </w:tc>
        <w:tc>
          <w:tcPr>
            <w:tcW w:w="2760" w:type="dxa"/>
            <w:vAlign w:val="bottom"/>
          </w:tcPr>
          <w:p>
            <w:pPr>
              <w:ind w:left="2240"/>
              <w:spacing w:after="0"/>
              <w:rPr>
                <w:sz w:val="20"/>
                <w:szCs w:val="20"/>
                <w:color w:val="auto"/>
              </w:rPr>
            </w:pPr>
            <w:r>
              <w:rPr>
                <w:rFonts w:ascii="Arial" w:cs="Arial" w:eastAsia="Arial" w:hAnsi="Arial"/>
                <w:sz w:val="17"/>
                <w:szCs w:val="17"/>
                <w:color w:val="auto"/>
              </w:rPr>
              <w:t>120</w:t>
            </w:r>
          </w:p>
        </w:tc>
      </w:tr>
      <w:tr>
        <w:trPr>
          <w:trHeight w:val="214"/>
        </w:trPr>
        <w:tc>
          <w:tcPr>
            <w:tcW w:w="20" w:type="dxa"/>
            <w:vAlign w:val="bottom"/>
          </w:tcPr>
          <w:p>
            <w:pPr>
              <w:spacing w:after="0"/>
              <w:rPr>
                <w:sz w:val="18"/>
                <w:szCs w:val="18"/>
                <w:color w:val="auto"/>
              </w:rPr>
            </w:pPr>
          </w:p>
        </w:tc>
        <w:tc>
          <w:tcPr>
            <w:tcW w:w="8460" w:type="dxa"/>
            <w:vAlign w:val="bottom"/>
            <w:gridSpan w:val="16"/>
          </w:tcPr>
          <w:p>
            <w:pPr>
              <w:spacing w:after="0"/>
              <w:rPr>
                <w:rFonts w:ascii="Arial" w:cs="Arial" w:eastAsia="Arial" w:hAnsi="Arial"/>
                <w:sz w:val="17"/>
                <w:szCs w:val="17"/>
                <w:b w:val="1"/>
                <w:bCs w:val="1"/>
                <w:color w:val="0000EE"/>
              </w:rPr>
            </w:pPr>
            <w:hyperlink w:anchor="page120">
              <w:r>
                <w:rPr>
                  <w:rFonts w:ascii="Arial" w:cs="Arial" w:eastAsia="Arial" w:hAnsi="Arial"/>
                  <w:sz w:val="17"/>
                  <w:szCs w:val="17"/>
                  <w:b w:val="1"/>
                  <w:bCs w:val="1"/>
                  <w:color w:val="0000EE"/>
                </w:rPr>
                <w:t>ITEM 7. MAJOR SHAREHOLDERS AND RELATED PARTY TRANSACTIONS</w:t>
              </w:r>
            </w:hyperlink>
          </w:p>
        </w:tc>
        <w:tc>
          <w:tcPr>
            <w:tcW w:w="2760" w:type="dxa"/>
            <w:vAlign w:val="bottom"/>
          </w:tcPr>
          <w:p>
            <w:pPr>
              <w:ind w:left="2240"/>
              <w:spacing w:after="0"/>
              <w:rPr>
                <w:sz w:val="20"/>
                <w:szCs w:val="20"/>
                <w:color w:val="auto"/>
              </w:rPr>
            </w:pPr>
            <w:r>
              <w:rPr>
                <w:rFonts w:ascii="Arial" w:cs="Arial" w:eastAsia="Arial" w:hAnsi="Arial"/>
                <w:sz w:val="17"/>
                <w:szCs w:val="17"/>
                <w:b w:val="1"/>
                <w:bCs w:val="1"/>
                <w:color w:val="auto"/>
              </w:rPr>
              <w:t>120</w:t>
            </w:r>
          </w:p>
        </w:tc>
      </w:tr>
      <w:tr>
        <w:trPr>
          <w:trHeight w:val="268"/>
        </w:trPr>
        <w:tc>
          <w:tcPr>
            <w:tcW w:w="20" w:type="dxa"/>
            <w:vAlign w:val="bottom"/>
          </w:tcPr>
          <w:p>
            <w:pPr>
              <w:spacing w:after="0"/>
              <w:rPr>
                <w:sz w:val="23"/>
                <w:szCs w:val="23"/>
                <w:color w:val="auto"/>
              </w:rPr>
            </w:pPr>
          </w:p>
        </w:tc>
        <w:tc>
          <w:tcPr>
            <w:tcW w:w="5920" w:type="dxa"/>
            <w:vAlign w:val="bottom"/>
            <w:tcBorders>
              <w:top w:val="single" w:sz="8" w:color="0000EE"/>
            </w:tcBorders>
            <w:gridSpan w:val="13"/>
          </w:tcPr>
          <w:p>
            <w:pPr>
              <w:ind w:left="300"/>
              <w:spacing w:after="0"/>
              <w:rPr>
                <w:sz w:val="20"/>
                <w:szCs w:val="20"/>
                <w:color w:val="auto"/>
              </w:rPr>
            </w:pPr>
            <w:r>
              <w:rPr>
                <w:rFonts w:ascii="Arial" w:cs="Arial" w:eastAsia="Arial" w:hAnsi="Arial"/>
                <w:sz w:val="17"/>
                <w:szCs w:val="17"/>
                <w:b w:val="1"/>
                <w:bCs w:val="1"/>
                <w:color w:val="auto"/>
              </w:rPr>
              <w:t>A. Major Shareholders</w:t>
            </w:r>
          </w:p>
        </w:tc>
        <w:tc>
          <w:tcPr>
            <w:tcW w:w="2540" w:type="dxa"/>
            <w:vAlign w:val="bottom"/>
            <w:gridSpan w:val="3"/>
          </w:tcPr>
          <w:p>
            <w:pPr>
              <w:spacing w:after="0"/>
              <w:rPr>
                <w:sz w:val="23"/>
                <w:szCs w:val="23"/>
                <w:color w:val="auto"/>
              </w:rPr>
            </w:pPr>
          </w:p>
        </w:tc>
        <w:tc>
          <w:tcPr>
            <w:tcW w:w="2760" w:type="dxa"/>
            <w:vAlign w:val="bottom"/>
          </w:tcPr>
          <w:p>
            <w:pPr>
              <w:ind w:left="2240"/>
              <w:spacing w:after="0"/>
              <w:rPr>
                <w:sz w:val="20"/>
                <w:szCs w:val="20"/>
                <w:color w:val="auto"/>
              </w:rPr>
            </w:pPr>
            <w:r>
              <w:rPr>
                <w:rFonts w:ascii="Arial" w:cs="Arial" w:eastAsia="Arial" w:hAnsi="Arial"/>
                <w:sz w:val="17"/>
                <w:szCs w:val="17"/>
                <w:color w:val="auto"/>
              </w:rPr>
              <w:t>120</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B. Related Party Transactions</w:t>
            </w:r>
          </w:p>
        </w:tc>
        <w:tc>
          <w:tcPr>
            <w:tcW w:w="2760" w:type="dxa"/>
            <w:vAlign w:val="bottom"/>
          </w:tcPr>
          <w:p>
            <w:pPr>
              <w:ind w:left="2240"/>
              <w:spacing w:after="0"/>
              <w:rPr>
                <w:sz w:val="20"/>
                <w:szCs w:val="20"/>
                <w:color w:val="auto"/>
              </w:rPr>
            </w:pPr>
            <w:r>
              <w:rPr>
                <w:rFonts w:ascii="Arial" w:cs="Arial" w:eastAsia="Arial" w:hAnsi="Arial"/>
                <w:sz w:val="17"/>
                <w:szCs w:val="17"/>
                <w:color w:val="auto"/>
              </w:rPr>
              <w:t>124</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C. Interests of Experts and Counsel</w:t>
            </w:r>
          </w:p>
        </w:tc>
        <w:tc>
          <w:tcPr>
            <w:tcW w:w="2760" w:type="dxa"/>
            <w:vAlign w:val="bottom"/>
          </w:tcPr>
          <w:p>
            <w:pPr>
              <w:ind w:left="2240"/>
              <w:spacing w:after="0"/>
              <w:rPr>
                <w:sz w:val="20"/>
                <w:szCs w:val="20"/>
                <w:color w:val="auto"/>
              </w:rPr>
            </w:pPr>
            <w:r>
              <w:rPr>
                <w:rFonts w:ascii="Arial" w:cs="Arial" w:eastAsia="Arial" w:hAnsi="Arial"/>
                <w:sz w:val="17"/>
                <w:szCs w:val="17"/>
                <w:color w:val="auto"/>
              </w:rPr>
              <w:t>126</w:t>
            </w:r>
          </w:p>
        </w:tc>
      </w:tr>
      <w:tr>
        <w:trPr>
          <w:trHeight w:val="214"/>
        </w:trPr>
        <w:tc>
          <w:tcPr>
            <w:tcW w:w="20" w:type="dxa"/>
            <w:vAlign w:val="bottom"/>
          </w:tcPr>
          <w:p>
            <w:pPr>
              <w:spacing w:after="0"/>
              <w:rPr>
                <w:sz w:val="18"/>
                <w:szCs w:val="18"/>
                <w:color w:val="auto"/>
              </w:rPr>
            </w:pPr>
          </w:p>
        </w:tc>
        <w:tc>
          <w:tcPr>
            <w:tcW w:w="8460" w:type="dxa"/>
            <w:vAlign w:val="bottom"/>
            <w:gridSpan w:val="16"/>
          </w:tcPr>
          <w:p>
            <w:pPr>
              <w:spacing w:after="0"/>
              <w:rPr>
                <w:rFonts w:ascii="Arial" w:cs="Arial" w:eastAsia="Arial" w:hAnsi="Arial"/>
                <w:sz w:val="17"/>
                <w:szCs w:val="17"/>
                <w:b w:val="1"/>
                <w:bCs w:val="1"/>
                <w:color w:val="0000EE"/>
              </w:rPr>
            </w:pPr>
            <w:hyperlink w:anchor="page126">
              <w:r>
                <w:rPr>
                  <w:rFonts w:ascii="Arial" w:cs="Arial" w:eastAsia="Arial" w:hAnsi="Arial"/>
                  <w:sz w:val="17"/>
                  <w:szCs w:val="17"/>
                  <w:b w:val="1"/>
                  <w:bCs w:val="1"/>
                  <w:color w:val="0000EE"/>
                </w:rPr>
                <w:t>ITEM 8. FINANCIAL INFORMATION</w:t>
              </w:r>
            </w:hyperlink>
          </w:p>
        </w:tc>
        <w:tc>
          <w:tcPr>
            <w:tcW w:w="2760" w:type="dxa"/>
            <w:vAlign w:val="bottom"/>
          </w:tcPr>
          <w:p>
            <w:pPr>
              <w:ind w:left="2240"/>
              <w:spacing w:after="0"/>
              <w:rPr>
                <w:sz w:val="20"/>
                <w:szCs w:val="20"/>
                <w:color w:val="auto"/>
              </w:rPr>
            </w:pPr>
            <w:r>
              <w:rPr>
                <w:rFonts w:ascii="Arial" w:cs="Arial" w:eastAsia="Arial" w:hAnsi="Arial"/>
                <w:sz w:val="17"/>
                <w:szCs w:val="17"/>
                <w:b w:val="1"/>
                <w:bCs w:val="1"/>
                <w:color w:val="auto"/>
              </w:rPr>
              <w:t>126</w:t>
            </w:r>
          </w:p>
        </w:tc>
      </w:tr>
      <w:tr>
        <w:trPr>
          <w:trHeight w:val="20"/>
        </w:trPr>
        <w:tc>
          <w:tcPr>
            <w:tcW w:w="20" w:type="dxa"/>
            <w:vAlign w:val="bottom"/>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360" w:type="dxa"/>
            <w:vAlign w:val="bottom"/>
            <w:gridSpan w:val="1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A. Consolidated Statements and Other Financial Information</w:t>
            </w:r>
          </w:p>
        </w:tc>
        <w:tc>
          <w:tcPr>
            <w:tcW w:w="2760" w:type="dxa"/>
            <w:vAlign w:val="bottom"/>
          </w:tcPr>
          <w:p>
            <w:pPr>
              <w:ind w:left="2240"/>
              <w:spacing w:after="0"/>
              <w:rPr>
                <w:sz w:val="20"/>
                <w:szCs w:val="20"/>
                <w:color w:val="auto"/>
              </w:rPr>
            </w:pPr>
            <w:r>
              <w:rPr>
                <w:rFonts w:ascii="Arial" w:cs="Arial" w:eastAsia="Arial" w:hAnsi="Arial"/>
                <w:sz w:val="17"/>
                <w:szCs w:val="17"/>
                <w:color w:val="auto"/>
              </w:rPr>
              <w:t>126</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B. Significant Changes</w:t>
            </w:r>
          </w:p>
        </w:tc>
        <w:tc>
          <w:tcPr>
            <w:tcW w:w="2760" w:type="dxa"/>
            <w:vAlign w:val="bottom"/>
          </w:tcPr>
          <w:p>
            <w:pPr>
              <w:ind w:left="2240"/>
              <w:spacing w:after="0"/>
              <w:rPr>
                <w:sz w:val="20"/>
                <w:szCs w:val="20"/>
                <w:color w:val="auto"/>
              </w:rPr>
            </w:pPr>
            <w:r>
              <w:rPr>
                <w:rFonts w:ascii="Arial" w:cs="Arial" w:eastAsia="Arial" w:hAnsi="Arial"/>
                <w:sz w:val="17"/>
                <w:szCs w:val="17"/>
                <w:color w:val="auto"/>
              </w:rPr>
              <w:t>126</w:t>
            </w:r>
          </w:p>
        </w:tc>
      </w:tr>
      <w:tr>
        <w:trPr>
          <w:trHeight w:val="214"/>
        </w:trPr>
        <w:tc>
          <w:tcPr>
            <w:tcW w:w="20" w:type="dxa"/>
            <w:vAlign w:val="bottom"/>
          </w:tcPr>
          <w:p>
            <w:pPr>
              <w:spacing w:after="0"/>
              <w:rPr>
                <w:sz w:val="18"/>
                <w:szCs w:val="18"/>
                <w:color w:val="auto"/>
              </w:rPr>
            </w:pPr>
          </w:p>
        </w:tc>
        <w:tc>
          <w:tcPr>
            <w:tcW w:w="8460" w:type="dxa"/>
            <w:vAlign w:val="bottom"/>
            <w:gridSpan w:val="16"/>
          </w:tcPr>
          <w:p>
            <w:pPr>
              <w:spacing w:after="0"/>
              <w:rPr>
                <w:rFonts w:ascii="Arial" w:cs="Arial" w:eastAsia="Arial" w:hAnsi="Arial"/>
                <w:sz w:val="17"/>
                <w:szCs w:val="17"/>
                <w:b w:val="1"/>
                <w:bCs w:val="1"/>
                <w:color w:val="0000EE"/>
              </w:rPr>
            </w:pPr>
            <w:hyperlink w:anchor="page126">
              <w:r>
                <w:rPr>
                  <w:rFonts w:ascii="Arial" w:cs="Arial" w:eastAsia="Arial" w:hAnsi="Arial"/>
                  <w:sz w:val="17"/>
                  <w:szCs w:val="17"/>
                  <w:b w:val="1"/>
                  <w:bCs w:val="1"/>
                  <w:color w:val="0000EE"/>
                </w:rPr>
                <w:t>ITEM 9. THE OFFER AND LISTING</w:t>
              </w:r>
            </w:hyperlink>
          </w:p>
        </w:tc>
        <w:tc>
          <w:tcPr>
            <w:tcW w:w="2760" w:type="dxa"/>
            <w:vAlign w:val="bottom"/>
          </w:tcPr>
          <w:p>
            <w:pPr>
              <w:ind w:left="2240"/>
              <w:spacing w:after="0"/>
              <w:rPr>
                <w:sz w:val="20"/>
                <w:szCs w:val="20"/>
                <w:color w:val="auto"/>
              </w:rPr>
            </w:pPr>
            <w:r>
              <w:rPr>
                <w:rFonts w:ascii="Arial" w:cs="Arial" w:eastAsia="Arial" w:hAnsi="Arial"/>
                <w:sz w:val="17"/>
                <w:szCs w:val="17"/>
                <w:b w:val="1"/>
                <w:bCs w:val="1"/>
                <w:color w:val="auto"/>
              </w:rPr>
              <w:t>126</w:t>
            </w:r>
          </w:p>
        </w:tc>
      </w:tr>
      <w:tr>
        <w:trPr>
          <w:trHeight w:val="268"/>
        </w:trPr>
        <w:tc>
          <w:tcPr>
            <w:tcW w:w="20" w:type="dxa"/>
            <w:vAlign w:val="bottom"/>
          </w:tcPr>
          <w:p>
            <w:pPr>
              <w:spacing w:after="0"/>
              <w:rPr>
                <w:sz w:val="23"/>
                <w:szCs w:val="23"/>
                <w:color w:val="auto"/>
              </w:rPr>
            </w:pPr>
          </w:p>
        </w:tc>
        <w:tc>
          <w:tcPr>
            <w:tcW w:w="2760" w:type="dxa"/>
            <w:vAlign w:val="bottom"/>
            <w:tcBorders>
              <w:top w:val="single" w:sz="8" w:color="0000EE"/>
            </w:tcBorders>
            <w:gridSpan w:val="4"/>
          </w:tcPr>
          <w:p>
            <w:pPr>
              <w:ind w:left="300"/>
              <w:spacing w:after="0"/>
              <w:rPr>
                <w:sz w:val="20"/>
                <w:szCs w:val="20"/>
                <w:color w:val="auto"/>
              </w:rPr>
            </w:pPr>
            <w:r>
              <w:rPr>
                <w:rFonts w:ascii="Arial" w:cs="Arial" w:eastAsia="Arial" w:hAnsi="Arial"/>
                <w:sz w:val="17"/>
                <w:szCs w:val="17"/>
                <w:b w:val="1"/>
                <w:bCs w:val="1"/>
                <w:color w:val="auto"/>
              </w:rPr>
              <w:t>A. Offer and Listing Details</w:t>
            </w:r>
          </w:p>
        </w:tc>
        <w:tc>
          <w:tcPr>
            <w:tcW w:w="5700" w:type="dxa"/>
            <w:vAlign w:val="bottom"/>
            <w:gridSpan w:val="12"/>
          </w:tcPr>
          <w:p>
            <w:pPr>
              <w:spacing w:after="0"/>
              <w:rPr>
                <w:sz w:val="23"/>
                <w:szCs w:val="23"/>
                <w:color w:val="auto"/>
              </w:rPr>
            </w:pPr>
          </w:p>
        </w:tc>
        <w:tc>
          <w:tcPr>
            <w:tcW w:w="2760" w:type="dxa"/>
            <w:vAlign w:val="bottom"/>
          </w:tcPr>
          <w:p>
            <w:pPr>
              <w:ind w:left="2240"/>
              <w:spacing w:after="0"/>
              <w:rPr>
                <w:sz w:val="20"/>
                <w:szCs w:val="20"/>
                <w:color w:val="auto"/>
              </w:rPr>
            </w:pPr>
            <w:r>
              <w:rPr>
                <w:rFonts w:ascii="Arial" w:cs="Arial" w:eastAsia="Arial" w:hAnsi="Arial"/>
                <w:sz w:val="17"/>
                <w:szCs w:val="17"/>
                <w:color w:val="auto"/>
              </w:rPr>
              <w:t>126</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B. Plan of Distribution</w:t>
            </w:r>
          </w:p>
        </w:tc>
        <w:tc>
          <w:tcPr>
            <w:tcW w:w="2760" w:type="dxa"/>
            <w:vAlign w:val="bottom"/>
          </w:tcPr>
          <w:p>
            <w:pPr>
              <w:ind w:left="2240"/>
              <w:spacing w:after="0"/>
              <w:rPr>
                <w:sz w:val="20"/>
                <w:szCs w:val="20"/>
                <w:color w:val="auto"/>
              </w:rPr>
            </w:pPr>
            <w:r>
              <w:rPr>
                <w:rFonts w:ascii="Arial" w:cs="Arial" w:eastAsia="Arial" w:hAnsi="Arial"/>
                <w:sz w:val="17"/>
                <w:szCs w:val="17"/>
                <w:color w:val="auto"/>
              </w:rPr>
              <w:t>126</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C. Markets</w:t>
            </w:r>
          </w:p>
        </w:tc>
        <w:tc>
          <w:tcPr>
            <w:tcW w:w="2760" w:type="dxa"/>
            <w:vAlign w:val="bottom"/>
          </w:tcPr>
          <w:p>
            <w:pPr>
              <w:ind w:left="2240"/>
              <w:spacing w:after="0"/>
              <w:rPr>
                <w:sz w:val="20"/>
                <w:szCs w:val="20"/>
                <w:color w:val="auto"/>
              </w:rPr>
            </w:pPr>
            <w:r>
              <w:rPr>
                <w:rFonts w:ascii="Arial" w:cs="Arial" w:eastAsia="Arial" w:hAnsi="Arial"/>
                <w:sz w:val="17"/>
                <w:szCs w:val="17"/>
                <w:color w:val="auto"/>
              </w:rPr>
              <w:t>126</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D. Selling Shareholders</w:t>
            </w:r>
          </w:p>
        </w:tc>
        <w:tc>
          <w:tcPr>
            <w:tcW w:w="2760" w:type="dxa"/>
            <w:vAlign w:val="bottom"/>
          </w:tcPr>
          <w:p>
            <w:pPr>
              <w:ind w:left="2240"/>
              <w:spacing w:after="0"/>
              <w:rPr>
                <w:sz w:val="20"/>
                <w:szCs w:val="20"/>
                <w:color w:val="auto"/>
              </w:rPr>
            </w:pPr>
            <w:r>
              <w:rPr>
                <w:rFonts w:ascii="Arial" w:cs="Arial" w:eastAsia="Arial" w:hAnsi="Arial"/>
                <w:sz w:val="17"/>
                <w:szCs w:val="17"/>
                <w:color w:val="auto"/>
              </w:rPr>
              <w:t>127</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E. Dilution</w:t>
            </w:r>
          </w:p>
        </w:tc>
        <w:tc>
          <w:tcPr>
            <w:tcW w:w="2760" w:type="dxa"/>
            <w:vAlign w:val="bottom"/>
          </w:tcPr>
          <w:p>
            <w:pPr>
              <w:ind w:left="2240"/>
              <w:spacing w:after="0"/>
              <w:rPr>
                <w:sz w:val="20"/>
                <w:szCs w:val="20"/>
                <w:color w:val="auto"/>
              </w:rPr>
            </w:pPr>
            <w:r>
              <w:rPr>
                <w:rFonts w:ascii="Arial" w:cs="Arial" w:eastAsia="Arial" w:hAnsi="Arial"/>
                <w:sz w:val="17"/>
                <w:szCs w:val="17"/>
                <w:color w:val="auto"/>
              </w:rPr>
              <w:t>127</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F.  Expenses of the Issue</w:t>
            </w:r>
          </w:p>
        </w:tc>
        <w:tc>
          <w:tcPr>
            <w:tcW w:w="2760" w:type="dxa"/>
            <w:vAlign w:val="bottom"/>
          </w:tcPr>
          <w:p>
            <w:pPr>
              <w:ind w:left="2240"/>
              <w:spacing w:after="0"/>
              <w:rPr>
                <w:sz w:val="20"/>
                <w:szCs w:val="20"/>
                <w:color w:val="auto"/>
              </w:rPr>
            </w:pPr>
            <w:r>
              <w:rPr>
                <w:rFonts w:ascii="Arial" w:cs="Arial" w:eastAsia="Arial" w:hAnsi="Arial"/>
                <w:sz w:val="17"/>
                <w:szCs w:val="17"/>
                <w:color w:val="auto"/>
              </w:rPr>
              <w:t>127</w:t>
            </w:r>
          </w:p>
        </w:tc>
      </w:tr>
      <w:tr>
        <w:trPr>
          <w:trHeight w:val="214"/>
        </w:trPr>
        <w:tc>
          <w:tcPr>
            <w:tcW w:w="20" w:type="dxa"/>
            <w:vAlign w:val="bottom"/>
          </w:tcPr>
          <w:p>
            <w:pPr>
              <w:spacing w:after="0"/>
              <w:rPr>
                <w:sz w:val="18"/>
                <w:szCs w:val="18"/>
                <w:color w:val="auto"/>
              </w:rPr>
            </w:pPr>
          </w:p>
        </w:tc>
        <w:tc>
          <w:tcPr>
            <w:tcW w:w="8460" w:type="dxa"/>
            <w:vAlign w:val="bottom"/>
            <w:gridSpan w:val="16"/>
          </w:tcPr>
          <w:p>
            <w:pPr>
              <w:spacing w:after="0"/>
              <w:rPr>
                <w:rFonts w:ascii="Arial" w:cs="Arial" w:eastAsia="Arial" w:hAnsi="Arial"/>
                <w:sz w:val="17"/>
                <w:szCs w:val="17"/>
                <w:b w:val="1"/>
                <w:bCs w:val="1"/>
                <w:color w:val="0000EE"/>
              </w:rPr>
            </w:pPr>
            <w:hyperlink w:anchor="page127">
              <w:r>
                <w:rPr>
                  <w:rFonts w:ascii="Arial" w:cs="Arial" w:eastAsia="Arial" w:hAnsi="Arial"/>
                  <w:sz w:val="17"/>
                  <w:szCs w:val="17"/>
                  <w:b w:val="1"/>
                  <w:bCs w:val="1"/>
                  <w:color w:val="0000EE"/>
                </w:rPr>
                <w:t>ITEM 10. ADDITIONAL INFORMATION</w:t>
              </w:r>
            </w:hyperlink>
          </w:p>
        </w:tc>
        <w:tc>
          <w:tcPr>
            <w:tcW w:w="2760" w:type="dxa"/>
            <w:vAlign w:val="bottom"/>
          </w:tcPr>
          <w:p>
            <w:pPr>
              <w:ind w:left="2240"/>
              <w:spacing w:after="0"/>
              <w:rPr>
                <w:sz w:val="20"/>
                <w:szCs w:val="20"/>
                <w:color w:val="auto"/>
              </w:rPr>
            </w:pPr>
            <w:r>
              <w:rPr>
                <w:rFonts w:ascii="Arial" w:cs="Arial" w:eastAsia="Arial" w:hAnsi="Arial"/>
                <w:sz w:val="17"/>
                <w:szCs w:val="17"/>
                <w:b w:val="1"/>
                <w:bCs w:val="1"/>
                <w:color w:val="auto"/>
              </w:rPr>
              <w:t>127</w:t>
            </w:r>
          </w:p>
        </w:tc>
      </w:tr>
      <w:tr>
        <w:trPr>
          <w:trHeight w:val="269"/>
        </w:trPr>
        <w:tc>
          <w:tcPr>
            <w:tcW w:w="20" w:type="dxa"/>
            <w:vAlign w:val="bottom"/>
          </w:tcPr>
          <w:p>
            <w:pPr>
              <w:spacing w:after="0"/>
              <w:rPr>
                <w:sz w:val="23"/>
                <w:szCs w:val="23"/>
                <w:color w:val="auto"/>
              </w:rPr>
            </w:pPr>
          </w:p>
        </w:tc>
        <w:tc>
          <w:tcPr>
            <w:tcW w:w="3100" w:type="dxa"/>
            <w:vAlign w:val="bottom"/>
            <w:tcBorders>
              <w:top w:val="single" w:sz="8" w:color="0000EE"/>
            </w:tcBorders>
            <w:gridSpan w:val="6"/>
          </w:tcPr>
          <w:p>
            <w:pPr>
              <w:ind w:left="300"/>
              <w:spacing w:after="0"/>
              <w:rPr>
                <w:sz w:val="20"/>
                <w:szCs w:val="20"/>
                <w:color w:val="auto"/>
              </w:rPr>
            </w:pPr>
            <w:r>
              <w:rPr>
                <w:rFonts w:ascii="Arial" w:cs="Arial" w:eastAsia="Arial" w:hAnsi="Arial"/>
                <w:sz w:val="17"/>
                <w:szCs w:val="17"/>
                <w:b w:val="1"/>
                <w:bCs w:val="1"/>
                <w:color w:val="auto"/>
              </w:rPr>
              <w:t>A. Share Capital</w:t>
            </w:r>
          </w:p>
        </w:tc>
        <w:tc>
          <w:tcPr>
            <w:tcW w:w="5360" w:type="dxa"/>
            <w:vAlign w:val="bottom"/>
            <w:gridSpan w:val="10"/>
          </w:tcPr>
          <w:p>
            <w:pPr>
              <w:spacing w:after="0"/>
              <w:rPr>
                <w:sz w:val="23"/>
                <w:szCs w:val="23"/>
                <w:color w:val="auto"/>
              </w:rPr>
            </w:pPr>
          </w:p>
        </w:tc>
        <w:tc>
          <w:tcPr>
            <w:tcW w:w="2760" w:type="dxa"/>
            <w:vAlign w:val="bottom"/>
          </w:tcPr>
          <w:p>
            <w:pPr>
              <w:ind w:left="2240"/>
              <w:spacing w:after="0"/>
              <w:rPr>
                <w:sz w:val="20"/>
                <w:szCs w:val="20"/>
                <w:color w:val="auto"/>
              </w:rPr>
            </w:pPr>
            <w:r>
              <w:rPr>
                <w:rFonts w:ascii="Arial" w:cs="Arial" w:eastAsia="Arial" w:hAnsi="Arial"/>
                <w:sz w:val="17"/>
                <w:szCs w:val="17"/>
                <w:color w:val="auto"/>
              </w:rPr>
              <w:t>127</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B. Memorandum and Articles of Association</w:t>
            </w:r>
          </w:p>
        </w:tc>
        <w:tc>
          <w:tcPr>
            <w:tcW w:w="2760" w:type="dxa"/>
            <w:vAlign w:val="bottom"/>
          </w:tcPr>
          <w:p>
            <w:pPr>
              <w:ind w:left="2240"/>
              <w:spacing w:after="0"/>
              <w:rPr>
                <w:sz w:val="20"/>
                <w:szCs w:val="20"/>
                <w:color w:val="auto"/>
              </w:rPr>
            </w:pPr>
            <w:r>
              <w:rPr>
                <w:rFonts w:ascii="Arial" w:cs="Arial" w:eastAsia="Arial" w:hAnsi="Arial"/>
                <w:sz w:val="17"/>
                <w:szCs w:val="17"/>
                <w:color w:val="auto"/>
              </w:rPr>
              <w:t>127</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C. Material Contracts</w:t>
            </w:r>
          </w:p>
        </w:tc>
        <w:tc>
          <w:tcPr>
            <w:tcW w:w="2760" w:type="dxa"/>
            <w:vAlign w:val="bottom"/>
          </w:tcPr>
          <w:p>
            <w:pPr>
              <w:ind w:left="2240"/>
              <w:spacing w:after="0"/>
              <w:rPr>
                <w:sz w:val="20"/>
                <w:szCs w:val="20"/>
                <w:color w:val="auto"/>
              </w:rPr>
            </w:pPr>
            <w:r>
              <w:rPr>
                <w:rFonts w:ascii="Arial" w:cs="Arial" w:eastAsia="Arial" w:hAnsi="Arial"/>
                <w:sz w:val="17"/>
                <w:szCs w:val="17"/>
                <w:color w:val="auto"/>
              </w:rPr>
              <w:t>127</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D. Exchange Controls</w:t>
            </w:r>
          </w:p>
        </w:tc>
        <w:tc>
          <w:tcPr>
            <w:tcW w:w="2760" w:type="dxa"/>
            <w:vAlign w:val="bottom"/>
          </w:tcPr>
          <w:p>
            <w:pPr>
              <w:ind w:left="2240"/>
              <w:spacing w:after="0"/>
              <w:rPr>
                <w:sz w:val="20"/>
                <w:szCs w:val="20"/>
                <w:color w:val="auto"/>
              </w:rPr>
            </w:pPr>
            <w:r>
              <w:rPr>
                <w:rFonts w:ascii="Arial" w:cs="Arial" w:eastAsia="Arial" w:hAnsi="Arial"/>
                <w:sz w:val="17"/>
                <w:szCs w:val="17"/>
                <w:color w:val="auto"/>
              </w:rPr>
              <w:t>128</w:t>
            </w:r>
          </w:p>
        </w:tc>
      </w:tr>
      <w:tr>
        <w:trPr>
          <w:trHeight w:val="251"/>
        </w:trPr>
        <w:tc>
          <w:tcPr>
            <w:tcW w:w="20" w:type="dxa"/>
            <w:vAlign w:val="bottom"/>
          </w:tcPr>
          <w:p>
            <w:pPr>
              <w:spacing w:after="0"/>
              <w:rPr>
                <w:sz w:val="21"/>
                <w:szCs w:val="21"/>
                <w:color w:val="auto"/>
              </w:rPr>
            </w:pPr>
          </w:p>
        </w:tc>
        <w:tc>
          <w:tcPr>
            <w:tcW w:w="8460" w:type="dxa"/>
            <w:vAlign w:val="bottom"/>
            <w:gridSpan w:val="16"/>
          </w:tcPr>
          <w:p>
            <w:pPr>
              <w:ind w:left="300"/>
              <w:spacing w:after="0"/>
              <w:rPr>
                <w:sz w:val="20"/>
                <w:szCs w:val="20"/>
                <w:color w:val="auto"/>
              </w:rPr>
            </w:pPr>
            <w:r>
              <w:rPr>
                <w:rFonts w:ascii="Arial" w:cs="Arial" w:eastAsia="Arial" w:hAnsi="Arial"/>
                <w:sz w:val="17"/>
                <w:szCs w:val="17"/>
                <w:b w:val="1"/>
                <w:bCs w:val="1"/>
                <w:color w:val="auto"/>
              </w:rPr>
              <w:t>E. Taxation</w:t>
            </w:r>
          </w:p>
        </w:tc>
        <w:tc>
          <w:tcPr>
            <w:tcW w:w="2760" w:type="dxa"/>
            <w:vAlign w:val="bottom"/>
          </w:tcPr>
          <w:p>
            <w:pPr>
              <w:ind w:left="2240"/>
              <w:spacing w:after="0"/>
              <w:rPr>
                <w:sz w:val="20"/>
                <w:szCs w:val="20"/>
                <w:color w:val="auto"/>
              </w:rPr>
            </w:pPr>
            <w:r>
              <w:rPr>
                <w:rFonts w:ascii="Arial" w:cs="Arial" w:eastAsia="Arial" w:hAnsi="Arial"/>
                <w:sz w:val="17"/>
                <w:szCs w:val="17"/>
                <w:color w:val="auto"/>
              </w:rPr>
              <w:t>128</w:t>
            </w:r>
          </w:p>
        </w:tc>
      </w:tr>
      <w:tr>
        <w:trPr>
          <w:trHeight w:val="251"/>
        </w:trPr>
        <w:tc>
          <w:tcPr>
            <w:tcW w:w="2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7"/>
                <w:szCs w:val="17"/>
                <w:b w:val="1"/>
                <w:bCs w:val="1"/>
                <w:color w:val="auto"/>
              </w:rPr>
              <w:t>F.</w:t>
            </w:r>
          </w:p>
        </w:tc>
        <w:tc>
          <w:tcPr>
            <w:tcW w:w="7920" w:type="dxa"/>
            <w:vAlign w:val="bottom"/>
            <w:gridSpan w:val="15"/>
          </w:tcPr>
          <w:p>
            <w:pPr>
              <w:ind w:left="40"/>
              <w:spacing w:after="0"/>
              <w:rPr>
                <w:sz w:val="20"/>
                <w:szCs w:val="20"/>
                <w:color w:val="auto"/>
              </w:rPr>
            </w:pPr>
            <w:r>
              <w:rPr>
                <w:rFonts w:ascii="Arial" w:cs="Arial" w:eastAsia="Arial" w:hAnsi="Arial"/>
                <w:sz w:val="17"/>
                <w:szCs w:val="17"/>
                <w:b w:val="1"/>
                <w:bCs w:val="1"/>
                <w:color w:val="auto"/>
              </w:rPr>
              <w:t>Dividends and Paying Agents</w:t>
            </w:r>
          </w:p>
        </w:tc>
        <w:tc>
          <w:tcPr>
            <w:tcW w:w="2760" w:type="dxa"/>
            <w:vAlign w:val="bottom"/>
          </w:tcPr>
          <w:p>
            <w:pPr>
              <w:ind w:left="2240"/>
              <w:spacing w:after="0"/>
              <w:rPr>
                <w:sz w:val="20"/>
                <w:szCs w:val="20"/>
                <w:color w:val="auto"/>
              </w:rPr>
            </w:pPr>
            <w:r>
              <w:rPr>
                <w:rFonts w:ascii="Arial" w:cs="Arial" w:eastAsia="Arial" w:hAnsi="Arial"/>
                <w:sz w:val="17"/>
                <w:szCs w:val="17"/>
                <w:color w:val="auto"/>
              </w:rPr>
              <w:t>138</w:t>
            </w:r>
          </w:p>
        </w:tc>
      </w:tr>
      <w:tr>
        <w:trPr>
          <w:trHeight w:val="251"/>
        </w:trPr>
        <w:tc>
          <w:tcPr>
            <w:tcW w:w="2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7"/>
                <w:szCs w:val="17"/>
                <w:b w:val="1"/>
                <w:bCs w:val="1"/>
                <w:color w:val="auto"/>
              </w:rPr>
              <w:t>G.</w:t>
            </w:r>
          </w:p>
        </w:tc>
        <w:tc>
          <w:tcPr>
            <w:tcW w:w="7920" w:type="dxa"/>
            <w:vAlign w:val="bottom"/>
            <w:gridSpan w:val="15"/>
          </w:tcPr>
          <w:p>
            <w:pPr>
              <w:ind w:left="40"/>
              <w:spacing w:after="0"/>
              <w:rPr>
                <w:sz w:val="20"/>
                <w:szCs w:val="20"/>
                <w:color w:val="auto"/>
              </w:rPr>
            </w:pPr>
            <w:r>
              <w:rPr>
                <w:rFonts w:ascii="Arial" w:cs="Arial" w:eastAsia="Arial" w:hAnsi="Arial"/>
                <w:sz w:val="17"/>
                <w:szCs w:val="17"/>
                <w:b w:val="1"/>
                <w:bCs w:val="1"/>
                <w:color w:val="auto"/>
              </w:rPr>
              <w:t>Statement by Experts</w:t>
            </w:r>
          </w:p>
        </w:tc>
        <w:tc>
          <w:tcPr>
            <w:tcW w:w="2760" w:type="dxa"/>
            <w:vAlign w:val="bottom"/>
          </w:tcPr>
          <w:p>
            <w:pPr>
              <w:ind w:left="2240"/>
              <w:spacing w:after="0"/>
              <w:rPr>
                <w:sz w:val="20"/>
                <w:szCs w:val="20"/>
                <w:color w:val="auto"/>
              </w:rPr>
            </w:pPr>
            <w:r>
              <w:rPr>
                <w:rFonts w:ascii="Arial" w:cs="Arial" w:eastAsia="Arial" w:hAnsi="Arial"/>
                <w:sz w:val="17"/>
                <w:szCs w:val="17"/>
                <w:color w:val="auto"/>
              </w:rPr>
              <w:t>138</w:t>
            </w:r>
          </w:p>
        </w:tc>
      </w:tr>
      <w:tr>
        <w:trPr>
          <w:trHeight w:val="251"/>
        </w:trPr>
        <w:tc>
          <w:tcPr>
            <w:tcW w:w="2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7"/>
                <w:szCs w:val="17"/>
                <w:b w:val="1"/>
                <w:bCs w:val="1"/>
                <w:color w:val="auto"/>
              </w:rPr>
              <w:t>H.</w:t>
            </w:r>
          </w:p>
        </w:tc>
        <w:tc>
          <w:tcPr>
            <w:tcW w:w="7920" w:type="dxa"/>
            <w:vAlign w:val="bottom"/>
            <w:gridSpan w:val="15"/>
          </w:tcPr>
          <w:p>
            <w:pPr>
              <w:ind w:left="40"/>
              <w:spacing w:after="0"/>
              <w:rPr>
                <w:sz w:val="20"/>
                <w:szCs w:val="20"/>
                <w:color w:val="auto"/>
              </w:rPr>
            </w:pPr>
            <w:r>
              <w:rPr>
                <w:rFonts w:ascii="Arial" w:cs="Arial" w:eastAsia="Arial" w:hAnsi="Arial"/>
                <w:sz w:val="17"/>
                <w:szCs w:val="17"/>
                <w:b w:val="1"/>
                <w:bCs w:val="1"/>
                <w:color w:val="auto"/>
              </w:rPr>
              <w:t>Documents on Display</w:t>
            </w:r>
          </w:p>
        </w:tc>
        <w:tc>
          <w:tcPr>
            <w:tcW w:w="2760" w:type="dxa"/>
            <w:vAlign w:val="bottom"/>
          </w:tcPr>
          <w:p>
            <w:pPr>
              <w:ind w:left="2240"/>
              <w:spacing w:after="0"/>
              <w:rPr>
                <w:sz w:val="20"/>
                <w:szCs w:val="20"/>
                <w:color w:val="auto"/>
              </w:rPr>
            </w:pPr>
            <w:r>
              <w:rPr>
                <w:rFonts w:ascii="Arial" w:cs="Arial" w:eastAsia="Arial" w:hAnsi="Arial"/>
                <w:sz w:val="17"/>
                <w:szCs w:val="17"/>
                <w:color w:val="auto"/>
              </w:rPr>
              <w:t>138</w:t>
            </w:r>
          </w:p>
        </w:tc>
      </w:tr>
      <w:tr>
        <w:trPr>
          <w:trHeight w:val="251"/>
        </w:trPr>
        <w:tc>
          <w:tcPr>
            <w:tcW w:w="2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7"/>
                <w:szCs w:val="17"/>
                <w:b w:val="1"/>
                <w:bCs w:val="1"/>
                <w:color w:val="auto"/>
              </w:rPr>
              <w:t>I.</w:t>
            </w:r>
          </w:p>
        </w:tc>
        <w:tc>
          <w:tcPr>
            <w:tcW w:w="7920" w:type="dxa"/>
            <w:vAlign w:val="bottom"/>
            <w:gridSpan w:val="15"/>
          </w:tcPr>
          <w:p>
            <w:pPr>
              <w:ind w:left="40"/>
              <w:spacing w:after="0"/>
              <w:rPr>
                <w:sz w:val="20"/>
                <w:szCs w:val="20"/>
                <w:color w:val="auto"/>
              </w:rPr>
            </w:pPr>
            <w:r>
              <w:rPr>
                <w:rFonts w:ascii="Arial" w:cs="Arial" w:eastAsia="Arial" w:hAnsi="Arial"/>
                <w:sz w:val="17"/>
                <w:szCs w:val="17"/>
                <w:b w:val="1"/>
                <w:bCs w:val="1"/>
                <w:color w:val="auto"/>
              </w:rPr>
              <w:t>Subsidiary Information</w:t>
            </w:r>
          </w:p>
        </w:tc>
        <w:tc>
          <w:tcPr>
            <w:tcW w:w="2760" w:type="dxa"/>
            <w:vAlign w:val="bottom"/>
          </w:tcPr>
          <w:p>
            <w:pPr>
              <w:ind w:left="2240"/>
              <w:spacing w:after="0"/>
              <w:rPr>
                <w:sz w:val="20"/>
                <w:szCs w:val="20"/>
                <w:color w:val="auto"/>
              </w:rPr>
            </w:pPr>
            <w:r>
              <w:rPr>
                <w:rFonts w:ascii="Arial" w:cs="Arial" w:eastAsia="Arial" w:hAnsi="Arial"/>
                <w:sz w:val="17"/>
                <w:szCs w:val="17"/>
                <w:color w:val="auto"/>
              </w:rPr>
              <w:t>138</w:t>
            </w:r>
          </w:p>
        </w:tc>
      </w:tr>
      <w:tr>
        <w:trPr>
          <w:trHeight w:val="59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80" w:type="dxa"/>
            <w:vAlign w:val="bottom"/>
            <w:gridSpan w:val="12"/>
          </w:tcPr>
          <w:p>
            <w:pPr>
              <w:ind w:left="502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56"/>
        </w:trPr>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525"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740" w:type="dxa"/>
            <w:vAlign w:val="bottom"/>
            <w:tcBorders>
              <w:bottom w:val="single" w:sz="8" w:color="0000EE"/>
            </w:tcBorders>
            <w:gridSpan w:val="18"/>
          </w:tcPr>
          <w:p>
            <w:pPr>
              <w:spacing w:after="0"/>
              <w:rPr>
                <w:rFonts w:ascii="Arial" w:cs="Arial" w:eastAsia="Arial" w:hAnsi="Arial"/>
                <w:sz w:val="17"/>
                <w:szCs w:val="17"/>
                <w:b w:val="1"/>
                <w:bCs w:val="1"/>
                <w:color w:val="0000EE"/>
                <w:w w:val="99"/>
              </w:rPr>
            </w:pPr>
            <w:hyperlink w:anchor="page139">
              <w:r>
                <w:rPr>
                  <w:rFonts w:ascii="Arial" w:cs="Arial" w:eastAsia="Arial" w:hAnsi="Arial"/>
                  <w:sz w:val="17"/>
                  <w:szCs w:val="17"/>
                  <w:b w:val="1"/>
                  <w:bCs w:val="1"/>
                  <w:color w:val="0000EE"/>
                  <w:w w:val="99"/>
                </w:rPr>
                <w:t>ITEM 11. QUANTITATIVE AND QUALITATIVE DISCLOSURES ABOUT MARKET RISK</w:t>
              </w:r>
            </w:hyperlink>
          </w:p>
        </w:tc>
        <w:tc>
          <w:tcPr>
            <w:tcW w:w="2860" w:type="dxa"/>
            <w:vAlign w:val="bottom"/>
            <w:gridSpan w:val="5"/>
          </w:tcPr>
          <w:p>
            <w:pPr>
              <w:spacing w:after="0"/>
              <w:rPr>
                <w:sz w:val="16"/>
                <w:szCs w:val="16"/>
                <w:color w:val="auto"/>
              </w:rPr>
            </w:pPr>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139</w:t>
            </w:r>
          </w:p>
        </w:tc>
      </w:tr>
      <w:tr>
        <w:trPr>
          <w:trHeight w:val="231"/>
        </w:trPr>
        <w:tc>
          <w:tcPr>
            <w:tcW w:w="20" w:type="dxa"/>
            <w:vAlign w:val="bottom"/>
          </w:tcPr>
          <w:p>
            <w:pPr>
              <w:spacing w:after="0"/>
              <w:rPr>
                <w:sz w:val="20"/>
                <w:szCs w:val="20"/>
                <w:color w:val="auto"/>
              </w:rPr>
            </w:pPr>
          </w:p>
        </w:tc>
        <w:tc>
          <w:tcPr>
            <w:tcW w:w="9600" w:type="dxa"/>
            <w:vAlign w:val="bottom"/>
            <w:gridSpan w:val="23"/>
          </w:tcPr>
          <w:p>
            <w:pPr>
              <w:spacing w:after="0"/>
              <w:rPr>
                <w:rFonts w:ascii="Arial" w:cs="Arial" w:eastAsia="Arial" w:hAnsi="Arial"/>
                <w:sz w:val="17"/>
                <w:szCs w:val="17"/>
                <w:b w:val="1"/>
                <w:bCs w:val="1"/>
                <w:color w:val="0000EE"/>
              </w:rPr>
            </w:pPr>
            <w:hyperlink w:anchor="page139">
              <w:r>
                <w:rPr>
                  <w:rFonts w:ascii="Arial" w:cs="Arial" w:eastAsia="Arial" w:hAnsi="Arial"/>
                  <w:sz w:val="17"/>
                  <w:szCs w:val="17"/>
                  <w:b w:val="1"/>
                  <w:bCs w:val="1"/>
                  <w:color w:val="0000EE"/>
                </w:rPr>
                <w:t>ITEM 12. DESCRIPTION OF SECURITIES OTHER THAN EQUITY SECURITIES</w:t>
              </w:r>
            </w:hyperlink>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139</w:t>
            </w:r>
          </w:p>
        </w:tc>
      </w:tr>
      <w:tr>
        <w:trPr>
          <w:trHeight w:val="231"/>
        </w:trPr>
        <w:tc>
          <w:tcPr>
            <w:tcW w:w="20" w:type="dxa"/>
            <w:vAlign w:val="bottom"/>
          </w:tcPr>
          <w:p>
            <w:pPr>
              <w:spacing w:after="0"/>
              <w:rPr>
                <w:sz w:val="20"/>
                <w:szCs w:val="20"/>
                <w:color w:val="auto"/>
              </w:rPr>
            </w:pPr>
          </w:p>
        </w:tc>
        <w:tc>
          <w:tcPr>
            <w:tcW w:w="620" w:type="dxa"/>
            <w:vAlign w:val="bottom"/>
            <w:tcBorders>
              <w:top w:val="single" w:sz="8" w:color="0000EE"/>
              <w:bottom w:val="single" w:sz="8" w:color="0000EE"/>
            </w:tcBorders>
            <w:gridSpan w:val="2"/>
          </w:tcPr>
          <w:p>
            <w:pPr>
              <w:spacing w:after="0"/>
              <w:rPr>
                <w:rFonts w:ascii="Arial" w:cs="Arial" w:eastAsia="Arial" w:hAnsi="Arial"/>
                <w:sz w:val="17"/>
                <w:szCs w:val="17"/>
                <w:b w:val="1"/>
                <w:bCs w:val="1"/>
                <w:color w:val="0000EE"/>
                <w:w w:val="99"/>
              </w:rPr>
            </w:pPr>
            <w:hyperlink w:anchor="page139">
              <w:r>
                <w:rPr>
                  <w:rFonts w:ascii="Arial" w:cs="Arial" w:eastAsia="Arial" w:hAnsi="Arial"/>
                  <w:sz w:val="17"/>
                  <w:szCs w:val="17"/>
                  <w:b w:val="1"/>
                  <w:bCs w:val="1"/>
                  <w:color w:val="0000EE"/>
                  <w:w w:val="99"/>
                </w:rPr>
                <w:t>PART II</w:t>
              </w:r>
            </w:hyperlink>
          </w:p>
        </w:tc>
        <w:tc>
          <w:tcPr>
            <w:tcW w:w="5580" w:type="dxa"/>
            <w:vAlign w:val="bottom"/>
            <w:tcBorders>
              <w:top w:val="single" w:sz="8" w:color="0000EE"/>
            </w:tcBorders>
            <w:gridSpan w:val="15"/>
          </w:tcPr>
          <w:p>
            <w:pPr>
              <w:spacing w:after="0"/>
              <w:rPr>
                <w:sz w:val="20"/>
                <w:szCs w:val="20"/>
                <w:color w:val="auto"/>
              </w:rPr>
            </w:pPr>
          </w:p>
        </w:tc>
        <w:tc>
          <w:tcPr>
            <w:tcW w:w="3400" w:type="dxa"/>
            <w:vAlign w:val="bottom"/>
            <w:gridSpan w:val="6"/>
          </w:tcPr>
          <w:p>
            <w:pPr>
              <w:spacing w:after="0"/>
              <w:rPr>
                <w:sz w:val="20"/>
                <w:szCs w:val="20"/>
                <w:color w:val="auto"/>
              </w:rPr>
            </w:pPr>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139</w:t>
            </w:r>
          </w:p>
        </w:tc>
      </w:tr>
      <w:tr>
        <w:trPr>
          <w:trHeight w:val="231"/>
        </w:trPr>
        <w:tc>
          <w:tcPr>
            <w:tcW w:w="20" w:type="dxa"/>
            <w:vAlign w:val="bottom"/>
          </w:tcPr>
          <w:p>
            <w:pPr>
              <w:spacing w:after="0"/>
              <w:rPr>
                <w:sz w:val="20"/>
                <w:szCs w:val="20"/>
                <w:color w:val="auto"/>
              </w:rPr>
            </w:pPr>
          </w:p>
        </w:tc>
        <w:tc>
          <w:tcPr>
            <w:tcW w:w="9600" w:type="dxa"/>
            <w:vAlign w:val="bottom"/>
            <w:gridSpan w:val="23"/>
          </w:tcPr>
          <w:p>
            <w:pPr>
              <w:spacing w:after="0"/>
              <w:rPr>
                <w:rFonts w:ascii="Arial" w:cs="Arial" w:eastAsia="Arial" w:hAnsi="Arial"/>
                <w:sz w:val="17"/>
                <w:szCs w:val="17"/>
                <w:b w:val="1"/>
                <w:bCs w:val="1"/>
                <w:color w:val="0000EE"/>
              </w:rPr>
            </w:pPr>
            <w:hyperlink w:anchor="page139">
              <w:r>
                <w:rPr>
                  <w:rFonts w:ascii="Arial" w:cs="Arial" w:eastAsia="Arial" w:hAnsi="Arial"/>
                  <w:sz w:val="17"/>
                  <w:szCs w:val="17"/>
                  <w:b w:val="1"/>
                  <w:bCs w:val="1"/>
                  <w:color w:val="0000EE"/>
                </w:rPr>
                <w:t>ITEM 13. DEFAULTS, DIVIDEND ARREARAGES AND DELINQUENCIES</w:t>
              </w:r>
            </w:hyperlink>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139</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500" w:type="dxa"/>
            <w:vAlign w:val="bottom"/>
            <w:tcBorders>
              <w:bottom w:val="single" w:sz="8" w:color="0000EE"/>
            </w:tcBorders>
            <w:gridSpan w:val="22"/>
          </w:tcPr>
          <w:p>
            <w:pPr>
              <w:spacing w:after="0"/>
              <w:rPr>
                <w:rFonts w:ascii="Arial" w:cs="Arial" w:eastAsia="Arial" w:hAnsi="Arial"/>
                <w:sz w:val="17"/>
                <w:szCs w:val="17"/>
                <w:b w:val="1"/>
                <w:bCs w:val="1"/>
                <w:color w:val="0000EE"/>
                <w:w w:val="99"/>
              </w:rPr>
            </w:pPr>
            <w:hyperlink w:anchor="page140">
              <w:r>
                <w:rPr>
                  <w:rFonts w:ascii="Arial" w:cs="Arial" w:eastAsia="Arial" w:hAnsi="Arial"/>
                  <w:sz w:val="17"/>
                  <w:szCs w:val="17"/>
                  <w:b w:val="1"/>
                  <w:bCs w:val="1"/>
                  <w:color w:val="0000EE"/>
                  <w:w w:val="99"/>
                </w:rPr>
                <w:t>ITEM 14. MATERIAL MODIFICATIONS TO THE RIGHTS OF SECURITY HOLDERS AND USE OF PROCEEDS</w:t>
              </w:r>
            </w:hyperlink>
          </w:p>
        </w:tc>
        <w:tc>
          <w:tcPr>
            <w:tcW w:w="1100" w:type="dxa"/>
            <w:vAlign w:val="bottom"/>
          </w:tcPr>
          <w:p>
            <w:pPr>
              <w:spacing w:after="0"/>
              <w:rPr>
                <w:sz w:val="20"/>
                <w:szCs w:val="20"/>
                <w:color w:val="auto"/>
              </w:rPr>
            </w:pPr>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140</w:t>
            </w:r>
          </w:p>
        </w:tc>
      </w:tr>
      <w:tr>
        <w:trPr>
          <w:trHeight w:val="231"/>
        </w:trPr>
        <w:tc>
          <w:tcPr>
            <w:tcW w:w="20" w:type="dxa"/>
            <w:vAlign w:val="bottom"/>
          </w:tcPr>
          <w:p>
            <w:pPr>
              <w:spacing w:after="0"/>
              <w:rPr>
                <w:sz w:val="20"/>
                <w:szCs w:val="20"/>
                <w:color w:val="auto"/>
              </w:rPr>
            </w:pPr>
          </w:p>
        </w:tc>
        <w:tc>
          <w:tcPr>
            <w:tcW w:w="9600" w:type="dxa"/>
            <w:vAlign w:val="bottom"/>
            <w:gridSpan w:val="23"/>
          </w:tcPr>
          <w:p>
            <w:pPr>
              <w:spacing w:after="0"/>
              <w:rPr>
                <w:rFonts w:ascii="Arial" w:cs="Arial" w:eastAsia="Arial" w:hAnsi="Arial"/>
                <w:sz w:val="17"/>
                <w:szCs w:val="17"/>
                <w:b w:val="1"/>
                <w:bCs w:val="1"/>
                <w:color w:val="0000EE"/>
              </w:rPr>
            </w:pPr>
            <w:hyperlink w:anchor="page140">
              <w:r>
                <w:rPr>
                  <w:rFonts w:ascii="Arial" w:cs="Arial" w:eastAsia="Arial" w:hAnsi="Arial"/>
                  <w:sz w:val="17"/>
                  <w:szCs w:val="17"/>
                  <w:b w:val="1"/>
                  <w:bCs w:val="1"/>
                  <w:color w:val="0000EE"/>
                </w:rPr>
                <w:t>ITEM 15. CONTROLS AND PROCEDURES</w:t>
              </w:r>
            </w:hyperlink>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140</w:t>
            </w:r>
          </w:p>
        </w:tc>
      </w:tr>
      <w:tr>
        <w:trPr>
          <w:trHeight w:val="231"/>
        </w:trPr>
        <w:tc>
          <w:tcPr>
            <w:tcW w:w="20" w:type="dxa"/>
            <w:vAlign w:val="bottom"/>
          </w:tcPr>
          <w:p>
            <w:pPr>
              <w:spacing w:after="0"/>
              <w:rPr>
                <w:sz w:val="20"/>
                <w:szCs w:val="20"/>
                <w:color w:val="auto"/>
              </w:rPr>
            </w:pPr>
          </w:p>
        </w:tc>
        <w:tc>
          <w:tcPr>
            <w:tcW w:w="3280" w:type="dxa"/>
            <w:vAlign w:val="bottom"/>
            <w:tcBorders>
              <w:top w:val="single" w:sz="8" w:color="0000EE"/>
            </w:tcBorders>
            <w:gridSpan w:val="12"/>
          </w:tcPr>
          <w:p>
            <w:pPr>
              <w:spacing w:after="0"/>
              <w:rPr>
                <w:rFonts w:ascii="Arial" w:cs="Arial" w:eastAsia="Arial" w:hAnsi="Arial"/>
                <w:sz w:val="17"/>
                <w:szCs w:val="17"/>
                <w:b w:val="1"/>
                <w:bCs w:val="1"/>
                <w:color w:val="0000EE"/>
              </w:rPr>
            </w:pPr>
            <w:hyperlink w:anchor="page141">
              <w:r>
                <w:rPr>
                  <w:rFonts w:ascii="Arial" w:cs="Arial" w:eastAsia="Arial" w:hAnsi="Arial"/>
                  <w:sz w:val="17"/>
                  <w:szCs w:val="17"/>
                  <w:b w:val="1"/>
                  <w:bCs w:val="1"/>
                  <w:color w:val="0000EE"/>
                </w:rPr>
                <w:t>ITEM 16. [RESERVED]</w:t>
              </w:r>
            </w:hyperlink>
          </w:p>
        </w:tc>
        <w:tc>
          <w:tcPr>
            <w:tcW w:w="6320" w:type="dxa"/>
            <w:vAlign w:val="bottom"/>
            <w:gridSpan w:val="11"/>
          </w:tcPr>
          <w:p>
            <w:pPr>
              <w:spacing w:after="0"/>
              <w:rPr>
                <w:sz w:val="20"/>
                <w:szCs w:val="20"/>
                <w:color w:val="auto"/>
              </w:rPr>
            </w:pPr>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141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9600" w:type="dxa"/>
            <w:vAlign w:val="bottom"/>
            <w:gridSpan w:val="23"/>
          </w:tcPr>
          <w:p>
            <w:pPr>
              <w:spacing w:after="0"/>
              <w:rPr>
                <w:rFonts w:ascii="Arial" w:cs="Arial" w:eastAsia="Arial" w:hAnsi="Arial"/>
                <w:sz w:val="17"/>
                <w:szCs w:val="17"/>
                <w:b w:val="1"/>
                <w:bCs w:val="1"/>
                <w:color w:val="0000EE"/>
              </w:rPr>
            </w:pPr>
            <w:hyperlink w:anchor="page141">
              <w:r>
                <w:rPr>
                  <w:rFonts w:ascii="Arial" w:cs="Arial" w:eastAsia="Arial" w:hAnsi="Arial"/>
                  <w:sz w:val="17"/>
                  <w:szCs w:val="17"/>
                  <w:b w:val="1"/>
                  <w:bCs w:val="1"/>
                  <w:color w:val="0000EE"/>
                </w:rPr>
                <w:t>ITEM 16A. AUDIT COMMITTEE FINANCIAL EXPERT</w:t>
              </w:r>
            </w:hyperlink>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141</w:t>
            </w:r>
          </w:p>
        </w:tc>
      </w:tr>
      <w:tr>
        <w:trPr>
          <w:trHeight w:val="231"/>
        </w:trPr>
        <w:tc>
          <w:tcPr>
            <w:tcW w:w="20" w:type="dxa"/>
            <w:vAlign w:val="bottom"/>
          </w:tcPr>
          <w:p>
            <w:pPr>
              <w:spacing w:after="0"/>
              <w:rPr>
                <w:sz w:val="20"/>
                <w:szCs w:val="20"/>
                <w:color w:val="auto"/>
              </w:rPr>
            </w:pPr>
          </w:p>
        </w:tc>
        <w:tc>
          <w:tcPr>
            <w:tcW w:w="4220" w:type="dxa"/>
            <w:vAlign w:val="bottom"/>
            <w:tcBorders>
              <w:top w:val="single" w:sz="8" w:color="0000EE"/>
            </w:tcBorders>
            <w:gridSpan w:val="13"/>
          </w:tcPr>
          <w:p>
            <w:pPr>
              <w:spacing w:after="0"/>
              <w:rPr>
                <w:rFonts w:ascii="Arial" w:cs="Arial" w:eastAsia="Arial" w:hAnsi="Arial"/>
                <w:sz w:val="17"/>
                <w:szCs w:val="17"/>
                <w:b w:val="1"/>
                <w:bCs w:val="1"/>
                <w:color w:val="0000EE"/>
              </w:rPr>
            </w:pPr>
            <w:hyperlink w:anchor="page141">
              <w:r>
                <w:rPr>
                  <w:rFonts w:ascii="Arial" w:cs="Arial" w:eastAsia="Arial" w:hAnsi="Arial"/>
                  <w:sz w:val="17"/>
                  <w:szCs w:val="17"/>
                  <w:b w:val="1"/>
                  <w:bCs w:val="1"/>
                  <w:color w:val="0000EE"/>
                </w:rPr>
                <w:t>ITEM 16B. CODE OF ETHICS</w:t>
              </w:r>
            </w:hyperlink>
          </w:p>
        </w:tc>
        <w:tc>
          <w:tcPr>
            <w:tcW w:w="5380" w:type="dxa"/>
            <w:vAlign w:val="bottom"/>
            <w:gridSpan w:val="10"/>
          </w:tcPr>
          <w:p>
            <w:pPr>
              <w:spacing w:after="0"/>
              <w:rPr>
                <w:sz w:val="20"/>
                <w:szCs w:val="20"/>
                <w:color w:val="auto"/>
              </w:rPr>
            </w:pPr>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141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9600" w:type="dxa"/>
            <w:vAlign w:val="bottom"/>
            <w:gridSpan w:val="23"/>
          </w:tcPr>
          <w:p>
            <w:pPr>
              <w:spacing w:after="0"/>
              <w:rPr>
                <w:rFonts w:ascii="Arial" w:cs="Arial" w:eastAsia="Arial" w:hAnsi="Arial"/>
                <w:sz w:val="17"/>
                <w:szCs w:val="17"/>
                <w:b w:val="1"/>
                <w:bCs w:val="1"/>
                <w:color w:val="0000EE"/>
              </w:rPr>
            </w:pPr>
            <w:hyperlink w:anchor="page141">
              <w:r>
                <w:rPr>
                  <w:rFonts w:ascii="Arial" w:cs="Arial" w:eastAsia="Arial" w:hAnsi="Arial"/>
                  <w:sz w:val="17"/>
                  <w:szCs w:val="17"/>
                  <w:b w:val="1"/>
                  <w:bCs w:val="1"/>
                  <w:color w:val="0000EE"/>
                </w:rPr>
                <w:t>ITEM 16C. PRINCIPAL ACCOUNTING FEES AND SERVICES</w:t>
              </w:r>
            </w:hyperlink>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141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6920" w:type="dxa"/>
            <w:vAlign w:val="bottom"/>
            <w:tcBorders>
              <w:bottom w:val="single" w:sz="8" w:color="0000EE"/>
            </w:tcBorders>
            <w:gridSpan w:val="19"/>
          </w:tcPr>
          <w:p>
            <w:pPr>
              <w:spacing w:after="0"/>
              <w:rPr>
                <w:rFonts w:ascii="Arial" w:cs="Arial" w:eastAsia="Arial" w:hAnsi="Arial"/>
                <w:sz w:val="17"/>
                <w:szCs w:val="17"/>
                <w:b w:val="1"/>
                <w:bCs w:val="1"/>
                <w:color w:val="0000EE"/>
              </w:rPr>
            </w:pPr>
            <w:hyperlink w:anchor="page142">
              <w:r>
                <w:rPr>
                  <w:rFonts w:ascii="Arial" w:cs="Arial" w:eastAsia="Arial" w:hAnsi="Arial"/>
                  <w:sz w:val="17"/>
                  <w:szCs w:val="17"/>
                  <w:b w:val="1"/>
                  <w:bCs w:val="1"/>
                  <w:color w:val="0000EE"/>
                </w:rPr>
                <w:t>ITEM 16D. EXEMPTIONS FROM THE LISTING STANDARDS FOR AUDIT COMMITTEES</w:t>
              </w:r>
            </w:hyperlink>
          </w:p>
        </w:tc>
        <w:tc>
          <w:tcPr>
            <w:tcW w:w="2680" w:type="dxa"/>
            <w:vAlign w:val="bottom"/>
            <w:gridSpan w:val="4"/>
          </w:tcPr>
          <w:p>
            <w:pPr>
              <w:spacing w:after="0"/>
              <w:rPr>
                <w:sz w:val="20"/>
                <w:szCs w:val="20"/>
                <w:color w:val="auto"/>
              </w:rPr>
            </w:pPr>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142</w:t>
            </w:r>
          </w:p>
        </w:tc>
      </w:tr>
      <w:tr>
        <w:trPr>
          <w:trHeight w:val="231"/>
        </w:trPr>
        <w:tc>
          <w:tcPr>
            <w:tcW w:w="20" w:type="dxa"/>
            <w:vAlign w:val="bottom"/>
          </w:tcPr>
          <w:p>
            <w:pPr>
              <w:spacing w:after="0"/>
              <w:rPr>
                <w:sz w:val="20"/>
                <w:szCs w:val="20"/>
                <w:color w:val="auto"/>
              </w:rPr>
            </w:pPr>
          </w:p>
        </w:tc>
        <w:tc>
          <w:tcPr>
            <w:tcW w:w="7860" w:type="dxa"/>
            <w:vAlign w:val="bottom"/>
            <w:tcBorders>
              <w:bottom w:val="single" w:sz="8" w:color="0000EE"/>
            </w:tcBorders>
            <w:gridSpan w:val="21"/>
          </w:tcPr>
          <w:p>
            <w:pPr>
              <w:spacing w:after="0"/>
              <w:rPr>
                <w:rFonts w:ascii="Arial" w:cs="Arial" w:eastAsia="Arial" w:hAnsi="Arial"/>
                <w:sz w:val="17"/>
                <w:szCs w:val="17"/>
                <w:b w:val="1"/>
                <w:bCs w:val="1"/>
                <w:color w:val="0000EE"/>
                <w:w w:val="98"/>
              </w:rPr>
            </w:pPr>
            <w:hyperlink w:anchor="page142">
              <w:r>
                <w:rPr>
                  <w:rFonts w:ascii="Arial" w:cs="Arial" w:eastAsia="Arial" w:hAnsi="Arial"/>
                  <w:sz w:val="17"/>
                  <w:szCs w:val="17"/>
                  <w:b w:val="1"/>
                  <w:bCs w:val="1"/>
                  <w:color w:val="0000EE"/>
                  <w:w w:val="98"/>
                </w:rPr>
                <w:t>ITEM 16E. PURCHASES OF EQUITY SECURITIES BY THE ISSUER AND AFFILIATED PURCHASERS</w:t>
              </w:r>
            </w:hyperlink>
          </w:p>
        </w:tc>
        <w:tc>
          <w:tcPr>
            <w:tcW w:w="1740" w:type="dxa"/>
            <w:vAlign w:val="bottom"/>
            <w:gridSpan w:val="2"/>
          </w:tcPr>
          <w:p>
            <w:pPr>
              <w:spacing w:after="0"/>
              <w:rPr>
                <w:sz w:val="20"/>
                <w:szCs w:val="20"/>
                <w:color w:val="auto"/>
              </w:rPr>
            </w:pPr>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142</w:t>
            </w:r>
          </w:p>
        </w:tc>
      </w:tr>
      <w:tr>
        <w:trPr>
          <w:trHeight w:val="231"/>
        </w:trPr>
        <w:tc>
          <w:tcPr>
            <w:tcW w:w="20" w:type="dxa"/>
            <w:vAlign w:val="bottom"/>
          </w:tcPr>
          <w:p>
            <w:pPr>
              <w:spacing w:after="0"/>
              <w:rPr>
                <w:sz w:val="20"/>
                <w:szCs w:val="20"/>
                <w:color w:val="auto"/>
              </w:rPr>
            </w:pPr>
          </w:p>
        </w:tc>
        <w:tc>
          <w:tcPr>
            <w:tcW w:w="9600" w:type="dxa"/>
            <w:vAlign w:val="bottom"/>
            <w:gridSpan w:val="23"/>
          </w:tcPr>
          <w:p>
            <w:pPr>
              <w:spacing w:after="0"/>
              <w:rPr>
                <w:rFonts w:ascii="Arial" w:cs="Arial" w:eastAsia="Arial" w:hAnsi="Arial"/>
                <w:sz w:val="17"/>
                <w:szCs w:val="17"/>
                <w:b w:val="1"/>
                <w:bCs w:val="1"/>
                <w:color w:val="0000EE"/>
              </w:rPr>
            </w:pPr>
            <w:hyperlink w:anchor="page142">
              <w:r>
                <w:rPr>
                  <w:rFonts w:ascii="Arial" w:cs="Arial" w:eastAsia="Arial" w:hAnsi="Arial"/>
                  <w:sz w:val="17"/>
                  <w:szCs w:val="17"/>
                  <w:b w:val="1"/>
                  <w:bCs w:val="1"/>
                  <w:color w:val="0000EE"/>
                </w:rPr>
                <w:t>ITEM 16F. CHANGE IN REGISTRANT’S CERTIFYING ACCOUNTANT</w:t>
              </w:r>
            </w:hyperlink>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142</w:t>
            </w:r>
          </w:p>
        </w:tc>
      </w:tr>
      <w:tr>
        <w:trPr>
          <w:trHeight w:val="231"/>
        </w:trPr>
        <w:tc>
          <w:tcPr>
            <w:tcW w:w="20" w:type="dxa"/>
            <w:vAlign w:val="bottom"/>
          </w:tcPr>
          <w:p>
            <w:pPr>
              <w:spacing w:after="0"/>
              <w:rPr>
                <w:sz w:val="20"/>
                <w:szCs w:val="20"/>
                <w:color w:val="auto"/>
              </w:rPr>
            </w:pPr>
          </w:p>
        </w:tc>
        <w:tc>
          <w:tcPr>
            <w:tcW w:w="5420" w:type="dxa"/>
            <w:vAlign w:val="bottom"/>
            <w:tcBorders>
              <w:top w:val="single" w:sz="8" w:color="0000EE"/>
            </w:tcBorders>
            <w:gridSpan w:val="15"/>
          </w:tcPr>
          <w:p>
            <w:pPr>
              <w:spacing w:after="0"/>
              <w:rPr>
                <w:rFonts w:ascii="Arial" w:cs="Arial" w:eastAsia="Arial" w:hAnsi="Arial"/>
                <w:sz w:val="17"/>
                <w:szCs w:val="17"/>
                <w:b w:val="1"/>
                <w:bCs w:val="1"/>
                <w:color w:val="0000EE"/>
              </w:rPr>
            </w:pPr>
            <w:hyperlink w:anchor="page142">
              <w:r>
                <w:rPr>
                  <w:rFonts w:ascii="Arial" w:cs="Arial" w:eastAsia="Arial" w:hAnsi="Arial"/>
                  <w:sz w:val="17"/>
                  <w:szCs w:val="17"/>
                  <w:b w:val="1"/>
                  <w:bCs w:val="1"/>
                  <w:color w:val="0000EE"/>
                </w:rPr>
                <w:t>ITEM 16G. CORPORATE GOVERNANCE</w:t>
              </w:r>
            </w:hyperlink>
          </w:p>
        </w:tc>
        <w:tc>
          <w:tcPr>
            <w:tcW w:w="4180" w:type="dxa"/>
            <w:vAlign w:val="bottom"/>
            <w:gridSpan w:val="8"/>
          </w:tcPr>
          <w:p>
            <w:pPr>
              <w:spacing w:after="0"/>
              <w:rPr>
                <w:sz w:val="20"/>
                <w:szCs w:val="20"/>
                <w:color w:val="auto"/>
              </w:rPr>
            </w:pPr>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142</w:t>
            </w:r>
          </w:p>
        </w:tc>
      </w:tr>
      <w:tr>
        <w:trPr>
          <w:trHeight w:val="231"/>
        </w:trPr>
        <w:tc>
          <w:tcPr>
            <w:tcW w:w="20" w:type="dxa"/>
            <w:vAlign w:val="bottom"/>
          </w:tcPr>
          <w:p>
            <w:pPr>
              <w:spacing w:after="0"/>
              <w:rPr>
                <w:sz w:val="20"/>
                <w:szCs w:val="20"/>
                <w:color w:val="auto"/>
              </w:rPr>
            </w:pPr>
          </w:p>
        </w:tc>
        <w:tc>
          <w:tcPr>
            <w:tcW w:w="3180" w:type="dxa"/>
            <w:vAlign w:val="bottom"/>
            <w:tcBorders>
              <w:top w:val="single" w:sz="8" w:color="0000EE"/>
            </w:tcBorders>
            <w:gridSpan w:val="11"/>
          </w:tcPr>
          <w:p>
            <w:pPr>
              <w:spacing w:after="0"/>
              <w:rPr>
                <w:rFonts w:ascii="Arial" w:cs="Arial" w:eastAsia="Arial" w:hAnsi="Arial"/>
                <w:sz w:val="17"/>
                <w:szCs w:val="17"/>
                <w:b w:val="1"/>
                <w:bCs w:val="1"/>
                <w:color w:val="0000EE"/>
                <w:w w:val="99"/>
              </w:rPr>
            </w:pPr>
            <w:hyperlink w:anchor="page143">
              <w:r>
                <w:rPr>
                  <w:rFonts w:ascii="Arial" w:cs="Arial" w:eastAsia="Arial" w:hAnsi="Arial"/>
                  <w:sz w:val="17"/>
                  <w:szCs w:val="17"/>
                  <w:b w:val="1"/>
                  <w:bCs w:val="1"/>
                  <w:color w:val="0000EE"/>
                  <w:w w:val="99"/>
                </w:rPr>
                <w:t>ITEM 16H. MINE SAFETY DISCLOSURE</w:t>
              </w:r>
            </w:hyperlink>
          </w:p>
        </w:tc>
        <w:tc>
          <w:tcPr>
            <w:tcW w:w="6420" w:type="dxa"/>
            <w:vAlign w:val="bottom"/>
            <w:gridSpan w:val="12"/>
          </w:tcPr>
          <w:p>
            <w:pPr>
              <w:spacing w:after="0"/>
              <w:rPr>
                <w:sz w:val="20"/>
                <w:szCs w:val="20"/>
                <w:color w:val="auto"/>
              </w:rPr>
            </w:pPr>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143</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520" w:type="dxa"/>
            <w:vAlign w:val="bottom"/>
            <w:gridSpan w:val="10"/>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680" w:type="dxa"/>
            <w:vAlign w:val="bottom"/>
            <w:tcBorders>
              <w:bottom w:val="single" w:sz="8" w:color="0000EE"/>
            </w:tcBorders>
            <w:gridSpan w:val="20"/>
          </w:tcPr>
          <w:p>
            <w:pPr>
              <w:spacing w:after="0"/>
              <w:rPr>
                <w:rFonts w:ascii="Arial" w:cs="Arial" w:eastAsia="Arial" w:hAnsi="Arial"/>
                <w:sz w:val="17"/>
                <w:szCs w:val="17"/>
                <w:b w:val="1"/>
                <w:bCs w:val="1"/>
                <w:color w:val="0000EE"/>
                <w:w w:val="99"/>
              </w:rPr>
            </w:pPr>
            <w:hyperlink w:anchor="page143">
              <w:r>
                <w:rPr>
                  <w:rFonts w:ascii="Arial" w:cs="Arial" w:eastAsia="Arial" w:hAnsi="Arial"/>
                  <w:sz w:val="17"/>
                  <w:szCs w:val="17"/>
                  <w:b w:val="1"/>
                  <w:bCs w:val="1"/>
                  <w:color w:val="0000EE"/>
                  <w:w w:val="99"/>
                </w:rPr>
                <w:t>ITEM 16I. DISCLOSURE REGARDING FOREIGN JURISDICTIONS THAT PREVENT INSPECTIONS</w:t>
              </w:r>
            </w:hyperlink>
          </w:p>
        </w:tc>
        <w:tc>
          <w:tcPr>
            <w:tcW w:w="1920" w:type="dxa"/>
            <w:vAlign w:val="bottom"/>
            <w:gridSpan w:val="3"/>
          </w:tcPr>
          <w:p>
            <w:pPr>
              <w:spacing w:after="0"/>
              <w:rPr>
                <w:sz w:val="20"/>
                <w:szCs w:val="20"/>
                <w:color w:val="auto"/>
              </w:rPr>
            </w:pPr>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143</w:t>
            </w:r>
          </w:p>
        </w:tc>
      </w:tr>
      <w:tr>
        <w:trPr>
          <w:trHeight w:val="231"/>
        </w:trPr>
        <w:tc>
          <w:tcPr>
            <w:tcW w:w="20" w:type="dxa"/>
            <w:vAlign w:val="bottom"/>
          </w:tcPr>
          <w:p>
            <w:pPr>
              <w:spacing w:after="0"/>
              <w:rPr>
                <w:sz w:val="20"/>
                <w:szCs w:val="20"/>
                <w:color w:val="auto"/>
              </w:rPr>
            </w:pPr>
          </w:p>
        </w:tc>
        <w:tc>
          <w:tcPr>
            <w:tcW w:w="680" w:type="dxa"/>
            <w:vAlign w:val="bottom"/>
            <w:tcBorders>
              <w:bottom w:val="single" w:sz="8" w:color="0000EE"/>
            </w:tcBorders>
            <w:gridSpan w:val="3"/>
          </w:tcPr>
          <w:p>
            <w:pPr>
              <w:spacing w:after="0"/>
              <w:rPr>
                <w:rFonts w:ascii="Arial" w:cs="Arial" w:eastAsia="Arial" w:hAnsi="Arial"/>
                <w:sz w:val="17"/>
                <w:szCs w:val="17"/>
                <w:b w:val="1"/>
                <w:bCs w:val="1"/>
                <w:color w:val="0000EE"/>
              </w:rPr>
            </w:pPr>
            <w:hyperlink w:anchor="page143">
              <w:r>
                <w:rPr>
                  <w:rFonts w:ascii="Arial" w:cs="Arial" w:eastAsia="Arial" w:hAnsi="Arial"/>
                  <w:sz w:val="17"/>
                  <w:szCs w:val="17"/>
                  <w:b w:val="1"/>
                  <w:bCs w:val="1"/>
                  <w:color w:val="0000EE"/>
                </w:rPr>
                <w:t>PART III</w:t>
              </w:r>
            </w:hyperlink>
          </w:p>
        </w:tc>
        <w:tc>
          <w:tcPr>
            <w:tcW w:w="8920" w:type="dxa"/>
            <w:vAlign w:val="bottom"/>
            <w:gridSpan w:val="20"/>
          </w:tcPr>
          <w:p>
            <w:pPr>
              <w:spacing w:after="0"/>
              <w:rPr>
                <w:sz w:val="20"/>
                <w:szCs w:val="20"/>
                <w:color w:val="auto"/>
              </w:rPr>
            </w:pPr>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143</w:t>
            </w:r>
          </w:p>
        </w:tc>
      </w:tr>
      <w:tr>
        <w:trPr>
          <w:trHeight w:val="231"/>
        </w:trPr>
        <w:tc>
          <w:tcPr>
            <w:tcW w:w="20" w:type="dxa"/>
            <w:vAlign w:val="bottom"/>
          </w:tcPr>
          <w:p>
            <w:pPr>
              <w:spacing w:after="0"/>
              <w:rPr>
                <w:sz w:val="20"/>
                <w:szCs w:val="20"/>
                <w:color w:val="auto"/>
              </w:rPr>
            </w:pPr>
          </w:p>
        </w:tc>
        <w:tc>
          <w:tcPr>
            <w:tcW w:w="2880" w:type="dxa"/>
            <w:vAlign w:val="bottom"/>
            <w:tcBorders>
              <w:bottom w:val="single" w:sz="8" w:color="0000EE"/>
            </w:tcBorders>
            <w:gridSpan w:val="9"/>
          </w:tcPr>
          <w:p>
            <w:pPr>
              <w:spacing w:after="0"/>
              <w:rPr>
                <w:rFonts w:ascii="Arial" w:cs="Arial" w:eastAsia="Arial" w:hAnsi="Arial"/>
                <w:sz w:val="17"/>
                <w:szCs w:val="17"/>
                <w:b w:val="1"/>
                <w:bCs w:val="1"/>
                <w:color w:val="0000EE"/>
              </w:rPr>
            </w:pPr>
            <w:hyperlink w:anchor="page143">
              <w:r>
                <w:rPr>
                  <w:rFonts w:ascii="Arial" w:cs="Arial" w:eastAsia="Arial" w:hAnsi="Arial"/>
                  <w:sz w:val="17"/>
                  <w:szCs w:val="17"/>
                  <w:b w:val="1"/>
                  <w:bCs w:val="1"/>
                  <w:color w:val="0000EE"/>
                </w:rPr>
                <w:t>ITEM 17. FINANCIAL STATEMENTS</w:t>
              </w:r>
            </w:hyperlink>
          </w:p>
        </w:tc>
        <w:tc>
          <w:tcPr>
            <w:tcW w:w="6720" w:type="dxa"/>
            <w:vAlign w:val="bottom"/>
            <w:gridSpan w:val="14"/>
          </w:tcPr>
          <w:p>
            <w:pPr>
              <w:spacing w:after="0"/>
              <w:rPr>
                <w:sz w:val="20"/>
                <w:szCs w:val="20"/>
                <w:color w:val="auto"/>
              </w:rPr>
            </w:pPr>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143</w:t>
            </w:r>
          </w:p>
        </w:tc>
      </w:tr>
      <w:tr>
        <w:trPr>
          <w:trHeight w:val="231"/>
        </w:trPr>
        <w:tc>
          <w:tcPr>
            <w:tcW w:w="20" w:type="dxa"/>
            <w:vAlign w:val="bottom"/>
          </w:tcPr>
          <w:p>
            <w:pPr>
              <w:spacing w:after="0"/>
              <w:rPr>
                <w:sz w:val="20"/>
                <w:szCs w:val="20"/>
                <w:color w:val="auto"/>
              </w:rPr>
            </w:pPr>
          </w:p>
        </w:tc>
        <w:tc>
          <w:tcPr>
            <w:tcW w:w="2860" w:type="dxa"/>
            <w:vAlign w:val="bottom"/>
            <w:tcBorders>
              <w:bottom w:val="single" w:sz="8" w:color="0000EE"/>
            </w:tcBorders>
            <w:gridSpan w:val="8"/>
          </w:tcPr>
          <w:p>
            <w:pPr>
              <w:spacing w:after="0"/>
              <w:rPr>
                <w:rFonts w:ascii="Arial" w:cs="Arial" w:eastAsia="Arial" w:hAnsi="Arial"/>
                <w:sz w:val="17"/>
                <w:szCs w:val="17"/>
                <w:b w:val="1"/>
                <w:bCs w:val="1"/>
                <w:color w:val="0000EE"/>
                <w:w w:val="99"/>
              </w:rPr>
            </w:pPr>
            <w:hyperlink w:anchor="page143">
              <w:r>
                <w:rPr>
                  <w:rFonts w:ascii="Arial" w:cs="Arial" w:eastAsia="Arial" w:hAnsi="Arial"/>
                  <w:sz w:val="17"/>
                  <w:szCs w:val="17"/>
                  <w:b w:val="1"/>
                  <w:bCs w:val="1"/>
                  <w:color w:val="0000EE"/>
                  <w:w w:val="99"/>
                </w:rPr>
                <w:t>ITEM 18. FINANCIAL STATEMENTS</w:t>
              </w:r>
            </w:hyperlink>
          </w:p>
        </w:tc>
        <w:tc>
          <w:tcPr>
            <w:tcW w:w="6740" w:type="dxa"/>
            <w:vAlign w:val="bottom"/>
            <w:gridSpan w:val="15"/>
          </w:tcPr>
          <w:p>
            <w:pPr>
              <w:spacing w:after="0"/>
              <w:rPr>
                <w:sz w:val="20"/>
                <w:szCs w:val="20"/>
                <w:color w:val="auto"/>
              </w:rPr>
            </w:pPr>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143</w:t>
            </w:r>
          </w:p>
        </w:tc>
      </w:tr>
      <w:tr>
        <w:trPr>
          <w:trHeight w:val="231"/>
        </w:trPr>
        <w:tc>
          <w:tcPr>
            <w:tcW w:w="20" w:type="dxa"/>
            <w:vAlign w:val="bottom"/>
          </w:tcPr>
          <w:p>
            <w:pPr>
              <w:spacing w:after="0"/>
              <w:rPr>
                <w:sz w:val="20"/>
                <w:szCs w:val="20"/>
                <w:color w:val="auto"/>
              </w:rPr>
            </w:pPr>
          </w:p>
        </w:tc>
        <w:tc>
          <w:tcPr>
            <w:tcW w:w="1560" w:type="dxa"/>
            <w:vAlign w:val="bottom"/>
            <w:tcBorders>
              <w:bottom w:val="single" w:sz="8" w:color="0000EE"/>
            </w:tcBorders>
            <w:gridSpan w:val="5"/>
          </w:tcPr>
          <w:p>
            <w:pPr>
              <w:spacing w:after="0"/>
              <w:rPr>
                <w:rFonts w:ascii="Arial" w:cs="Arial" w:eastAsia="Arial" w:hAnsi="Arial"/>
                <w:sz w:val="17"/>
                <w:szCs w:val="17"/>
                <w:b w:val="1"/>
                <w:bCs w:val="1"/>
                <w:color w:val="0000EE"/>
              </w:rPr>
            </w:pPr>
            <w:hyperlink w:anchor="page144">
              <w:r>
                <w:rPr>
                  <w:rFonts w:ascii="Arial" w:cs="Arial" w:eastAsia="Arial" w:hAnsi="Arial"/>
                  <w:sz w:val="17"/>
                  <w:szCs w:val="17"/>
                  <w:b w:val="1"/>
                  <w:bCs w:val="1"/>
                  <w:color w:val="0000EE"/>
                </w:rPr>
                <w:t>ITEM 19. EXHIBITS</w:t>
              </w:r>
            </w:hyperlink>
          </w:p>
        </w:tc>
        <w:tc>
          <w:tcPr>
            <w:tcW w:w="8040" w:type="dxa"/>
            <w:vAlign w:val="bottom"/>
            <w:gridSpan w:val="18"/>
          </w:tcPr>
          <w:p>
            <w:pPr>
              <w:spacing w:after="0"/>
              <w:rPr>
                <w:sz w:val="20"/>
                <w:szCs w:val="20"/>
                <w:color w:val="auto"/>
              </w:rPr>
            </w:pPr>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144</w:t>
            </w:r>
          </w:p>
        </w:tc>
      </w:tr>
      <w:tr>
        <w:trPr>
          <w:trHeight w:val="231"/>
        </w:trPr>
        <w:tc>
          <w:tcPr>
            <w:tcW w:w="20" w:type="dxa"/>
            <w:vAlign w:val="bottom"/>
          </w:tcPr>
          <w:p>
            <w:pPr>
              <w:spacing w:after="0"/>
              <w:rPr>
                <w:sz w:val="20"/>
                <w:szCs w:val="20"/>
                <w:color w:val="auto"/>
              </w:rPr>
            </w:pPr>
          </w:p>
        </w:tc>
        <w:tc>
          <w:tcPr>
            <w:tcW w:w="9600" w:type="dxa"/>
            <w:vAlign w:val="bottom"/>
            <w:gridSpan w:val="23"/>
          </w:tcPr>
          <w:p>
            <w:pPr>
              <w:spacing w:after="0"/>
              <w:rPr>
                <w:rFonts w:ascii="Arial" w:cs="Arial" w:eastAsia="Arial" w:hAnsi="Arial"/>
                <w:sz w:val="17"/>
                <w:szCs w:val="17"/>
                <w:b w:val="1"/>
                <w:bCs w:val="1"/>
                <w:color w:val="0000EE"/>
              </w:rPr>
            </w:pPr>
            <w:hyperlink w:anchor="page145">
              <w:r>
                <w:rPr>
                  <w:rFonts w:ascii="Arial" w:cs="Arial" w:eastAsia="Arial" w:hAnsi="Arial"/>
                  <w:sz w:val="17"/>
                  <w:szCs w:val="17"/>
                  <w:b w:val="1"/>
                  <w:bCs w:val="1"/>
                  <w:color w:val="0000EE"/>
                </w:rPr>
                <w:t>SIGNATURES</w:t>
              </w:r>
            </w:hyperlink>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145</w:t>
            </w:r>
          </w:p>
        </w:tc>
      </w:tr>
      <w:tr>
        <w:trPr>
          <w:trHeight w:val="231"/>
        </w:trPr>
        <w:tc>
          <w:tcPr>
            <w:tcW w:w="20" w:type="dxa"/>
            <w:vAlign w:val="bottom"/>
          </w:tcPr>
          <w:p>
            <w:pPr>
              <w:spacing w:after="0"/>
              <w:rPr>
                <w:sz w:val="20"/>
                <w:szCs w:val="20"/>
                <w:color w:val="auto"/>
              </w:rPr>
            </w:pPr>
          </w:p>
        </w:tc>
        <w:tc>
          <w:tcPr>
            <w:tcW w:w="1080" w:type="dxa"/>
            <w:vAlign w:val="bottom"/>
            <w:tcBorders>
              <w:top w:val="single" w:sz="8" w:color="0000EE"/>
            </w:tcBorders>
            <w:gridSpan w:val="4"/>
          </w:tcPr>
          <w:p>
            <w:pPr>
              <w:spacing w:after="0"/>
              <w:rPr>
                <w:rFonts w:ascii="Arial" w:cs="Arial" w:eastAsia="Arial" w:hAnsi="Arial"/>
                <w:sz w:val="17"/>
                <w:szCs w:val="17"/>
                <w:b w:val="1"/>
                <w:bCs w:val="1"/>
                <w:color w:val="0000EE"/>
              </w:rPr>
            </w:pPr>
            <w:hyperlink w:anchor="page146">
              <w:r>
                <w:rPr>
                  <w:rFonts w:ascii="Arial" w:cs="Arial" w:eastAsia="Arial" w:hAnsi="Arial"/>
                  <w:sz w:val="17"/>
                  <w:szCs w:val="17"/>
                  <w:b w:val="1"/>
                  <w:bCs w:val="1"/>
                  <w:color w:val="0000EE"/>
                </w:rPr>
                <w:t>INDEX</w:t>
              </w:r>
            </w:hyperlink>
          </w:p>
        </w:tc>
        <w:tc>
          <w:tcPr>
            <w:tcW w:w="8520" w:type="dxa"/>
            <w:vAlign w:val="bottom"/>
            <w:gridSpan w:val="19"/>
          </w:tcPr>
          <w:p>
            <w:pPr>
              <w:spacing w:after="0"/>
              <w:rPr>
                <w:sz w:val="20"/>
                <w:szCs w:val="20"/>
                <w:color w:val="auto"/>
              </w:rPr>
            </w:pPr>
          </w:p>
        </w:tc>
        <w:tc>
          <w:tcPr>
            <w:tcW w:w="1620" w:type="dxa"/>
            <w:vAlign w:val="bottom"/>
          </w:tcPr>
          <w:p>
            <w:pPr>
              <w:ind w:left="1100"/>
              <w:spacing w:after="0"/>
              <w:rPr>
                <w:sz w:val="20"/>
                <w:szCs w:val="20"/>
                <w:color w:val="auto"/>
              </w:rPr>
            </w:pPr>
            <w:r>
              <w:rPr>
                <w:rFonts w:ascii="Arial" w:cs="Arial" w:eastAsia="Arial" w:hAnsi="Arial"/>
                <w:sz w:val="17"/>
                <w:szCs w:val="17"/>
                <w:b w:val="1"/>
                <w:bCs w:val="1"/>
                <w:color w:val="auto"/>
              </w:rPr>
              <w:t>F-1</w:t>
            </w:r>
          </w:p>
        </w:tc>
      </w:tr>
      <w:tr>
        <w:trPr>
          <w:trHeight w:val="607"/>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60" w:type="dxa"/>
            <w:vAlign w:val="bottom"/>
            <w:gridSpan w:val="16"/>
          </w:tcPr>
          <w:p>
            <w:pPr>
              <w:jc w:val="right"/>
              <w:ind w:right="560"/>
              <w:spacing w:after="0"/>
              <w:rPr>
                <w:sz w:val="20"/>
                <w:szCs w:val="20"/>
                <w:color w:val="auto"/>
              </w:rPr>
            </w:pPr>
            <w:r>
              <w:rPr>
                <w:rFonts w:ascii="Arial" w:cs="Arial" w:eastAsia="Arial" w:hAnsi="Arial"/>
                <w:sz w:val="17"/>
                <w:szCs w:val="17"/>
                <w:color w:val="auto"/>
              </w:rPr>
              <w:t>4</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56"/>
        </w:trPr>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7"/>
          <w:szCs w:val="17"/>
          <w:b w:val="1"/>
          <w:bCs w:val="1"/>
          <w:color w:val="auto"/>
        </w:rPr>
        <w:t>INTRODUCTION</w:t>
      </w:r>
    </w:p>
    <w:p>
      <w:pPr>
        <w:spacing w:after="0" w:line="210" w:lineRule="exact"/>
        <w:rPr>
          <w:sz w:val="20"/>
          <w:szCs w:val="20"/>
          <w:color w:val="auto"/>
        </w:rPr>
      </w:pPr>
    </w:p>
    <w:p>
      <w:pPr>
        <w:ind w:right="460" w:firstLine="410"/>
        <w:spacing w:after="0" w:line="268" w:lineRule="auto"/>
        <w:rPr>
          <w:sz w:val="20"/>
          <w:szCs w:val="20"/>
          <w:color w:val="auto"/>
        </w:rPr>
      </w:pPr>
      <w:r>
        <w:rPr>
          <w:rFonts w:ascii="Arial" w:cs="Arial" w:eastAsia="Arial" w:hAnsi="Arial"/>
          <w:sz w:val="17"/>
          <w:szCs w:val="17"/>
          <w:color w:val="auto"/>
        </w:rPr>
        <w:t>In this Annual Report, references to “we,” “us,” “our,” “our business,” the “Company,” “WalkMe” and similar references refer to WalkMe Ltd. and, where appropriate, its consolidated subsidiaries.</w:t>
      </w:r>
    </w:p>
    <w:p>
      <w:pPr>
        <w:spacing w:after="0" w:line="166" w:lineRule="exact"/>
        <w:rPr>
          <w:sz w:val="20"/>
          <w:szCs w:val="20"/>
          <w:color w:val="auto"/>
        </w:rPr>
      </w:pPr>
    </w:p>
    <w:p>
      <w:pPr>
        <w:ind w:right="120" w:firstLine="410"/>
        <w:spacing w:after="0" w:line="271" w:lineRule="auto"/>
        <w:rPr>
          <w:sz w:val="20"/>
          <w:szCs w:val="20"/>
          <w:color w:val="auto"/>
        </w:rPr>
      </w:pPr>
      <w:r>
        <w:rPr>
          <w:rFonts w:ascii="Arial" w:cs="Arial" w:eastAsia="Arial" w:hAnsi="Arial"/>
          <w:sz w:val="16"/>
          <w:szCs w:val="16"/>
          <w:color w:val="auto"/>
        </w:rPr>
        <w:t>This Annual Report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discussed under the headings “Special Note Regarding Forward-Looking Statements” and Item 3.D. “Risk Factors” in this Annual Report.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10" w:lineRule="exact"/>
        <w:rPr>
          <w:sz w:val="20"/>
          <w:szCs w:val="20"/>
          <w:color w:val="auto"/>
        </w:rPr>
      </w:pPr>
    </w:p>
    <w:p>
      <w:pPr>
        <w:ind w:right="140" w:firstLine="410"/>
        <w:spacing w:after="0" w:line="250" w:lineRule="auto"/>
        <w:rPr>
          <w:sz w:val="20"/>
          <w:szCs w:val="20"/>
          <w:color w:val="auto"/>
        </w:rPr>
      </w:pPr>
      <w:r>
        <w:rPr>
          <w:rFonts w:ascii="Arial" w:cs="Arial" w:eastAsia="Arial" w:hAnsi="Arial"/>
          <w:sz w:val="17"/>
          <w:szCs w:val="17"/>
          <w:color w:val="auto"/>
        </w:rPr>
        <w:t>This Annual Report contains estimates and forward-looking statements, principally in the sections entitled Item 3.D. “Key Information—Risk Factors,” Item 4. “Information on the Company,” and Item 5. “Operating and Financial Review and Prospects.” In some cases, these forward-looking statements can be identified by words or phrases such as “may,” “might,” “will,” “could,” “would,” “should,” “expect,” “plan,” “anticipate,” “intend,” “target,” “seek,” “believe,” “estimate,” “predict,” “potential,” “continue,” “contemplate,” “possible” or the negative of these terms or other similar expressions. Statements regarding our future results of operations and financial position, growth strategy and plans and objectives of management for future operations, including, among others, expansion in new and existing markets, are forward-looking statements.</w:t>
      </w:r>
    </w:p>
    <w:p>
      <w:pPr>
        <w:spacing w:after="0" w:line="184"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Our estimates and forward-looking statements are based on our current expectations and estimates of future events and trends which affect or may affect our business, operations and industry. Although we believe that these estimates and forward-looking statements are based upon reasonable assumptions, they are subject to numerous risks and uncertainties.</w:t>
      </w:r>
    </w:p>
    <w:p>
      <w:pPr>
        <w:spacing w:after="0" w:line="175" w:lineRule="exact"/>
        <w:rPr>
          <w:sz w:val="20"/>
          <w:szCs w:val="20"/>
          <w:color w:val="auto"/>
        </w:rPr>
      </w:pPr>
    </w:p>
    <w:p>
      <w:pPr>
        <w:ind w:right="600" w:firstLine="410"/>
        <w:spacing w:after="0" w:line="299" w:lineRule="auto"/>
        <w:rPr>
          <w:sz w:val="20"/>
          <w:szCs w:val="20"/>
          <w:color w:val="auto"/>
        </w:rPr>
      </w:pPr>
      <w:r>
        <w:rPr>
          <w:rFonts w:ascii="Arial" w:cs="Arial" w:eastAsia="Arial" w:hAnsi="Arial"/>
          <w:sz w:val="16"/>
          <w:szCs w:val="16"/>
          <w:color w:val="auto"/>
        </w:rPr>
        <w:t>These forward-looking statements are subject to a number of known and unknown risks, uncertainties, other factors and assumptions, including the risks described in Item 3.D “Key Information—Risk Factors” and elsewhere in this Annual Report, regarding, among other things:</w:t>
      </w:r>
    </w:p>
    <w:p>
      <w:pPr>
        <w:spacing w:after="0" w:line="144" w:lineRule="exact"/>
        <w:rPr>
          <w:sz w:val="20"/>
          <w:szCs w:val="20"/>
          <w:color w:val="auto"/>
        </w:rPr>
      </w:pPr>
    </w:p>
    <w:p>
      <w:pPr>
        <w:ind w:left="740" w:right="500" w:hanging="325"/>
        <w:spacing w:after="0" w:line="268"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future financial performance, including our expectations regarding our revenue, cost of revenue, gross margin, operating expenses, cash flow and deferred revenue;</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manage our growth effectively, sustain our historical growth rate in the future or achieve or maintain profitability;</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impact of the COVID-19 pandemic or adverse macro-economic changes on our business, financial condition and results of operations;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growth and expansion of the markets for our offerings and our ability to adapt and respond effectively to evolving market conditions;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estimates of, and future expectations regarding, our market opportunity;</w:t>
      </w:r>
    </w:p>
    <w:p>
      <w:pPr>
        <w:spacing w:after="0" w:line="206" w:lineRule="exact"/>
        <w:rPr>
          <w:rFonts w:ascii="Arial" w:cs="Arial" w:eastAsia="Arial" w:hAnsi="Arial"/>
          <w:sz w:val="17"/>
          <w:szCs w:val="17"/>
          <w:color w:val="auto"/>
        </w:rPr>
      </w:pPr>
    </w:p>
    <w:p>
      <w:pPr>
        <w:ind w:left="740" w:hanging="325"/>
        <w:spacing w:after="0" w:line="268"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keep pace with technological and competitive developments and develop or otherwise introduce new products and solutions and enhancements to our existing offerings;</w:t>
      </w:r>
    </w:p>
    <w:p>
      <w:pPr>
        <w:spacing w:after="0" w:line="165" w:lineRule="exact"/>
        <w:rPr>
          <w:rFonts w:ascii="Arial" w:cs="Arial" w:eastAsia="Arial" w:hAnsi="Arial"/>
          <w:sz w:val="17"/>
          <w:szCs w:val="17"/>
          <w:color w:val="auto"/>
        </w:rPr>
      </w:pPr>
    </w:p>
    <w:p>
      <w:pPr>
        <w:ind w:left="740" w:right="240" w:hanging="325"/>
        <w:spacing w:after="0" w:line="268"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maintain the interoperability of our offerings across devices, operating systems and third-party applications and to maintain and expand our relationships with third-party technology partners;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525" w:right="359" w:bottom="1440" w:gutter="0" w:footer="0" w:header="0"/>
        </w:sectPr>
      </w:pPr>
    </w:p>
    <w:bookmarkStart w:id="5" w:name="page6"/>
    <w:bookmarkEnd w:id="5"/>
    <w:p>
      <w:pPr>
        <w:ind w:left="740" w:hanging="325"/>
        <w:spacing w:after="0"/>
        <w:tabs>
          <w:tab w:leader="none" w:pos="7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ability to attract and retain the executive leadership and employee talent that we need to be successful in an increasingly competitive market for talent;</w:t>
      </w:r>
    </w:p>
    <w:p>
      <w:pPr>
        <w:spacing w:after="0" w:line="229" w:lineRule="exact"/>
        <w:rPr>
          <w:rFonts w:ascii="Arial" w:cs="Arial" w:eastAsia="Arial" w:hAnsi="Arial"/>
          <w:sz w:val="15"/>
          <w:szCs w:val="15"/>
          <w:color w:val="auto"/>
        </w:rPr>
      </w:pPr>
    </w:p>
    <w:p>
      <w:pPr>
        <w:ind w:left="740" w:hanging="325"/>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effects of increased competition in our target markets and our ability to compete effectively;</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attract and retain new customers and to expand within our existing customer base;</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success of our sales and marketing operations, including our ability to realize efficiencies and reduce customer acquisition costs;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percentage of our remaining performance obligations that we expect to recognize as revenue;</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meet the service-level commitments under our customer agreements and the effects on our business if we are unable to do so;</w:t>
      </w:r>
    </w:p>
    <w:p>
      <w:pPr>
        <w:spacing w:after="0" w:line="217" w:lineRule="exact"/>
        <w:rPr>
          <w:rFonts w:ascii="Arial" w:cs="Arial" w:eastAsia="Arial" w:hAnsi="Arial"/>
          <w:sz w:val="16"/>
          <w:szCs w:val="16"/>
          <w:color w:val="auto"/>
        </w:rPr>
      </w:pPr>
    </w:p>
    <w:p>
      <w:pPr>
        <w:ind w:left="740" w:hanging="325"/>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relationships with, and dependence on, various third-party service providers;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maintain and enhance awareness of our brand;</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offer high quality customer support;</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effectively develop and expand our marketing and sales capabilities;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maintain the sales prices of our offerings and the effects of pricing fluctuations;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sustainability of, and fluctuations in, our gross margin;</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related to our international operations and our ability to expand our international business operations;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effects of currency exchange rate fluctuations on our results of operations;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challenges and risks related to our sales to government entities;</w:t>
      </w:r>
    </w:p>
    <w:p>
      <w:pPr>
        <w:spacing w:after="0" w:line="206" w:lineRule="exact"/>
        <w:rPr>
          <w:rFonts w:ascii="Arial" w:cs="Arial" w:eastAsia="Arial" w:hAnsi="Arial"/>
          <w:sz w:val="17"/>
          <w:szCs w:val="17"/>
          <w:color w:val="auto"/>
        </w:rPr>
      </w:pPr>
    </w:p>
    <w:p>
      <w:pPr>
        <w:ind w:left="740" w:right="440" w:hanging="325"/>
        <w:spacing w:after="0" w:line="268" w:lineRule="auto"/>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consummate acquisitions at our historical rate and at acceptable prices, to enter into other strategic transactions and relationships, and to manage the risks related to these transactions and arrangements;</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protect our proprietary technology, or to obtain, maintain, protect and enforce sufficiently broad intellectual property rights therein;</w:t>
      </w:r>
    </w:p>
    <w:p>
      <w:pPr>
        <w:spacing w:after="0" w:line="217" w:lineRule="exact"/>
        <w:rPr>
          <w:rFonts w:ascii="Arial" w:cs="Arial" w:eastAsia="Arial" w:hAnsi="Arial"/>
          <w:sz w:val="16"/>
          <w:szCs w:val="16"/>
          <w:color w:val="auto"/>
        </w:rPr>
      </w:pPr>
    </w:p>
    <w:p>
      <w:pPr>
        <w:ind w:left="740" w:hanging="325"/>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maintain the security and availability of our platform, products and solutions;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comply with current and future legislation and governmental regulations to which we are subject or may become subject in the future;</w:t>
      </w:r>
    </w:p>
    <w:p>
      <w:pPr>
        <w:spacing w:after="0" w:line="217" w:lineRule="exact"/>
        <w:rPr>
          <w:rFonts w:ascii="Arial" w:cs="Arial" w:eastAsia="Arial" w:hAnsi="Arial"/>
          <w:sz w:val="16"/>
          <w:szCs w:val="16"/>
          <w:color w:val="auto"/>
        </w:rPr>
      </w:pPr>
    </w:p>
    <w:p>
      <w:pPr>
        <w:ind w:left="740" w:hanging="325"/>
        <w:spacing w:after="0"/>
        <w:tabs>
          <w:tab w:leader="none" w:pos="740" w:val="left"/>
        </w:tabs>
        <w:numPr>
          <w:ilvl w:val="0"/>
          <w:numId w:val="6"/>
        </w:numPr>
        <w:rPr>
          <w:rFonts w:ascii="Arial" w:cs="Arial" w:eastAsia="Arial" w:hAnsi="Arial"/>
          <w:sz w:val="15"/>
          <w:szCs w:val="15"/>
          <w:color w:val="auto"/>
        </w:rPr>
      </w:pPr>
      <w:r>
        <w:rPr>
          <w:rFonts w:ascii="Arial" w:cs="Arial" w:eastAsia="Arial" w:hAnsi="Arial"/>
          <w:sz w:val="15"/>
          <w:szCs w:val="15"/>
          <w:color w:val="auto"/>
        </w:rPr>
        <w:t>changes in applicable tax law, the stability of effective tax rates and adverse outcomes resulting from examination of our income or other tax returns;</w:t>
      </w:r>
    </w:p>
    <w:p>
      <w:pPr>
        <w:spacing w:after="0" w:line="229" w:lineRule="exact"/>
        <w:rPr>
          <w:rFonts w:ascii="Arial" w:cs="Arial" w:eastAsia="Arial" w:hAnsi="Arial"/>
          <w:sz w:val="15"/>
          <w:szCs w:val="15"/>
          <w:color w:val="auto"/>
        </w:rPr>
      </w:pPr>
    </w:p>
    <w:p>
      <w:pPr>
        <w:ind w:left="740" w:hanging="325"/>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related to political, economic and security conditions in Israel;</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effects of unfavorable conditions in our industry or the global economy or reductions in information technology spending; and</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factors that may affect the future trading prices of our ordinary shares.</w:t>
      </w:r>
    </w:p>
    <w:p>
      <w:pPr>
        <w:spacing w:after="0" w:line="206" w:lineRule="exact"/>
        <w:rPr>
          <w:sz w:val="20"/>
          <w:szCs w:val="20"/>
          <w:color w:val="auto"/>
        </w:rPr>
      </w:pPr>
    </w:p>
    <w:p>
      <w:pPr>
        <w:ind w:firstLine="410"/>
        <w:spacing w:after="0" w:line="268"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The results, events and circumstances reflected in the forward-looking statements may not be achieved or occur, and actual results, events or circumstances could differ materially from those described in the forward-looking statements.</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 w:name="page7"/>
    <w:bookmarkEnd w:id="6"/>
    <w:p>
      <w:pPr>
        <w:ind w:right="160" w:firstLine="410"/>
        <w:spacing w:after="0" w:line="274"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Annual Report.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64" w:lineRule="exact"/>
        <w:rPr>
          <w:sz w:val="20"/>
          <w:szCs w:val="20"/>
          <w:color w:val="auto"/>
        </w:rPr>
      </w:pPr>
    </w:p>
    <w:p>
      <w:pPr>
        <w:ind w:firstLine="410"/>
        <w:spacing w:after="0" w:line="271" w:lineRule="auto"/>
        <w:rPr>
          <w:sz w:val="20"/>
          <w:szCs w:val="20"/>
          <w:color w:val="auto"/>
        </w:rPr>
      </w:pPr>
      <w:r>
        <w:rPr>
          <w:rFonts w:ascii="Arial" w:cs="Arial" w:eastAsia="Arial" w:hAnsi="Arial"/>
          <w:sz w:val="16"/>
          <w:szCs w:val="16"/>
          <w:color w:val="auto"/>
        </w:rPr>
        <w:t>The forward-looking statements made in this Annual Report relate only to events as of the date on which the statements are made. We undertake no obligation to update any forward-looking statements made in this Annual Report to reflect events or circumstances after the date of this Annual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PRESENTATION OF FINANCIAL INFORMATION</w:t>
      </w:r>
    </w:p>
    <w:p>
      <w:pPr>
        <w:spacing w:after="0" w:line="210" w:lineRule="exact"/>
        <w:rPr>
          <w:sz w:val="20"/>
          <w:szCs w:val="20"/>
          <w:color w:val="auto"/>
        </w:rPr>
      </w:pPr>
    </w:p>
    <w:p>
      <w:pPr>
        <w:ind w:right="200" w:firstLine="410"/>
        <w:spacing w:after="0" w:line="268" w:lineRule="auto"/>
        <w:rPr>
          <w:sz w:val="20"/>
          <w:szCs w:val="20"/>
          <w:color w:val="auto"/>
        </w:rPr>
      </w:pPr>
      <w:r>
        <w:rPr>
          <w:rFonts w:ascii="Arial" w:cs="Arial" w:eastAsia="Arial" w:hAnsi="Arial"/>
          <w:sz w:val="17"/>
          <w:szCs w:val="17"/>
          <w:color w:val="auto"/>
        </w:rPr>
        <w:t>Our consolidated financial statements have been prepared in accordance with generally accepted accounting principles in the United States, or U.S. GAAP. We present our consolidated financial statements in U.S. dollars.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fiscal year ends on December 31 of each year.</w:t>
      </w:r>
    </w:p>
    <w:p>
      <w:pPr>
        <w:spacing w:after="0" w:line="206" w:lineRule="exact"/>
        <w:rPr>
          <w:sz w:val="20"/>
          <w:szCs w:val="20"/>
          <w:color w:val="auto"/>
        </w:rPr>
      </w:pPr>
    </w:p>
    <w:p>
      <w:pPr>
        <w:jc w:val="both"/>
        <w:ind w:right="280" w:firstLine="410"/>
        <w:spacing w:after="0" w:line="307" w:lineRule="auto"/>
        <w:rPr>
          <w:sz w:val="20"/>
          <w:szCs w:val="20"/>
          <w:color w:val="auto"/>
        </w:rPr>
      </w:pPr>
      <w:r>
        <w:rPr>
          <w:rFonts w:ascii="Arial" w:cs="Arial" w:eastAsia="Arial" w:hAnsi="Arial"/>
          <w:sz w:val="15"/>
          <w:szCs w:val="15"/>
          <w:color w:val="auto"/>
        </w:rPr>
        <w:t>Certain monetary amounts, percentages and other figures included elsewhere in this Annual Report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Identity of Directors, Senior Management and Advisers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Offer Statistics and Expected Timetable</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Key Information</w:t>
      </w:r>
    </w:p>
    <w:p>
      <w:pPr>
        <w:spacing w:after="0" w:line="206" w:lineRule="exact"/>
        <w:rPr>
          <w:sz w:val="20"/>
          <w:szCs w:val="20"/>
          <w:color w:val="auto"/>
        </w:rPr>
      </w:pPr>
    </w:p>
    <w:p>
      <w:pPr>
        <w:ind w:left="420" w:hanging="282"/>
        <w:spacing w:after="0"/>
        <w:tabs>
          <w:tab w:leader="none" w:pos="4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[Reserved.]</w:t>
      </w:r>
    </w:p>
    <w:p>
      <w:pPr>
        <w:spacing w:after="0" w:line="206" w:lineRule="exact"/>
        <w:rPr>
          <w:rFonts w:ascii="Arial" w:cs="Arial" w:eastAsia="Arial" w:hAnsi="Arial"/>
          <w:sz w:val="17"/>
          <w:szCs w:val="17"/>
          <w:b w:val="1"/>
          <w:bCs w:val="1"/>
          <w:color w:val="auto"/>
        </w:rPr>
      </w:pPr>
    </w:p>
    <w:p>
      <w:pPr>
        <w:ind w:left="420" w:right="8480" w:hanging="282"/>
        <w:spacing w:after="0" w:line="493" w:lineRule="auto"/>
        <w:tabs>
          <w:tab w:leader="none" w:pos="437"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Capitalization and Indebtedness </w:t>
      </w:r>
      <w:r>
        <w:rPr>
          <w:rFonts w:ascii="Arial" w:cs="Arial" w:eastAsia="Arial" w:hAnsi="Arial"/>
          <w:sz w:val="17"/>
          <w:szCs w:val="17"/>
          <w:color w:val="auto"/>
        </w:rPr>
        <w:t>Not applicable.</w:t>
      </w:r>
    </w:p>
    <w:p>
      <w:pPr>
        <w:ind w:left="420" w:right="7780" w:hanging="282"/>
        <w:spacing w:after="0" w:line="493" w:lineRule="auto"/>
        <w:tabs>
          <w:tab w:leader="none" w:pos="437"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Reasons for the Offer and Use of Proceeds </w:t>
      </w:r>
      <w:r>
        <w:rPr>
          <w:rFonts w:ascii="Arial" w:cs="Arial" w:eastAsia="Arial" w:hAnsi="Arial"/>
          <w:sz w:val="17"/>
          <w:szCs w:val="17"/>
          <w:color w:val="auto"/>
        </w:rPr>
        <w:t>Not applicable.</w:t>
      </w:r>
    </w:p>
    <w:p>
      <w:pPr>
        <w:ind w:left="420" w:hanging="282"/>
        <w:spacing w:after="0"/>
        <w:tabs>
          <w:tab w:leader="none" w:pos="4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Risk Factors</w:t>
      </w:r>
    </w:p>
    <w:p>
      <w:pPr>
        <w:spacing w:after="0" w:line="210" w:lineRule="exact"/>
        <w:rPr>
          <w:sz w:val="20"/>
          <w:szCs w:val="20"/>
          <w:color w:val="auto"/>
        </w:rPr>
      </w:pPr>
    </w:p>
    <w:p>
      <w:pPr>
        <w:ind w:right="260"/>
        <w:spacing w:after="0" w:line="293" w:lineRule="auto"/>
        <w:rPr>
          <w:sz w:val="20"/>
          <w:szCs w:val="20"/>
          <w:color w:val="auto"/>
        </w:rPr>
      </w:pPr>
      <w:r>
        <w:rPr>
          <w:rFonts w:ascii="Arial" w:cs="Arial" w:eastAsia="Arial" w:hAnsi="Arial"/>
          <w:sz w:val="15"/>
          <w:szCs w:val="15"/>
          <w:i w:val="1"/>
          <w:iCs w:val="1"/>
          <w:color w:val="auto"/>
        </w:rPr>
        <w:t>You should carefully consider the risks described below before making an investment decision. Additional risks not presently known to us or that we currently deem immaterial may also impair our business operations. Our business, financial condition or results of operations could be materially and adversely affected by any of these risks. The trading price and value of our ordinary shares could decline due to any of these risks, and you may lose all or part of your investment. This Annual Report also contains forward- looking statements that involve risks and uncertainties. Our actual results could differ materially from those anticipated in these forward-looking statements as a result of certain factors, including the risks faced by us described below and elsewhere in this Annual Report.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Business and Industry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operating losses in the past, expect to incur operating losses in the future and may never achieve or sustain profitability.</w:t>
      </w:r>
    </w:p>
    <w:p>
      <w:pPr>
        <w:spacing w:after="0" w:line="218" w:lineRule="exact"/>
        <w:rPr>
          <w:sz w:val="20"/>
          <w:szCs w:val="20"/>
          <w:color w:val="auto"/>
        </w:rPr>
      </w:pPr>
    </w:p>
    <w:p>
      <w:pPr>
        <w:jc w:val="both"/>
        <w:ind w:left="100" w:right="40" w:firstLine="335"/>
        <w:spacing w:after="0" w:line="253" w:lineRule="auto"/>
        <w:rPr>
          <w:sz w:val="20"/>
          <w:szCs w:val="20"/>
          <w:color w:val="auto"/>
        </w:rPr>
      </w:pPr>
      <w:r>
        <w:rPr>
          <w:rFonts w:ascii="Arial" w:cs="Arial" w:eastAsia="Arial" w:hAnsi="Arial"/>
          <w:sz w:val="17"/>
          <w:szCs w:val="17"/>
          <w:color w:val="auto"/>
        </w:rPr>
        <w:t>We have incurred annual net losses each year since our formation in October 2011. For the years ended December 31, 2020 and 2021, we had net losses of $45.0 million and $80.3 million, respectively. We expect to continue to incur additional losses in the foreseeable future and we may not achieve or maintain profitability in the future. As of December 31, 2021, we had an accumulated deficit of $325 million. We intend to continue to expend substantial financial and other resources on, among other things:</w:t>
      </w:r>
    </w:p>
    <w:p>
      <w:pPr>
        <w:spacing w:after="0" w:line="180" w:lineRule="exact"/>
        <w:rPr>
          <w:sz w:val="20"/>
          <w:szCs w:val="20"/>
          <w:color w:val="auto"/>
        </w:rPr>
      </w:pPr>
    </w:p>
    <w:p>
      <w:pPr>
        <w:ind w:left="740" w:hanging="325"/>
        <w:spacing w:after="0"/>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innovating and advancing our platform;</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acquiring new customers;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increasing usage by and spend from our existing customers;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international expansion; and</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expansion of our ecosystem and go-to-market partnerships.</w:t>
      </w:r>
    </w:p>
    <w:p>
      <w:pPr>
        <w:spacing w:after="0" w:line="206" w:lineRule="exact"/>
        <w:rPr>
          <w:sz w:val="20"/>
          <w:szCs w:val="20"/>
          <w:color w:val="auto"/>
        </w:rPr>
      </w:pPr>
    </w:p>
    <w:p>
      <w:pPr>
        <w:ind w:firstLine="435"/>
        <w:spacing w:after="0" w:line="284" w:lineRule="auto"/>
        <w:rPr>
          <w:sz w:val="20"/>
          <w:szCs w:val="20"/>
          <w:color w:val="auto"/>
        </w:rPr>
      </w:pPr>
      <w:r>
        <w:rPr>
          <w:rFonts w:ascii="Arial" w:cs="Arial" w:eastAsia="Arial" w:hAnsi="Arial"/>
          <w:sz w:val="15"/>
          <w:szCs w:val="15"/>
          <w:color w:val="auto"/>
        </w:rPr>
        <w:t>These efforts may prove more expensive than we currently anticipate, and we may not succeed in increasing our revenues sufficiently, or at all, to offset these higher expenses. In addition, to the extent we are successful in increasing our customer base, we may also incur increased losses because the costs associated with acquiring customers are generally incurred up front, while subscription revenue is generally recognized ratably over the subscription term. Additionally, we expect to continue making significant expenditures on sales and marketing efforts, and expenditures to grow our platform including to develop new features, integrations, capabilities, and enhancements to our platform. For example, we plan to make significant investments in our platform to obtain FedRamp certification in support of our efforts to expand our U.S. federal business. Furthermore, as a public company, we will incur significant legal, accounting and other expenses that we did not incur as a private company. If our revenue does not grow at a greater rate than our operating expenses, we will not be profitable in future periods. Our revenue growth may slow or our revenue may decline for a number of possible reasons, many of which are beyond our control, including greater market penetration, increased competition, slowing demand for our platform, a failure by us to continue capitalizing on growth opportunities, the maturation of our business, global economic downturns, or any of the other factors discussed in this “Risk Factors” section. Any failure to increase our revenue as we grow our business could prevent us from achieving profitability at all or on a consistent basis, which would make it more difficult to accomplish our business objectives and could have a material adverse effect on our business, financial condition and results of operations and cause the market price of our ordinary shares to decline.</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8" w:name="page9"/>
    <w:bookmarkEnd w:id="8"/>
    <w:p>
      <w:pPr>
        <w:ind w:right="380"/>
        <w:spacing w:after="0" w:line="377" w:lineRule="auto"/>
        <w:rPr>
          <w:sz w:val="20"/>
          <w:szCs w:val="20"/>
          <w:color w:val="auto"/>
        </w:rPr>
      </w:pPr>
      <w:r>
        <w:rPr>
          <w:rFonts w:ascii="Arial" w:cs="Arial" w:eastAsia="Arial" w:hAnsi="Arial"/>
          <w:sz w:val="14"/>
          <w:szCs w:val="14"/>
          <w:b w:val="1"/>
          <w:bCs w:val="1"/>
          <w:i w:val="1"/>
          <w:iCs w:val="1"/>
          <w:color w:val="auto"/>
        </w:rPr>
        <w:t>Our business and operations have experienced rapid growth, and if we do not appropriately manage this growth and any future growth, or if we are unable to improve our systems, processes and controls, our business, financial condition, results of operations and prospects will be adversely affected.</w:t>
      </w:r>
    </w:p>
    <w:p>
      <w:pPr>
        <w:spacing w:after="0" w:line="97" w:lineRule="exact"/>
        <w:rPr>
          <w:sz w:val="20"/>
          <w:szCs w:val="20"/>
          <w:color w:val="auto"/>
        </w:rPr>
      </w:pPr>
    </w:p>
    <w:p>
      <w:pPr>
        <w:ind w:firstLine="410"/>
        <w:spacing w:after="0" w:line="250" w:lineRule="auto"/>
        <w:rPr>
          <w:sz w:val="20"/>
          <w:szCs w:val="20"/>
          <w:color w:val="auto"/>
        </w:rPr>
      </w:pPr>
      <w:r>
        <w:rPr>
          <w:rFonts w:ascii="Arial" w:cs="Arial" w:eastAsia="Arial" w:hAnsi="Arial"/>
          <w:sz w:val="17"/>
          <w:szCs w:val="17"/>
          <w:color w:val="auto"/>
        </w:rPr>
        <w:t>We have experienced rapid growth and increased demand for our products in recent periods, and we plan to make continued investments in the growth and expansion of our business. The growth and expansion of our business places a continuous significant strain on our management, operational, and financial resources. In addition, as customers adopt our platform and products for an increasing number of use cases, we will need to continue to support increasingly complex commercial relationships. In order to manage our growth effectively, we must continue to improve and expand our information technology and financial infrastructure, our security and compliance requirements, our operating and administrative systems, our relationships with various partners and other third parties, and our ability to manage headcount and processes in an efficient manner.</w:t>
      </w:r>
    </w:p>
    <w:p>
      <w:pPr>
        <w:spacing w:after="0" w:line="184"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We may not be able to sustain the pace of improvements to our platform and products successfully or implement systems, processes and controls in an efficient or timely manner or in a manner that does not negatively affect our business, financial condition and results of operations. Our failure to improve our systems, processes, and controls, or their failure to operate in the intended manner, may result in our inability to manage the growth of our business and to forecast our revenue, expenses and earnings accurately, or to prevent losses.</w:t>
      </w:r>
    </w:p>
    <w:p>
      <w:pPr>
        <w:spacing w:after="0" w:line="180" w:lineRule="exact"/>
        <w:rPr>
          <w:sz w:val="20"/>
          <w:szCs w:val="20"/>
          <w:color w:val="auto"/>
        </w:rPr>
      </w:pPr>
    </w:p>
    <w:p>
      <w:pPr>
        <w:ind w:firstLine="410"/>
        <w:spacing w:after="0" w:line="250" w:lineRule="auto"/>
        <w:rPr>
          <w:sz w:val="20"/>
          <w:szCs w:val="20"/>
          <w:color w:val="auto"/>
        </w:rPr>
      </w:pPr>
      <w:r>
        <w:rPr>
          <w:rFonts w:ascii="Arial" w:cs="Arial" w:eastAsia="Arial" w:hAnsi="Arial"/>
          <w:sz w:val="17"/>
          <w:szCs w:val="17"/>
          <w:color w:val="auto"/>
        </w:rPr>
        <w:t>As we expand our business and operate as a public company, we may find it difficult to maintain our corporate culture while managing our employee growth. Any failure to manage our anticipated growth and related organizational changes in a manner that preserves our culture could negatively impact future growth and achievement of our business objectives. Additionally, our productivity and the quality of our offerings may be adversely affected if we do not integrate and train our new employees quickly and effectively. These challenges have been, and likely will continue to be, heightened due to the ongoing COVID-19 pandemic and the related stay-at-home, travel and other restrictions instituted by governments around the world. Failure to effectively manage our growth to date and any future growth could result in increased costs, negatively affect our customers’ satisfaction with our offerings and adversely affect our business, financial condition, results of operations and growth prospects.</w:t>
      </w:r>
    </w:p>
    <w:p>
      <w:pPr>
        <w:spacing w:after="0" w:line="181"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b w:val="1"/>
          <w:bCs w:val="1"/>
          <w:i w:val="1"/>
          <w:iCs w:val="1"/>
          <w:color w:val="auto"/>
        </w:rPr>
        <w:t>Our recent growth may not be indicative of our future growth, and we may not be able to sustain our revenue growth rate in the future. Our growth also makes it difficult to evaluate our future prospects and may increase the risk that we will not be successful.</w:t>
      </w:r>
    </w:p>
    <w:p>
      <w:pPr>
        <w:spacing w:after="0" w:line="166" w:lineRule="exact"/>
        <w:rPr>
          <w:sz w:val="20"/>
          <w:szCs w:val="20"/>
          <w:color w:val="auto"/>
        </w:rPr>
      </w:pPr>
    </w:p>
    <w:p>
      <w:pPr>
        <w:ind w:right="80" w:firstLine="410"/>
        <w:spacing w:after="0" w:line="250" w:lineRule="auto"/>
        <w:rPr>
          <w:sz w:val="20"/>
          <w:szCs w:val="20"/>
          <w:color w:val="auto"/>
        </w:rPr>
      </w:pPr>
      <w:r>
        <w:rPr>
          <w:rFonts w:ascii="Arial" w:cs="Arial" w:eastAsia="Arial" w:hAnsi="Arial"/>
          <w:sz w:val="17"/>
          <w:szCs w:val="17"/>
          <w:color w:val="auto"/>
        </w:rPr>
        <w:t>Our total revenues for the years ended December 31, 2020 and 2021 were $148.3 million and $193.3 million, respectively, representing year-over-year growth of 30%. You should not rely on our revenue growth over any historical period as an indication of our future performance. Even if our revenue continues to increase, we expect our revenue growth rate to decline in future periods. Many factors may contribute to declines in our growth rate, including greater market penetration, increased competition, slowing demand for our offerings, a failure by us to continue capitalizing on growth opportunities, the maturation of our business, and global economic downturns, among others. If our growth rate declines, investors’ perceptions of our business and the market price of our ordinary shares could be adversely affected.</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 w:name="page10"/>
    <w:bookmarkEnd w:id="9"/>
    <w:p>
      <w:pPr>
        <w:ind w:firstLine="410"/>
        <w:spacing w:after="0" w:line="269" w:lineRule="auto"/>
        <w:rPr>
          <w:sz w:val="20"/>
          <w:szCs w:val="20"/>
          <w:color w:val="auto"/>
        </w:rPr>
      </w:pPr>
      <w:r>
        <w:rPr>
          <w:rFonts w:ascii="Arial" w:cs="Arial" w:eastAsia="Arial" w:hAnsi="Arial"/>
          <w:sz w:val="16"/>
          <w:szCs w:val="16"/>
          <w:color w:val="auto"/>
        </w:rPr>
        <w:t>In addition, our rapid growth may make it difficult to evaluate our current business and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 Moreover, if the assumptions that we use to plan our business are incorrect or change in reaction to changes in the markets in which we operate, or if we are unable to maintain consistent revenue or revenue growth, our share price could be volatile, and it may be difficult to achieve and maintain profitability.</w:t>
      </w:r>
    </w:p>
    <w:p>
      <w:pPr>
        <w:spacing w:after="0" w:line="169"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b w:val="1"/>
          <w:bCs w:val="1"/>
          <w:i w:val="1"/>
          <w:iCs w:val="1"/>
          <w:color w:val="auto"/>
        </w:rPr>
        <w:t>The markets for our products are new and evolving and may develop more slowly or differently than we expect. Our future success depends on the growth and expansion of these markets and our ability to adapt and respond effectively to evolving market conditions.</w:t>
      </w:r>
    </w:p>
    <w:p>
      <w:pPr>
        <w:spacing w:after="0" w:line="166" w:lineRule="exact"/>
        <w:rPr>
          <w:sz w:val="20"/>
          <w:szCs w:val="20"/>
          <w:color w:val="auto"/>
        </w:rPr>
      </w:pPr>
    </w:p>
    <w:p>
      <w:pPr>
        <w:ind w:right="40" w:firstLine="410"/>
        <w:spacing w:after="0" w:line="285" w:lineRule="auto"/>
        <w:rPr>
          <w:sz w:val="20"/>
          <w:szCs w:val="20"/>
          <w:color w:val="auto"/>
        </w:rPr>
      </w:pPr>
      <w:r>
        <w:rPr>
          <w:rFonts w:ascii="Arial" w:cs="Arial" w:eastAsia="Arial" w:hAnsi="Arial"/>
          <w:sz w:val="15"/>
          <w:szCs w:val="15"/>
          <w:color w:val="auto"/>
        </w:rPr>
        <w:t>The markets for our products are relatively new, rapidly evolving and unproven. Accordingly, it is difficult to predict customer adoption and renewals, demand for our platform and our products, the entry of competitive products, the success of existing competitive products, or the future growth rate, expansion, longevity and the size of our target markets. The expansion of, and our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software as a service (“SaaS”) providers experience security incidents, loss of customer data, or disruptions in delivery or service, the market for these applications as a whole, including our platform and products,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the COVID-19 pandemic or other factors such as rising inflation or interest rates), privacy, data protection and data security concerns, governmental regulation, competing technologies and products, decreases in information technology spending or otherwise, or if software providers begin to implement digital adoption solutions natively within their existing products, the markets for our platform and products might not continue to develop or might develop more slowly than we expect, which could adversely affect our business, financial condition and results of operations.</w:t>
      </w:r>
    </w:p>
    <w:p>
      <w:pPr>
        <w:spacing w:after="0" w:line="157" w:lineRule="exact"/>
        <w:rPr>
          <w:sz w:val="20"/>
          <w:szCs w:val="20"/>
          <w:color w:val="auto"/>
        </w:rPr>
      </w:pPr>
    </w:p>
    <w:p>
      <w:pPr>
        <w:jc w:val="both"/>
        <w:ind w:right="140"/>
        <w:spacing w:after="0" w:line="257" w:lineRule="auto"/>
        <w:rPr>
          <w:sz w:val="20"/>
          <w:szCs w:val="20"/>
          <w:color w:val="auto"/>
        </w:rPr>
      </w:pPr>
      <w:r>
        <w:rPr>
          <w:rFonts w:ascii="Arial" w:cs="Arial" w:eastAsia="Arial" w:hAnsi="Arial"/>
          <w:sz w:val="17"/>
          <w:szCs w:val="17"/>
          <w:b w:val="1"/>
          <w:bCs w:val="1"/>
          <w:i w:val="1"/>
          <w:iCs w:val="1"/>
          <w:color w:val="auto"/>
        </w:rPr>
        <w:t>If we are not able to keep pace with technological and competitive developments or fail to develop or otherwise introduce new products and enhancements to our existing offerings, our products may become less marketable, less competitive, or obsolete, and our business, financial condition and results of operations may be adversely affected.</w:t>
      </w:r>
    </w:p>
    <w:p>
      <w:pPr>
        <w:spacing w:after="0" w:line="175" w:lineRule="exact"/>
        <w:rPr>
          <w:sz w:val="20"/>
          <w:szCs w:val="20"/>
          <w:color w:val="auto"/>
        </w:rPr>
      </w:pPr>
    </w:p>
    <w:p>
      <w:pPr>
        <w:ind w:firstLine="410"/>
        <w:spacing w:after="0" w:line="287" w:lineRule="auto"/>
        <w:rPr>
          <w:sz w:val="20"/>
          <w:szCs w:val="20"/>
          <w:color w:val="auto"/>
        </w:rPr>
      </w:pPr>
      <w:r>
        <w:rPr>
          <w:rFonts w:ascii="Arial" w:cs="Arial" w:eastAsia="Arial" w:hAnsi="Arial"/>
          <w:sz w:val="15"/>
          <w:szCs w:val="15"/>
          <w:color w:val="auto"/>
        </w:rPr>
        <w:t>The markets in which we compete are characterized by rapid technological change, frequent introductions of new products, services, features and capabilities, and evolving industry standards and regulatory requirements. Our ability to grow our customer base and increase revenue from existing customers will depend in significant part on our ability to develop or otherwise introduce new product offerings and new features, integrations, capabilities and other enhancements to our existing offerings on a timely basis, as well as on our ability to interoperate across an increasing range of devices, operating systems and third-party applications. The success of any new products or enhancements to our existing offerings will depend on a number of factors including, but not limited to, the timeliness and effectiveness of our research and product development activities and go-to-market strategy, our ability to anticipate customer needs and achieve market acceptance, our ability to manage the risks associated with new product releases, the effective management of development and other spending in connection with the product development process and anticipated demand, and the availability of other newly developed products and technologies by our competitors.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 w:name="page11"/>
    <w:bookmarkEnd w:id="10"/>
    <w:p>
      <w:pPr>
        <w:ind w:right="20" w:firstLine="410"/>
        <w:spacing w:after="0" w:line="267" w:lineRule="auto"/>
        <w:rPr>
          <w:sz w:val="20"/>
          <w:szCs w:val="20"/>
          <w:color w:val="auto"/>
        </w:rPr>
      </w:pPr>
      <w:r>
        <w:rPr>
          <w:rFonts w:ascii="Arial" w:cs="Arial" w:eastAsia="Arial" w:hAnsi="Arial"/>
          <w:sz w:val="16"/>
          <w:szCs w:val="16"/>
          <w:color w:val="auto"/>
        </w:rPr>
        <w:t>In addition, in connection with our product development efforts, we may introduce significant changes to our existing products, or develop or otherwise introduce new and unproven products or product features, including technologies with which we have little or no prior development or operating experience. These new products, product features and other updates may not perform as expected, may fail to engage our customers or other users of our products, or may otherwise create a lag in adoption of such new or updated products and product features. New products may initially suffer from performance and quality issues that may negatively impact our ability to market and sell such products to new and existing customers. We have in the past experienced bugs, errors, or other defects or deficiencies in new products and product updates and delays in releasing new products, deployment options, and product enhancements and may have similar experiences in the future. As a result, some of our customers may either defer purchasing our products until the next upgrade is released or switch to a competitor if we are not able to keep up with technological developments.</w:t>
      </w:r>
    </w:p>
    <w:p>
      <w:pPr>
        <w:spacing w:after="0" w:line="170" w:lineRule="exact"/>
        <w:rPr>
          <w:sz w:val="20"/>
          <w:szCs w:val="20"/>
          <w:color w:val="auto"/>
        </w:rPr>
      </w:pPr>
    </w:p>
    <w:p>
      <w:pPr>
        <w:ind w:firstLine="410"/>
        <w:spacing w:after="0" w:line="286" w:lineRule="auto"/>
        <w:rPr>
          <w:sz w:val="20"/>
          <w:szCs w:val="20"/>
          <w:color w:val="auto"/>
        </w:rPr>
      </w:pPr>
      <w:r>
        <w:rPr>
          <w:rFonts w:ascii="Arial" w:cs="Arial" w:eastAsia="Arial" w:hAnsi="Arial"/>
          <w:sz w:val="15"/>
          <w:szCs w:val="15"/>
          <w:color w:val="auto"/>
        </w:rPr>
        <w:t>To keep pace with technological and competitive developments, we have in the past invested, and may in the future invest, in the acquisition of complementary businesses, technologies, services, products, and other assets that expand the products that we can offer our customers. We may make these investments without being certain that they will result in products or enhancements that will be accepted by existing or prospective customers or that will achieve market acceptance. The short-term and long-term impact of any major change to our offerings, or the introduction of new products or solutions, is particularly difficult to predict. If new or enhanced offerings fail to engage our customers or other users of our products, or do not perform as expected, we may fail to generate sufficient revenue, operating margin, or other value to justify our investments in such products, any of which may adversely affect our reputation and negatively affect our business in the short-term, long-term, or both. If we are unable to successfully enhance our existing products to meet evolving customer requirements, increase adoption and use cases of our platform and products, develop new products and product features and quickly resolve security vulnerabilities, or if our efforts in any of these areas are more expensive than we expect, then our business, financial condition and results of operations would be adversely affected.</w:t>
      </w:r>
    </w:p>
    <w:p>
      <w:pPr>
        <w:spacing w:after="0" w:line="159"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b w:val="1"/>
          <w:bCs w:val="1"/>
          <w:i w:val="1"/>
          <w:iCs w:val="1"/>
          <w:color w:val="auto"/>
        </w:rPr>
        <w:t>If we do not maintain the interoperability of our offerings across devices, operating systems and third-party applications that we do not control, and if we are not able to maintain and expand our relationships with third-party technology partners to integrate our offerings with their products and solutions, our business, financial condition and results of operations may be adversely affected.</w:t>
      </w:r>
    </w:p>
    <w:p>
      <w:pPr>
        <w:spacing w:after="0" w:line="175" w:lineRule="exact"/>
        <w:rPr>
          <w:sz w:val="20"/>
          <w:szCs w:val="20"/>
          <w:color w:val="auto"/>
        </w:rPr>
      </w:pPr>
    </w:p>
    <w:p>
      <w:pPr>
        <w:ind w:right="40" w:firstLine="410"/>
        <w:spacing w:after="0" w:line="282" w:lineRule="auto"/>
        <w:rPr>
          <w:sz w:val="20"/>
          <w:szCs w:val="20"/>
          <w:color w:val="auto"/>
        </w:rPr>
      </w:pPr>
      <w:r>
        <w:rPr>
          <w:rFonts w:ascii="Arial" w:cs="Arial" w:eastAsia="Arial" w:hAnsi="Arial"/>
          <w:sz w:val="15"/>
          <w:szCs w:val="15"/>
          <w:color w:val="auto"/>
        </w:rPr>
        <w:t>Our success depends in part on our ability to integrate our platform and products with a variety of devices, operating systems and third-party applications that we do not control, and we need to continuously modify and enhance our offerings to adapt to changes in hardware, software, networking, browser and database technologies. Third-party products and services are constantly evolving, and we may not be able to modify our offerings to ensure their compatibility with those of other third parties following development changes. Third-party providers may change the features of their applications and software, restrict our access to their applications and software or alter the terms governing use of their applications and access to those applications and software in an adverse manner. Such changes could functionally limit or eliminate our ability to use these third-party applications and software in conjunction with our products, which could negatively impact customer demand, our competitive position and adversely affect our business. Certain companies with which we currently compete or may in the future compete own, develop, operate or distribute operating systems, cloud hosting services and other software applications, and/or have material business relationships with companies that own, develop, operate or distribute operating systems, application stores, cloud hosting services and other software that our offerings rely on to operate. These companies may be able to disrupt the operation or compatibility of our offerings with their products or services, or exert strong business influence on our ability to, and the terms on which we, operate and distribute our offerings. Moreover, some of these companies may have inherent advantages developing products and services that more tightly integrate with their software and hardware platforms or those of their business partners. Should these or any other third-party providers modify their products or standards in a manner that degrades the functionality of our offerings or gives preferential treatment to competitive products or services, whether to enhance their competitive position or for any other reason, we may not be able to offer the functionality that our customers need, which would negatively impact our ability to generate revenue and adversely affect our business. Furthermore, any losses or shifts in the market position of the providers of these third-party products and services could require us to identify and develop integrations with new third-party technologies. Such changes could consume substantial resources and may not be effective. Any expansion into new geographies may also require us to integrate our offerings with new third-party technologies, products and services and invest in developing new relationships with these providers. If we are unable to respond to changes in a cost-effective manner, our offerings may become less marketable, less competitive, or obsolete, and our business, financial condition and results of operations may be negatively impacted.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ind w:firstLine="410"/>
        <w:spacing w:after="0" w:line="269" w:lineRule="auto"/>
        <w:rPr>
          <w:sz w:val="20"/>
          <w:szCs w:val="20"/>
          <w:color w:val="auto"/>
        </w:rPr>
      </w:pPr>
      <w:r>
        <w:rPr>
          <w:rFonts w:ascii="Arial" w:cs="Arial" w:eastAsia="Arial" w:hAnsi="Arial"/>
          <w:sz w:val="16"/>
          <w:szCs w:val="16"/>
          <w:color w:val="auto"/>
        </w:rPr>
        <w:t>Further, we have created mobile applications and mobile versions of our offerings to respond to the increasing number of people who access the internet and cloud-based software applications through mobile devices, including smartphones and handheld tablets or laptop computers. If these mobile applications do not perform well, our business may suffer. We are also dependent on third-party application stores that we do not control, and that may prevent us from timely updating our offerings, building new features, integrations, capabilities or other enhancements, or charging for access. Should any of these companies stop allowing or supporting access to our offerings, allow access for us only at an unsustainable cost, or make changes to the terms of access in order to make our offerings less desirable or harder to access, whether for competitive reasons or otherwise, it would also have a negative impact on our business.</w:t>
      </w:r>
    </w:p>
    <w:p>
      <w:pPr>
        <w:spacing w:after="0" w:line="169" w:lineRule="exact"/>
        <w:rPr>
          <w:sz w:val="20"/>
          <w:szCs w:val="20"/>
          <w:color w:val="auto"/>
        </w:rPr>
      </w:pPr>
    </w:p>
    <w:p>
      <w:pPr>
        <w:jc w:val="both"/>
        <w:ind w:right="340"/>
        <w:spacing w:after="0" w:line="257" w:lineRule="auto"/>
        <w:rPr>
          <w:sz w:val="20"/>
          <w:szCs w:val="20"/>
          <w:color w:val="auto"/>
        </w:rPr>
      </w:pPr>
      <w:r>
        <w:rPr>
          <w:rFonts w:ascii="Arial" w:cs="Arial" w:eastAsia="Arial" w:hAnsi="Arial"/>
          <w:sz w:val="17"/>
          <w:szCs w:val="17"/>
          <w:b w:val="1"/>
          <w:bCs w:val="1"/>
          <w:i w:val="1"/>
          <w:iCs w:val="1"/>
          <w:color w:val="auto"/>
        </w:rPr>
        <w:t>The markets in which we compete are nascent and highly fragmented, and we may not be able to compete successfully against current and future competitors, some of which may have greater financial, technical, and other resources than we do. If we do not compete successfully our business, financial condition and results of operations could be harmed.</w:t>
      </w:r>
    </w:p>
    <w:p>
      <w:pPr>
        <w:spacing w:after="0" w:line="175" w:lineRule="exact"/>
        <w:rPr>
          <w:sz w:val="20"/>
          <w:szCs w:val="20"/>
          <w:color w:val="auto"/>
        </w:rPr>
      </w:pPr>
    </w:p>
    <w:p>
      <w:pPr>
        <w:ind w:right="440" w:firstLine="410"/>
        <w:spacing w:after="0" w:line="268" w:lineRule="auto"/>
        <w:rPr>
          <w:sz w:val="20"/>
          <w:szCs w:val="20"/>
          <w:color w:val="auto"/>
        </w:rPr>
      </w:pPr>
      <w:r>
        <w:rPr>
          <w:rFonts w:ascii="Arial" w:cs="Arial" w:eastAsia="Arial" w:hAnsi="Arial"/>
          <w:sz w:val="17"/>
          <w:szCs w:val="17"/>
          <w:color w:val="auto"/>
        </w:rPr>
        <w:t>The market for our platform and products is highly fragmented, quickly evolving, and subject to rapid changes in technology. We believe that our ability to compete successfully depends upon many factors both within and beyond our control, including the following:</w:t>
      </w:r>
    </w:p>
    <w:p>
      <w:pPr>
        <w:spacing w:after="0" w:line="166" w:lineRule="exact"/>
        <w:rPr>
          <w:sz w:val="20"/>
          <w:szCs w:val="20"/>
          <w:color w:val="auto"/>
        </w:rPr>
      </w:pPr>
    </w:p>
    <w:p>
      <w:pPr>
        <w:ind w:left="740" w:hanging="325"/>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breadth of applications and technology integrations supported;</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support for cross-application guidance, automation and analytics;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expertise in third-party application implementations;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integration of robust analytics and visualization capabilities;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cross-platform support for workflows including mobile native applications (iOS and Android) and desktop (Windows and macOS);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ease of implementation and use;</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performance, security, scalability and reliability;</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quality of customer support;</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total cost of ownership; and</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brand recognition and reputation.</w:t>
      </w:r>
    </w:p>
    <w:p>
      <w:pPr>
        <w:spacing w:after="0" w:line="206" w:lineRule="exact"/>
        <w:rPr>
          <w:sz w:val="20"/>
          <w:szCs w:val="20"/>
          <w:color w:val="auto"/>
        </w:rPr>
      </w:pPr>
    </w:p>
    <w:p>
      <w:pPr>
        <w:ind w:right="300" w:firstLine="410"/>
        <w:spacing w:after="0" w:line="268" w:lineRule="auto"/>
        <w:rPr>
          <w:sz w:val="20"/>
          <w:szCs w:val="20"/>
          <w:color w:val="auto"/>
        </w:rPr>
      </w:pPr>
      <w:r>
        <w:rPr>
          <w:rFonts w:ascii="Arial" w:cs="Arial" w:eastAsia="Arial" w:hAnsi="Arial"/>
          <w:sz w:val="17"/>
          <w:szCs w:val="17"/>
          <w:color w:val="auto"/>
        </w:rPr>
        <w:t>While we do not believe that any of our competitors currently offers a solution that effectively competes with the full functionality of our integrated platform technology solutions, our main sources of competition fall into the following categories:</w:t>
      </w:r>
    </w:p>
    <w:p>
      <w:pPr>
        <w:spacing w:after="0" w:line="166" w:lineRule="exact"/>
        <w:rPr>
          <w:sz w:val="20"/>
          <w:szCs w:val="20"/>
          <w:color w:val="auto"/>
        </w:rPr>
      </w:pPr>
    </w:p>
    <w:p>
      <w:pPr>
        <w:ind w:left="740" w:right="260" w:hanging="325"/>
        <w:spacing w:after="0" w:line="268"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Non-adoption from enterprises maintaining the status quo of offline, internally developed, or non-dynamic, FAQ-centric application guidance and workflow support;</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2" w:name="page13"/>
    <w:bookmarkEnd w:id="12"/>
    <w:p>
      <w:pPr>
        <w:ind w:left="740" w:right="200" w:hanging="325"/>
        <w:spacing w:after="0" w:line="268"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Point solutions embedded natively or as an add-on to software provided by diversified enterprise software companies such as SAP, Oracle, Microsoft, and Salesforce; and</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Providers of software for specific in-app guidance or analytics use cases for SaaS applications.</w:t>
      </w:r>
    </w:p>
    <w:p>
      <w:pPr>
        <w:spacing w:after="0" w:line="206" w:lineRule="exact"/>
        <w:rPr>
          <w:sz w:val="20"/>
          <w:szCs w:val="20"/>
          <w:color w:val="auto"/>
        </w:rPr>
      </w:pPr>
    </w:p>
    <w:p>
      <w:pPr>
        <w:ind w:right="20" w:firstLine="410"/>
        <w:spacing w:after="0" w:line="285" w:lineRule="auto"/>
        <w:rPr>
          <w:sz w:val="20"/>
          <w:szCs w:val="20"/>
          <w:color w:val="auto"/>
        </w:rPr>
      </w:pPr>
      <w:r>
        <w:rPr>
          <w:rFonts w:ascii="Arial" w:cs="Arial" w:eastAsia="Arial" w:hAnsi="Arial"/>
          <w:sz w:val="15"/>
          <w:szCs w:val="15"/>
          <w:color w:val="auto"/>
        </w:rPr>
        <w:t>Additionally, we compete with home-grown, start-up, and open source technologies across the categories described above. With the trend toward distributed and remote workforces (which has accelerated as a result of the COVID-19 pandemic), the passage of time, the introduction of new technologies and the entrance of new market participants, competition has intensified, and we expect it to continue to intensify in the future. Established companies are also developing their own products that compete with ours, and may continue to do so in the future. Established companies may also acquire or establish product integration, distribution or other cooperative relationships with our current competitors. New competitors or alliances among competitors may emerge from time to time and rapidly acquire significant market share due to various factors such as their greater brand name recognition, larger existing user or customer base, customer preferences for their offerings, a larger or more effective sales organization and greater financial, technical, marketing and other resources and experience. Furthermore, with the recent increase in large merger and acquisition transactions in the technology industry, particularly transactions involving cloud-based technologies, there is a greater likelihood that we will compete with other larger technology companies in the future. Companies resulting from these potential consolidations may create more compelling product offerings and be able to offer more attractive pricing options, making it more difficult for us to compete effectively.</w:t>
      </w:r>
    </w:p>
    <w:p>
      <w:pPr>
        <w:spacing w:after="0" w:line="161" w:lineRule="exact"/>
        <w:rPr>
          <w:sz w:val="20"/>
          <w:szCs w:val="20"/>
          <w:color w:val="auto"/>
        </w:rPr>
      </w:pPr>
    </w:p>
    <w:p>
      <w:pPr>
        <w:ind w:right="40" w:firstLine="410"/>
        <w:spacing w:after="0" w:line="265" w:lineRule="auto"/>
        <w:rPr>
          <w:sz w:val="20"/>
          <w:szCs w:val="20"/>
          <w:color w:val="auto"/>
        </w:rPr>
      </w:pPr>
      <w:r>
        <w:rPr>
          <w:rFonts w:ascii="Arial" w:cs="Arial" w:eastAsia="Arial" w:hAnsi="Arial"/>
          <w:sz w:val="16"/>
          <w:szCs w:val="16"/>
          <w:color w:val="auto"/>
        </w:rPr>
        <w:t>Many of our competitors have, and additional potential competitors may have, greater financial, technical, and other resources, greater brand recognition, larger sales forces and marketing budgets, broader distribution networks, more diverse product and services offerings, larger and more mature intellectual property portfolios, more established relationships in the industry and with customers, lower cost structures and greater customer experience resources. These competitors may be able to respond more quickly and effectively than we can to new or changing opportunities, technologies, standards and customer requirements. They may also be able to leverage these resources to gain business in a manner that discourages customers from purchasing our offerings. Potential customers may also prefer to purchase from companies with which they have an existing relationship rather than a new supplier, regardless of product performance or features. Furthermore, we expect that our industry will continue to attract new companies, including smaller emerging companies, which could introduce new offerings or alternative solutions to the problems we address. We may also expand into new markets and encounter additional competitors in such markets. The numerous and evolving competitive pressures in the markets in which we operate, or our failure to respond effectively to such pressures, may result in price reductions, fewer customers, reduced revenue, gross profit and gross margins, increased net losses and loss of market share, any of which could significantly and adversely affect our business, financial condition and results of operations.</w:t>
      </w:r>
    </w:p>
    <w:p>
      <w:pPr>
        <w:spacing w:after="0" w:line="175" w:lineRule="exact"/>
        <w:rPr>
          <w:sz w:val="20"/>
          <w:szCs w:val="20"/>
          <w:color w:val="auto"/>
        </w:rPr>
      </w:pPr>
    </w:p>
    <w:p>
      <w:pPr>
        <w:ind w:right="280"/>
        <w:spacing w:after="0" w:line="299" w:lineRule="auto"/>
        <w:rPr>
          <w:sz w:val="20"/>
          <w:szCs w:val="20"/>
          <w:color w:val="auto"/>
        </w:rPr>
      </w:pPr>
      <w:r>
        <w:rPr>
          <w:rFonts w:ascii="Arial" w:cs="Arial" w:eastAsia="Arial" w:hAnsi="Arial"/>
          <w:sz w:val="16"/>
          <w:szCs w:val="16"/>
          <w:b w:val="1"/>
          <w:bCs w:val="1"/>
          <w:i w:val="1"/>
          <w:iCs w:val="1"/>
          <w:color w:val="auto"/>
        </w:rPr>
        <w:t>Our Digital Adoption Platform is at the core of our business, and any decline in demand for our Digital Adoption Platform occasioned by malfunction, inferior performance, increased competition or otherwise, will impact our business, financial condition and results of operations.</w:t>
      </w:r>
    </w:p>
    <w:p>
      <w:pPr>
        <w:spacing w:after="0" w:line="144" w:lineRule="exact"/>
        <w:rPr>
          <w:sz w:val="20"/>
          <w:szCs w:val="20"/>
          <w:color w:val="auto"/>
        </w:rPr>
      </w:pPr>
    </w:p>
    <w:p>
      <w:pPr>
        <w:ind w:firstLine="410"/>
        <w:spacing w:after="0" w:line="266" w:lineRule="auto"/>
        <w:rPr>
          <w:sz w:val="20"/>
          <w:szCs w:val="20"/>
          <w:color w:val="auto"/>
        </w:rPr>
      </w:pPr>
      <w:r>
        <w:rPr>
          <w:rFonts w:ascii="Arial" w:cs="Arial" w:eastAsia="Arial" w:hAnsi="Arial"/>
          <w:sz w:val="16"/>
          <w:szCs w:val="16"/>
          <w:color w:val="auto"/>
        </w:rPr>
        <w:t>Our Digital Adoption Platform is at the core of our business and all of our customer subscriptions. Customer subscriptions to our Digital Adoption Platform accounted for approximately 88% and 91% of our total revenue for the years ended December 31, 2020 and 2021, respectively, with the remainder of our revenue being derived from associated professional services. Accordingly, market acceptance of our Digital Adoption Platform is critical to our success. If demand for our Digital Adoption Platform declines, the demand for the associated professional services will also decline. Demand for our Digital Adoption Platform is affected by a number of factors, many of which are beyond our control, such as continued market acceptance of digital adoption platforms and technologies by customers for existing and new use cases, the timing of development and release of new features, functionality, and lower cost alternatives introduced by our competitors, technological changes and developments within the markets we serve, including the potential introduction of native digital adoption solutions within software providers’ existing products, and growth or contraction in our addressable markets. If we are unable to continue to meet customer demand, or if our Digital Adoption Platform fails to compete effectively, achieve more widespread market acceptance, or meet statutory, regulatory, contractual, or other applicable requirements, then our business, financial condition and results of operations would be harmed.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ind w:right="340"/>
        <w:spacing w:after="0" w:line="299" w:lineRule="auto"/>
        <w:rPr>
          <w:sz w:val="20"/>
          <w:szCs w:val="20"/>
          <w:color w:val="auto"/>
        </w:rPr>
      </w:pPr>
      <w:r>
        <w:rPr>
          <w:rFonts w:ascii="Arial" w:cs="Arial" w:eastAsia="Arial" w:hAnsi="Arial"/>
          <w:sz w:val="16"/>
          <w:szCs w:val="16"/>
          <w:b w:val="1"/>
          <w:bCs w:val="1"/>
          <w:i w:val="1"/>
          <w:iCs w:val="1"/>
          <w:color w:val="auto"/>
        </w:rPr>
        <w:t>Our business depends in part on our existing customers expanding the value of their subscriptions over time and renewing their subscriptions at the end of the applicable subscription period. Any decline in our Dollar-Based Net Retention Rate may harm our future operating results.</w:t>
      </w:r>
    </w:p>
    <w:p>
      <w:pPr>
        <w:spacing w:after="0" w:line="144" w:lineRule="exact"/>
        <w:rPr>
          <w:sz w:val="20"/>
          <w:szCs w:val="20"/>
          <w:color w:val="auto"/>
        </w:rPr>
      </w:pPr>
    </w:p>
    <w:p>
      <w:pPr>
        <w:ind w:firstLine="410"/>
        <w:spacing w:after="0" w:line="251" w:lineRule="auto"/>
        <w:rPr>
          <w:sz w:val="20"/>
          <w:szCs w:val="20"/>
          <w:color w:val="auto"/>
        </w:rPr>
      </w:pPr>
      <w:r>
        <w:rPr>
          <w:rFonts w:ascii="Arial" w:cs="Arial" w:eastAsia="Arial" w:hAnsi="Arial"/>
          <w:sz w:val="17"/>
          <w:szCs w:val="17"/>
          <w:color w:val="auto"/>
        </w:rPr>
        <w:t>Our future success depends in part on our ability to expand the value of our existing customers’ subscriptions over time, and on our customers renewing their subscriptions when the contract term expires. The terms of our subscription agreements are typically for a period of one to three years, and our customers are under no obligation to renew their subscriptions after the expiration of the applicable subscription period. As a result, we cannot guarantee that customers will renew their subscriptions for a similar contract period or with a similar or greater scope of applications, users, features, capabilities or other terms that are equally or more beneficial to us, if they renew at all.</w:t>
      </w:r>
    </w:p>
    <w:p>
      <w:pPr>
        <w:spacing w:after="0" w:line="183" w:lineRule="exact"/>
        <w:rPr>
          <w:sz w:val="20"/>
          <w:szCs w:val="20"/>
          <w:color w:val="auto"/>
        </w:rPr>
      </w:pPr>
    </w:p>
    <w:p>
      <w:pPr>
        <w:ind w:right="20" w:firstLine="410"/>
        <w:spacing w:after="0" w:line="264" w:lineRule="auto"/>
        <w:rPr>
          <w:sz w:val="20"/>
          <w:szCs w:val="20"/>
          <w:color w:val="auto"/>
        </w:rPr>
      </w:pPr>
      <w:r>
        <w:rPr>
          <w:rFonts w:ascii="Arial" w:cs="Arial" w:eastAsia="Arial" w:hAnsi="Arial"/>
          <w:sz w:val="16"/>
          <w:szCs w:val="16"/>
          <w:color w:val="auto"/>
        </w:rPr>
        <w:t>We use a metric we call Dollar-Based Net Retention to measure the expanding value of our customers subscriptions over time and understand our renewal trends. Our definition of Dollar-Based Net Retention is described in Item 5 of this Form 20-F under “Key Business and Financial Metrics.” We may not accurately predict future renewal trends or our Dollar-Based Net Retention Rate given the diversity of our customer base in terms of size, industry and geography. Customer renewals, and our Dollar-Based Net Retention Rate, may decline or fluctuate as a result of a number of factors, including customer satisfaction with our products and our customer support, the frequency and severity of product outages, our product uptime or latency, the pricing and value proposition of our offerings compared to those of our competitors, additional new features, integrations, capabilities or other enhancements that we may develop or otherwise introduce from time to time, updates to our products as a result of updates by technology partners, mergers and acquisitions affecting our customer base, and consolidation of affiliates’ multiple into a single account. Customer renewals have been and may in the future also be impacted by general economic conditions (including in connection with the COVID-19 pandemic), strengths and weaknesses in our customers’ underlying businesses, and other factors, many of which are beyond our control, that reduce customers’ spending levels. In addition, customers may renew for fewer subscriptions, renew for shorter contract lengths if they were previously on multi-year contracts, or switch to lower cost offerings on our platform. These factors may also be exacerbated if our customer base continues to grow to encompass larger enterprises, which generally require more sophisticated and costly sales efforts. If our customers do not expand the value of their subscriptions over time, or if our customers fail to renew their subscriptions or renew on less economically beneficial terms, our revenue may decline or grow less quickly than anticipated and our business, financial condition and results of operations may be harmed.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attract new customers, our business, financial condition and results of operations will be adversely affected.</w:t>
      </w:r>
    </w:p>
    <w:p>
      <w:pPr>
        <w:spacing w:after="0" w:line="206" w:lineRule="exact"/>
        <w:rPr>
          <w:sz w:val="20"/>
          <w:szCs w:val="20"/>
          <w:color w:val="auto"/>
        </w:rPr>
      </w:pPr>
    </w:p>
    <w:p>
      <w:pPr>
        <w:ind w:right="40" w:firstLine="410"/>
        <w:spacing w:after="0" w:line="266" w:lineRule="auto"/>
        <w:rPr>
          <w:sz w:val="20"/>
          <w:szCs w:val="20"/>
          <w:color w:val="auto"/>
        </w:rPr>
      </w:pPr>
      <w:r>
        <w:rPr>
          <w:rFonts w:ascii="Arial" w:cs="Arial" w:eastAsia="Arial" w:hAnsi="Arial"/>
          <w:sz w:val="16"/>
          <w:szCs w:val="16"/>
          <w:color w:val="auto"/>
        </w:rPr>
        <w:t>To increase our revenue, we must continue to attract new customers. Our success will depend to a substantial extent on the widespread adoption of our platform and products. Many enterprises may view digital adoption platforms and technologies such as ours as new and unproven, and may be reluctant or unwilling to migrate to our Digital Adoption Platform. Further, the adoption of SaaS business software may be slower in industries with heightened data security interests or business practices requiring highly customizable application software. In addition, as our target markets mature,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ind w:right="20"/>
        <w:spacing w:after="0" w:line="268" w:lineRule="auto"/>
        <w:rPr>
          <w:sz w:val="20"/>
          <w:szCs w:val="20"/>
          <w:color w:val="auto"/>
        </w:rPr>
      </w:pPr>
      <w:r>
        <w:rPr>
          <w:rFonts w:ascii="Arial" w:cs="Arial" w:eastAsia="Arial" w:hAnsi="Arial"/>
          <w:sz w:val="17"/>
          <w:szCs w:val="17"/>
          <w:b w:val="1"/>
          <w:bCs w:val="1"/>
          <w:i w:val="1"/>
          <w:iCs w:val="1"/>
          <w:color w:val="auto"/>
        </w:rPr>
        <w:t>We recognize subscription revenue over the term of the relevant subscription period, and as a result, downturns or upturns in sales are not immediately reflected in full in our results of operations.</w:t>
      </w:r>
    </w:p>
    <w:p>
      <w:pPr>
        <w:spacing w:after="0" w:line="166" w:lineRule="exact"/>
        <w:rPr>
          <w:sz w:val="20"/>
          <w:szCs w:val="20"/>
          <w:color w:val="auto"/>
        </w:rPr>
      </w:pPr>
    </w:p>
    <w:p>
      <w:pPr>
        <w:ind w:firstLine="410"/>
        <w:spacing w:after="0" w:line="271" w:lineRule="auto"/>
        <w:rPr>
          <w:sz w:val="20"/>
          <w:szCs w:val="20"/>
          <w:color w:val="auto"/>
        </w:rPr>
      </w:pPr>
      <w:r>
        <w:rPr>
          <w:rFonts w:ascii="Arial" w:cs="Arial" w:eastAsia="Arial" w:hAnsi="Arial"/>
          <w:sz w:val="16"/>
          <w:szCs w:val="16"/>
          <w:color w:val="auto"/>
        </w:rPr>
        <w:t>We generate revenue primarily through sales of subscriptions to our Digital Adoption Platform, and we recognize our subscription revenue ratably over the term of the relevant subscription period. As a result, a significant portion of the revenue we report each fiscal quarter is the recognition of deferred revenue from subscription contracts entered into during previous fiscal quarters. Consequently, a decline in new or renewed subscriptions in any one fiscal quarter will not be fully or immediately reflected in revenue in that fiscal quarter and will negatively affect our revenue in future fiscal quarters. Accordingly, the effect of significant downturns in new or renewed sales of our subscriptions is not reflected in full in our results of operations until future periods.</w:t>
      </w:r>
    </w:p>
    <w:p>
      <w:pPr>
        <w:spacing w:after="0" w:line="166"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b w:val="1"/>
          <w:bCs w:val="1"/>
          <w:i w:val="1"/>
          <w:iCs w:val="1"/>
          <w:color w:val="auto"/>
        </w:rPr>
        <w:t>Our ability to achieve customer renewals and increase sales of our products is dependent on the quality of our customer support, and our failure to offer effective customer support would have an adverse effect on our reputation, business, financial condition and results of operations.</w:t>
      </w:r>
    </w:p>
    <w:p>
      <w:pPr>
        <w:spacing w:after="0" w:line="144" w:lineRule="exact"/>
        <w:rPr>
          <w:sz w:val="20"/>
          <w:szCs w:val="20"/>
          <w:color w:val="auto"/>
        </w:rPr>
      </w:pPr>
    </w:p>
    <w:p>
      <w:pPr>
        <w:ind w:right="120" w:firstLine="410"/>
        <w:spacing w:after="0" w:line="269" w:lineRule="auto"/>
        <w:rPr>
          <w:sz w:val="20"/>
          <w:szCs w:val="20"/>
          <w:color w:val="auto"/>
        </w:rPr>
      </w:pPr>
      <w:r>
        <w:rPr>
          <w:rFonts w:ascii="Arial" w:cs="Arial" w:eastAsia="Arial" w:hAnsi="Arial"/>
          <w:sz w:val="16"/>
          <w:szCs w:val="16"/>
          <w:color w:val="auto"/>
        </w:rPr>
        <w:t>Our customers depend on our customer support professionals, which we refer to as our customer success team, to resolve issues and realize the full benefits relating to our platform and products. If we do not succeed in helping our customers quickly resolve implementation and/or post-deployment issues or provide effective ongoing support and education, our ability to renew subscriptions with existing customers and to expand the value of those subscriptions would be adversely affected and our reputation with potential customers could also be damaged. In addition, a significant portion of our existing customer base consists of large enterprises, which generally have more complex IT environments and require higher levels of support than smaller customers. If we fail to meet the requirements of these customers, it may be more difficult to grow sales or maintain our relationships with them.</w:t>
      </w:r>
    </w:p>
    <w:p>
      <w:pPr>
        <w:spacing w:after="0" w:line="169" w:lineRule="exact"/>
        <w:rPr>
          <w:sz w:val="20"/>
          <w:szCs w:val="20"/>
          <w:color w:val="auto"/>
        </w:rPr>
      </w:pPr>
    </w:p>
    <w:p>
      <w:pPr>
        <w:jc w:val="both"/>
        <w:ind w:right="260" w:firstLine="410"/>
        <w:spacing w:after="0" w:line="298" w:lineRule="auto"/>
        <w:rPr>
          <w:sz w:val="20"/>
          <w:szCs w:val="20"/>
          <w:color w:val="auto"/>
        </w:rPr>
      </w:pPr>
      <w:r>
        <w:rPr>
          <w:rFonts w:ascii="Arial" w:cs="Arial" w:eastAsia="Arial" w:hAnsi="Arial"/>
          <w:sz w:val="15"/>
          <w:szCs w:val="15"/>
          <w:color w:val="auto"/>
        </w:rPr>
        <w:t>Additionally, it can take several months to recruit, hire and train qualified engineering-level customer support employees, and we may not be able to hire such resources fast enough to keep up with demand. To the extent we are unsuccessful in hiring, training and retaining adequate support resources, our ability to provide adequate and timely support to our customers, and our customers’ satisfaction with our platform and products, will be adversely affected. Our failure to provide and maintain effective support services would have an adverse effect on our business, financial condition, results of operations and reputation.</w:t>
      </w:r>
    </w:p>
    <w:p>
      <w:pPr>
        <w:spacing w:after="0" w:line="148" w:lineRule="exact"/>
        <w:rPr>
          <w:sz w:val="20"/>
          <w:szCs w:val="20"/>
          <w:color w:val="auto"/>
        </w:rPr>
      </w:pPr>
    </w:p>
    <w:p>
      <w:pPr>
        <w:ind w:right="560"/>
        <w:spacing w:after="0" w:line="268" w:lineRule="auto"/>
        <w:rPr>
          <w:sz w:val="20"/>
          <w:szCs w:val="20"/>
          <w:color w:val="auto"/>
        </w:rPr>
      </w:pPr>
      <w:r>
        <w:rPr>
          <w:rFonts w:ascii="Arial" w:cs="Arial" w:eastAsia="Arial" w:hAnsi="Arial"/>
          <w:sz w:val="17"/>
          <w:szCs w:val="17"/>
          <w:b w:val="1"/>
          <w:bCs w:val="1"/>
          <w:i w:val="1"/>
          <w:iCs w:val="1"/>
          <w:color w:val="auto"/>
        </w:rPr>
        <w:t>If we fail to maintain and enhance our brand, our ability to expand our customer base will be impaired and our business, financial condition and results of operations may suffer.</w:t>
      </w:r>
    </w:p>
    <w:p>
      <w:pPr>
        <w:spacing w:after="0" w:line="166" w:lineRule="exact"/>
        <w:rPr>
          <w:sz w:val="20"/>
          <w:szCs w:val="20"/>
          <w:color w:val="auto"/>
        </w:rPr>
      </w:pPr>
    </w:p>
    <w:p>
      <w:pPr>
        <w:ind w:right="40" w:firstLine="410"/>
        <w:spacing w:after="0" w:line="266" w:lineRule="auto"/>
        <w:rPr>
          <w:sz w:val="20"/>
          <w:szCs w:val="20"/>
          <w:color w:val="auto"/>
        </w:rPr>
      </w:pPr>
      <w:r>
        <w:rPr>
          <w:rFonts w:ascii="Arial" w:cs="Arial" w:eastAsia="Arial" w:hAnsi="Arial"/>
          <w:sz w:val="16"/>
          <w:szCs w:val="16"/>
          <w:color w:val="auto"/>
        </w:rPr>
        <w:t>We believe that maintaining and enhancing the WalkMe brand is important to support the marketing and sale of our existing and future products to new customers and to expanding sales of our products to existing customers. We also believe that brand recognition will become increasingly important as competition in our target markets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those of our competitors. Our brand promotion activities may not generate customer awareness or yield increased revenue, and even if they do, any increased revenue may not offset the marketing expenses we incur in building our brand. If we fail to successfully promote and maintain our brand, we may fail to attract new customers and retain existing customers as necessary to realize a sufficient return on our brand-building efforts, and may fail to achieve the widespread brand awareness that is critical for broad customer adoption of our offerings.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ind w:right="100"/>
        <w:spacing w:after="0" w:line="335" w:lineRule="auto"/>
        <w:rPr>
          <w:sz w:val="20"/>
          <w:szCs w:val="20"/>
          <w:color w:val="auto"/>
        </w:rPr>
      </w:pPr>
      <w:r>
        <w:rPr>
          <w:rFonts w:ascii="Arial" w:cs="Arial" w:eastAsia="Arial" w:hAnsi="Arial"/>
          <w:sz w:val="15"/>
          <w:szCs w:val="15"/>
          <w:b w:val="1"/>
          <w:bCs w:val="1"/>
          <w:i w:val="1"/>
          <w:iCs w:val="1"/>
          <w:color w:val="auto"/>
        </w:rPr>
        <w:t>If we are unable to manage our fixed and variable costs or expand the scale of our operations and generate a sufficient amount of revenue to offset the associated fixed and variable costs, our business, financial condition and results of operations may be materially and adversely affected.</w:t>
      </w:r>
    </w:p>
    <w:p>
      <w:pPr>
        <w:spacing w:after="0" w:line="121" w:lineRule="exact"/>
        <w:rPr>
          <w:sz w:val="20"/>
          <w:szCs w:val="20"/>
          <w:color w:val="auto"/>
        </w:rPr>
      </w:pPr>
    </w:p>
    <w:p>
      <w:pPr>
        <w:ind w:right="20" w:firstLine="410"/>
        <w:spacing w:after="0" w:line="250" w:lineRule="auto"/>
        <w:rPr>
          <w:sz w:val="20"/>
          <w:szCs w:val="20"/>
          <w:color w:val="auto"/>
        </w:rPr>
      </w:pPr>
      <w:r>
        <w:rPr>
          <w:rFonts w:ascii="Arial" w:cs="Arial" w:eastAsia="Arial" w:hAnsi="Arial"/>
          <w:sz w:val="17"/>
          <w:szCs w:val="17"/>
          <w:color w:val="auto"/>
        </w:rPr>
        <w:t>SaaS businesses like ours tend to involve certain fixed costs, and our ability to achieve desired operating margins depends largely on our success in maintaining a scale of operations and generating a sufficient amount of revenue to offset these fixed costs and other variable costs. Our fixed costs typically include compensation of employees, cloud-based computing services, data storage and related expenses and office rental expenses. Our variable costs typically include sales and marketing expenses and payment processing fees. These costs can be difficult to manage, particularly as we continue to grow. If we are unable to effectively manage these costs or achieve economies of scale, our operating margin may decrease and our business, financial condition, results of operations and prospects could be materially and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results of operations are likely to fluctuate from quarter to quarter, which could adversely affect our business, financial condition and results of operations.</w:t>
      </w:r>
    </w:p>
    <w:p>
      <w:pPr>
        <w:spacing w:after="0" w:line="241" w:lineRule="exact"/>
        <w:rPr>
          <w:sz w:val="20"/>
          <w:szCs w:val="20"/>
          <w:color w:val="auto"/>
        </w:rPr>
      </w:pPr>
    </w:p>
    <w:p>
      <w:pPr>
        <w:jc w:val="both"/>
        <w:ind w:right="40" w:firstLine="418"/>
        <w:spacing w:after="0" w:line="251" w:lineRule="auto"/>
        <w:rPr>
          <w:sz w:val="20"/>
          <w:szCs w:val="20"/>
          <w:color w:val="auto"/>
        </w:rPr>
      </w:pPr>
      <w:r>
        <w:rPr>
          <w:rFonts w:ascii="Arial" w:cs="Arial" w:eastAsia="Arial" w:hAnsi="Arial"/>
          <w:sz w:val="17"/>
          <w:szCs w:val="17"/>
          <w:color w:val="auto"/>
        </w:rPr>
        <w:t>Our results of operations, including our revenue, cost of revenue, gross margin, operating expenses and cash flow, have fluctuated from quarter to quarter in the past and may continue to vary significantly in the future so that period-to-period comparisons of our results of operations may not be meaningful. Accordingly, our financial results in any one quarter should not be relied upon as indicative of future performance. Our quarterly financial results may fluctuate as a result of a variety of factors, many of which are outside of our control, may be difficult to predict, and may or may not fully reflect the underlying performance of our business. Factors that may cause fluctuations in our quarterly financial results include:</w:t>
      </w:r>
    </w:p>
    <w:p>
      <w:pPr>
        <w:spacing w:after="0" w:line="183" w:lineRule="exact"/>
        <w:rPr>
          <w:sz w:val="20"/>
          <w:szCs w:val="20"/>
          <w:color w:val="auto"/>
        </w:rPr>
      </w:pPr>
    </w:p>
    <w:p>
      <w:pPr>
        <w:ind w:left="740" w:hanging="325"/>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attract and retain new customers and expand sales within our existing customer base;</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loss of existing customers;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subscription renewals and the timing of such renewals;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fluctuations in customer usage of our products from period to period;</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customer satisfaction with our products and platform capabilities and customer support;</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mergers and acquisitions or other transactions affecting our customer base, including the consolidation of affiliates’ multiple accounts into a single account;</w:t>
      </w:r>
    </w:p>
    <w:p>
      <w:pPr>
        <w:spacing w:after="0" w:line="229" w:lineRule="exact"/>
        <w:rPr>
          <w:rFonts w:ascii="Arial" w:cs="Arial" w:eastAsia="Arial" w:hAnsi="Arial"/>
          <w:sz w:val="15"/>
          <w:szCs w:val="15"/>
          <w:color w:val="auto"/>
        </w:rPr>
      </w:pPr>
    </w:p>
    <w:p>
      <w:pPr>
        <w:ind w:left="740" w:hanging="325"/>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mix of our revenue between subscription and professional services;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gain new partners and retain existing partners, and any changes in the economic terms of our agreements with such partners;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increases or decreases in the number of users or applications in our subscriptions or pricing changes upon any renewals of customer agreements;</w:t>
      </w:r>
    </w:p>
    <w:p>
      <w:pPr>
        <w:spacing w:after="0" w:line="217" w:lineRule="exact"/>
        <w:rPr>
          <w:rFonts w:ascii="Arial" w:cs="Arial" w:eastAsia="Arial" w:hAnsi="Arial"/>
          <w:sz w:val="16"/>
          <w:szCs w:val="16"/>
          <w:color w:val="auto"/>
        </w:rPr>
      </w:pPr>
    </w:p>
    <w:p>
      <w:pPr>
        <w:ind w:left="740" w:hanging="325"/>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fluctuations in share-based compensation expense;</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decisions by potential customers to purchase alternative solutions or develop in-house technologies as alternatives to our products;</w:t>
      </w:r>
    </w:p>
    <w:p>
      <w:pPr>
        <w:spacing w:after="0" w:line="206" w:lineRule="exact"/>
        <w:rPr>
          <w:rFonts w:ascii="Arial" w:cs="Arial" w:eastAsia="Arial" w:hAnsi="Arial"/>
          <w:sz w:val="17"/>
          <w:szCs w:val="17"/>
          <w:color w:val="auto"/>
        </w:rPr>
      </w:pPr>
    </w:p>
    <w:p>
      <w:pPr>
        <w:ind w:left="740" w:hanging="325"/>
        <w:spacing w:after="0" w:line="299" w:lineRule="auto"/>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amount and timing of operating expenses related to the maintenance and expansion of our business and operations, including investments in research and development, sales and marketing, including the capacity of our sales team, and general and administrative resources;</w:t>
      </w:r>
    </w:p>
    <w:p>
      <w:pPr>
        <w:spacing w:after="0" w:line="144" w:lineRule="exact"/>
        <w:rPr>
          <w:rFonts w:ascii="Arial" w:cs="Arial" w:eastAsia="Arial" w:hAnsi="Arial"/>
          <w:sz w:val="16"/>
          <w:szCs w:val="16"/>
          <w:color w:val="auto"/>
        </w:rPr>
      </w:pPr>
    </w:p>
    <w:p>
      <w:pPr>
        <w:ind w:left="740" w:hanging="325"/>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manage our cloud services infrastructure costs;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technical disruptions or network outages;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ind w:left="740" w:right="640" w:hanging="325"/>
        <w:spacing w:after="0" w:line="268"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proprietary rights, our platform or products, or third-party intellectual property or proprietary rights;</w:t>
      </w:r>
    </w:p>
    <w:p>
      <w:pPr>
        <w:spacing w:after="0" w:line="165" w:lineRule="exact"/>
        <w:rPr>
          <w:rFonts w:ascii="Arial" w:cs="Arial" w:eastAsia="Arial" w:hAnsi="Arial"/>
          <w:sz w:val="17"/>
          <w:szCs w:val="17"/>
          <w:color w:val="auto"/>
        </w:rPr>
      </w:pPr>
    </w:p>
    <w:p>
      <w:pPr>
        <w:ind w:left="740" w:right="80" w:hanging="325"/>
        <w:spacing w:after="0" w:line="268"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negative publicity about our Company, our offerings or our partners, including as a result of actual or perceived breaches of, or failures relating to, privacy, data protection or data security;</w:t>
      </w:r>
    </w:p>
    <w:p>
      <w:pPr>
        <w:spacing w:after="0" w:line="165" w:lineRule="exact"/>
        <w:rPr>
          <w:rFonts w:ascii="Arial" w:cs="Arial" w:eastAsia="Arial" w:hAnsi="Arial"/>
          <w:sz w:val="17"/>
          <w:szCs w:val="17"/>
          <w:color w:val="auto"/>
        </w:rPr>
      </w:pPr>
    </w:p>
    <w:p>
      <w:pPr>
        <w:ind w:left="740" w:right="40" w:hanging="325"/>
        <w:spacing w:after="0" w:line="268"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timing of expenses related to the development or acquisition of technologies or businesses and potential future charges for impairment of goodwill from acquired companies;</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general economic, industry and market conditions;</w:t>
      </w:r>
    </w:p>
    <w:p>
      <w:pPr>
        <w:spacing w:after="0" w:line="206" w:lineRule="exact"/>
        <w:rPr>
          <w:rFonts w:ascii="Arial" w:cs="Arial" w:eastAsia="Arial" w:hAnsi="Arial"/>
          <w:sz w:val="17"/>
          <w:szCs w:val="17"/>
          <w:color w:val="auto"/>
        </w:rPr>
      </w:pPr>
    </w:p>
    <w:p>
      <w:pPr>
        <w:ind w:left="740" w:right="520" w:hanging="325"/>
        <w:spacing w:after="0" w:line="268"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impact of the ongoing COVID-19 pandemic, or any other pandemic, epidemic, outbreak of infectious disease or other global health crises on our business, the businesses of our customers and partners and general economic conditions;</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impact of political uncertainty or unrest, including the war in Ukraine;</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our pricing policies or those of our competitors;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fluctuations in the growth rate of the overall markets that our products address;</w:t>
      </w:r>
    </w:p>
    <w:p>
      <w:pPr>
        <w:spacing w:after="0" w:line="206" w:lineRule="exact"/>
        <w:rPr>
          <w:rFonts w:ascii="Arial" w:cs="Arial" w:eastAsia="Arial" w:hAnsi="Arial"/>
          <w:sz w:val="17"/>
          <w:szCs w:val="17"/>
          <w:color w:val="auto"/>
        </w:rPr>
      </w:pPr>
    </w:p>
    <w:p>
      <w:pPr>
        <w:ind w:left="740" w:right="380" w:hanging="325"/>
        <w:spacing w:after="0" w:line="268"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seasonality in the underlying businesses of our customers, including budgeting cycles and purchasing practices, and any changes in customer spending patterns;</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business strengths or weakness of our customers;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collect timely on invoices or receivables;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 and potential outcomes of litigation or other disputes;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future accounting pronouncements or changes in our accounting policies;</w:t>
      </w:r>
    </w:p>
    <w:p>
      <w:pPr>
        <w:spacing w:after="0" w:line="206" w:lineRule="exact"/>
        <w:rPr>
          <w:rFonts w:ascii="Arial" w:cs="Arial" w:eastAsia="Arial" w:hAnsi="Arial"/>
          <w:sz w:val="17"/>
          <w:szCs w:val="17"/>
          <w:color w:val="auto"/>
        </w:rPr>
      </w:pPr>
    </w:p>
    <w:p>
      <w:pPr>
        <w:ind w:left="740" w:right="780" w:hanging="325"/>
        <w:spacing w:after="0" w:line="268"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overall effective tax rate, including impacts caused by any reorganization in our corporate tax structure and any new legislation or regulatory developments;</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successfully expand our business in the U.S. and internationally;</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fluctuations in foreign currency exchange rates;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legal and regulatory compliance costs in new and existing markets; and</w:t>
      </w:r>
    </w:p>
    <w:p>
      <w:pPr>
        <w:spacing w:after="0" w:line="206" w:lineRule="exact"/>
        <w:rPr>
          <w:rFonts w:ascii="Arial" w:cs="Arial" w:eastAsia="Arial" w:hAnsi="Arial"/>
          <w:sz w:val="17"/>
          <w:szCs w:val="17"/>
          <w:color w:val="auto"/>
        </w:rPr>
      </w:pPr>
    </w:p>
    <w:p>
      <w:pPr>
        <w:ind w:left="740" w:right="340" w:hanging="325"/>
        <w:spacing w:after="0" w:line="268"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timing and success of new products or product features introduced by us or our competitors or any other change in the competitive dynamics of our industry, including consolidation among competitors, customers or partners.</w:t>
      </w:r>
    </w:p>
    <w:p>
      <w:pPr>
        <w:spacing w:after="0" w:line="166" w:lineRule="exact"/>
        <w:rPr>
          <w:sz w:val="20"/>
          <w:szCs w:val="20"/>
          <w:color w:val="auto"/>
        </w:rPr>
      </w:pPr>
    </w:p>
    <w:p>
      <w:pPr>
        <w:ind w:right="100" w:firstLine="410"/>
        <w:spacing w:after="0" w:line="298" w:lineRule="auto"/>
        <w:rPr>
          <w:sz w:val="20"/>
          <w:szCs w:val="20"/>
          <w:color w:val="auto"/>
        </w:rPr>
      </w:pPr>
      <w:r>
        <w:rPr>
          <w:rFonts w:ascii="Arial" w:cs="Arial" w:eastAsia="Arial" w:hAnsi="Arial"/>
          <w:sz w:val="15"/>
          <w:szCs w:val="15"/>
          <w:color w:val="auto"/>
        </w:rPr>
        <w:t>The impact of one or more of the foregoing or other factors may cause our results of operations to vary significantly. Such fluctuations could cause us to fail to meet the expectations of investors or securities analysts, which could cause the trading price of our ordinary shares to fall substantially, and we could face costly lawsuits, including securities class action suits. Additionally, the rapid growth we have experienced in recent years may have masked the full effects of these seasonal factors on our business to date, and as such, these factors may have a greater effect on our results of operations in future periods.</w:t>
      </w:r>
    </w:p>
    <w:p>
      <w:pPr>
        <w:spacing w:after="0" w:line="148"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b w:val="1"/>
          <w:bCs w:val="1"/>
          <w:i w:val="1"/>
          <w:iCs w:val="1"/>
          <w:color w:val="auto"/>
        </w:rPr>
        <w:t>We depend on our executive leadership team and other key employees, and the loss of one or more of these employees or an inability to attract and retain highly skilled employees could harm our business.</w:t>
      </w:r>
    </w:p>
    <w:p>
      <w:pPr>
        <w:spacing w:after="0" w:line="166" w:lineRule="exact"/>
        <w:rPr>
          <w:sz w:val="20"/>
          <w:szCs w:val="20"/>
          <w:color w:val="auto"/>
        </w:rPr>
      </w:pPr>
    </w:p>
    <w:p>
      <w:pPr>
        <w:ind w:firstLine="410"/>
        <w:spacing w:after="0" w:line="293" w:lineRule="auto"/>
        <w:rPr>
          <w:sz w:val="20"/>
          <w:szCs w:val="20"/>
          <w:color w:val="auto"/>
        </w:rPr>
      </w:pPr>
      <w:r>
        <w:rPr>
          <w:rFonts w:ascii="Arial" w:cs="Arial" w:eastAsia="Arial" w:hAnsi="Arial"/>
          <w:sz w:val="15"/>
          <w:szCs w:val="15"/>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research and development, sales or customer support, may seriously harm our business, financial condition and results of operations. Although we have entered into employment agreements with our key personnel, some of which include notice periods with which the employee is required to comply prior to terminating their employment with us, their employment is for no specific duration. We are also substantially dependent on the continued service of our existing engineering personnel because of the complexity of our products.</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7" w:name="page18"/>
    <w:bookmarkEnd w:id="17"/>
    <w:p>
      <w:pPr>
        <w:ind w:firstLine="410"/>
        <w:spacing w:after="0" w:line="251" w:lineRule="auto"/>
        <w:rPr>
          <w:sz w:val="20"/>
          <w:szCs w:val="20"/>
          <w:color w:val="auto"/>
        </w:rPr>
      </w:pPr>
      <w:r>
        <w:rPr>
          <w:rFonts w:ascii="Arial" w:cs="Arial" w:eastAsia="Arial" w:hAnsi="Arial"/>
          <w:sz w:val="17"/>
          <w:szCs w:val="17"/>
          <w:color w:val="auto"/>
        </w:rPr>
        <w:t>Our future performance also depends on the continued services and continuing contributions of our executive leadership team, including our co-founders Dan Adika, who currently serves as our Chief Executive Officer, and Rafael Sweary, who currently serves as our President, to execute on our business plan and to identify and pursue new opportunities and product innovations. The loss of services of our executive leadership team, particularly Mr. Adika or Mr. Sweary, could significantly delay or prevent the achievement of our development and strategic objectives, which could adversely affect our business, financial condition and results of operations.</w:t>
      </w:r>
    </w:p>
    <w:p>
      <w:pPr>
        <w:spacing w:after="0" w:line="183" w:lineRule="exact"/>
        <w:rPr>
          <w:sz w:val="20"/>
          <w:szCs w:val="20"/>
          <w:color w:val="auto"/>
        </w:rPr>
      </w:pPr>
    </w:p>
    <w:p>
      <w:pPr>
        <w:ind w:firstLine="410"/>
        <w:spacing w:after="0" w:line="283" w:lineRule="auto"/>
        <w:rPr>
          <w:sz w:val="20"/>
          <w:szCs w:val="20"/>
          <w:color w:val="auto"/>
        </w:rPr>
      </w:pPr>
      <w:r>
        <w:rPr>
          <w:rFonts w:ascii="Arial" w:cs="Arial" w:eastAsia="Arial" w:hAnsi="Arial"/>
          <w:sz w:val="15"/>
          <w:szCs w:val="15"/>
          <w:color w:val="auto"/>
        </w:rPr>
        <w:t>Additionally, the industry in which we operate is generally characterized by significant competition for skilled personnel as well as high employee attrition which we have experienced from time to time. There is currently a high demand for experienced software industry personnel, particularly for engineering, research and development, sales and support positions, and we may not be successful in attracting, integrating or retaining qualified personnel to fulfill our current or future needs and, even if our efforts are successful, such personnel may not become as productive as we expect. This intense competition has resulted in increasing wages, especially in Israel, where most of our research and development positions are located, and in the San Francisco Bay Area, where we have a significant presence, which may make it more difficult for us to attract and retain qualified personnel, as many of the companies against which we compete for personnel have greater financial resources than we do. These competitors may also actively seek to hire our existing personnel away from us, even if such employee has entered into a non-compete agreement. We may be unable to enforce these agreements under the laws of the jurisdictions in which our employees work.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protection of a company’s confidential information or other intellectual property, taking into account, among other things, the employee’s tenure, position, and the degree to which the non-compete undertaking limits the employee’s freedom of occupation. We may not be able to make such a demonstration. Also, to the extent we hire personnel from competitors, we may be subject to allegations that they have been improperly solicited, that they have divulged proprietary or other confidential information, or that their former employers own their inventions or other work product developed while employed by us.</w:t>
      </w:r>
    </w:p>
    <w:p>
      <w:pPr>
        <w:spacing w:after="0" w:line="165" w:lineRule="exact"/>
        <w:rPr>
          <w:sz w:val="20"/>
          <w:szCs w:val="20"/>
          <w:color w:val="auto"/>
        </w:rPr>
      </w:pPr>
    </w:p>
    <w:p>
      <w:pPr>
        <w:ind w:right="120" w:firstLine="410"/>
        <w:spacing w:after="0" w:line="293" w:lineRule="auto"/>
        <w:rPr>
          <w:sz w:val="20"/>
          <w:szCs w:val="20"/>
          <w:color w:val="auto"/>
        </w:rPr>
      </w:pPr>
      <w:r>
        <w:rPr>
          <w:rFonts w:ascii="Arial" w:cs="Arial" w:eastAsia="Arial" w:hAnsi="Arial"/>
          <w:sz w:val="15"/>
          <w:szCs w:val="15"/>
          <w:color w:val="auto"/>
        </w:rPr>
        <w:t>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and could lead to employee attrition. If we fail to attract new personnel, or fail to retain and motivate our current personnel, our business, financial condition, results of operations and growth prospects could be harmed.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ongoing COVID-19 pandemic could harm our business, financial condition and results of operations.</w:t>
      </w:r>
    </w:p>
    <w:p>
      <w:pPr>
        <w:spacing w:after="0" w:line="206" w:lineRule="exact"/>
        <w:rPr>
          <w:sz w:val="20"/>
          <w:szCs w:val="20"/>
          <w:color w:val="auto"/>
        </w:rPr>
      </w:pPr>
    </w:p>
    <w:p>
      <w:pPr>
        <w:ind w:right="60" w:firstLine="410"/>
        <w:spacing w:after="0" w:line="268" w:lineRule="auto"/>
        <w:rPr>
          <w:sz w:val="20"/>
          <w:szCs w:val="20"/>
          <w:color w:val="auto"/>
        </w:rPr>
      </w:pPr>
      <w:r>
        <w:rPr>
          <w:rFonts w:ascii="Arial" w:cs="Arial" w:eastAsia="Arial" w:hAnsi="Arial"/>
          <w:sz w:val="16"/>
          <w:szCs w:val="16"/>
          <w:color w:val="auto"/>
        </w:rPr>
        <w:t>In December 2019, a novel coronavirus disease (“COVID-19”) was reported in China and began to spread across the globe. In March 2020, the World Health Organization (“WHO”) declared COVID-19 a global pandemic. Since that time, this contagious disease outbreak has continued to spread and evolve, impacting worldwide economic activity and financial markets. As a result of the COVID-19 pandemic, government authorities around the world have ordered schools and businesses to close, imposed restrictions on non-essential activities and required people to remain at home while implementing limitations on business activities, travel and social gatherings. Even as many of these restrictions ease, we cannot be certain that new variants will not emerge that cause additional restrictions to be imposed. These conditions have caused disruptions in global demand and global supply chains, as well as disruptions in the labor force, and have adversely affected companies across a variety of industries, including many of our customers and partners.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ind w:firstLine="410"/>
        <w:spacing w:after="0" w:line="298" w:lineRule="auto"/>
        <w:rPr>
          <w:sz w:val="20"/>
          <w:szCs w:val="20"/>
          <w:color w:val="auto"/>
        </w:rPr>
      </w:pPr>
      <w:r>
        <w:rPr>
          <w:rFonts w:ascii="Arial" w:cs="Arial" w:eastAsia="Arial" w:hAnsi="Arial"/>
          <w:sz w:val="15"/>
          <w:szCs w:val="15"/>
          <w:color w:val="auto"/>
        </w:rPr>
        <w:t>In light of the uncertain and rapidly evolving situation relating to the spread of COVID-19, as well as government mandates, we took precautionary measures intended to minimize the risk of the virus to our employees, our customers, our partners and the communities in which we operate. As part of this response, we enabled our entire work force to work remotely, paused hiring and implemented travel restrictions. We also implemented a short-term hiring freeze across our Company, which limited our sales capacity and, together with the impact on spending across much of the global economy, led to longer sales cycles in the second quarter of 2020.</w:t>
      </w:r>
    </w:p>
    <w:p>
      <w:pPr>
        <w:spacing w:after="0" w:line="148" w:lineRule="exact"/>
        <w:rPr>
          <w:sz w:val="20"/>
          <w:szCs w:val="20"/>
          <w:color w:val="auto"/>
        </w:rPr>
      </w:pPr>
    </w:p>
    <w:p>
      <w:pPr>
        <w:ind w:right="60" w:firstLine="410"/>
        <w:spacing w:after="0" w:line="283" w:lineRule="auto"/>
        <w:rPr>
          <w:sz w:val="20"/>
          <w:szCs w:val="20"/>
          <w:color w:val="auto"/>
        </w:rPr>
      </w:pPr>
      <w:r>
        <w:rPr>
          <w:rFonts w:ascii="Arial" w:cs="Arial" w:eastAsia="Arial" w:hAnsi="Arial"/>
          <w:sz w:val="15"/>
          <w:szCs w:val="15"/>
          <w:color w:val="auto"/>
        </w:rPr>
        <w:t>Though we began reinvesting in our sales capacity in the second half of 2020 and saw a reversal of these trends in 2021, we cannot guarantee that this recovery will continue. In addition, given the continued spread of COVID-19 and the resultant personal, economic and governmental reactions, we may have to take additional actions in the future that could harm our business, financial condition, and results of operations. While we have a distributed workforce and our employees are accustomed to working remotely or working with other remote employees, our workforce was not trained to be fully remote, and it is possible that continued widespread remote work arrangements may have a negative impact on our operations, the execution of our business plans, the productivity and availability of key personnel and other employees necessary to conduct our business, and on third-party service providers who perform critical services for us, or otherwise cause operational failures due to changes in our normal business practices.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privacy, data protection, data security and increased fraud risks, and our understanding of applicable legal and regulatory requirements, as well as the latest guidance from regulatory authorities, may be subject to legal or regulatory challenge, particularly as regulatory guidance evolves in response to future developments. Although we continue to monitor the situation and may adjust our current policies as more information and public health guidance become available, the effects of suspending travel and doing business in-person over the long-term, as well as the continued disruption to the operations of our customers and partners, may also negatively affect our customer success efforts, sales and marketing efforts, challenge our ability to enter into customer contracts in a timely manner, slow down our recruiting efforts, and create operational or other challenges, any of which could harm our business, financial condition and results of operations. The COVID-19 pandemic has also resulted in, and may continue to result in, significant disruption of global financial markets, reducing our ability to access capital, which could in the future negatively affect our liquidity.</w:t>
      </w:r>
    </w:p>
    <w:p>
      <w:pPr>
        <w:spacing w:after="0" w:line="160" w:lineRule="exact"/>
        <w:rPr>
          <w:sz w:val="20"/>
          <w:szCs w:val="20"/>
          <w:color w:val="auto"/>
        </w:rPr>
      </w:pPr>
    </w:p>
    <w:p>
      <w:pPr>
        <w:ind w:right="80" w:firstLine="410"/>
        <w:spacing w:after="0" w:line="290" w:lineRule="auto"/>
        <w:rPr>
          <w:sz w:val="20"/>
          <w:szCs w:val="20"/>
          <w:color w:val="auto"/>
        </w:rPr>
      </w:pPr>
      <w:r>
        <w:rPr>
          <w:rFonts w:ascii="Arial" w:cs="Arial" w:eastAsia="Arial" w:hAnsi="Arial"/>
          <w:sz w:val="15"/>
          <w:szCs w:val="15"/>
          <w:color w:val="auto"/>
        </w:rPr>
        <w:t>It is not possible at this time to estimate the long-term impact that COVID-19 and related economic impacts could have on our business, financial condition and results of operations as the impact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outbreak of COVID-19 has subsided, we may experience materially adverse impacts to our business as a result of its global economic impact, including any recession that has occurred or may occur in the future. Furthermore, because of our subscription-based business model, the effect of the COVID-19 pandemic may not be fully reflected in our results of operations and overall financial condition until future periods.</w:t>
      </w:r>
    </w:p>
    <w:p>
      <w:pPr>
        <w:spacing w:after="0" w:line="155" w:lineRule="exact"/>
        <w:rPr>
          <w:sz w:val="20"/>
          <w:szCs w:val="20"/>
          <w:color w:val="auto"/>
        </w:rPr>
      </w:pPr>
    </w:p>
    <w:p>
      <w:pPr>
        <w:ind w:right="940"/>
        <w:spacing w:after="0" w:line="299" w:lineRule="auto"/>
        <w:rPr>
          <w:sz w:val="20"/>
          <w:szCs w:val="20"/>
          <w:color w:val="auto"/>
        </w:rPr>
      </w:pPr>
      <w:r>
        <w:rPr>
          <w:rFonts w:ascii="Arial" w:cs="Arial" w:eastAsia="Arial" w:hAnsi="Arial"/>
          <w:sz w:val="16"/>
          <w:szCs w:val="16"/>
          <w:b w:val="1"/>
          <w:bCs w:val="1"/>
          <w:i w:val="1"/>
          <w:iCs w:val="1"/>
          <w:color w:val="auto"/>
        </w:rPr>
        <w:t>Our corporate culture has contributed to our success, and if we cannot maintain this culture as we grow, we could lose the innovation, creativity, and entrepreneurial spirit we have worked to foster, which could harm our business and growth prospects.</w:t>
      </w:r>
    </w:p>
    <w:p>
      <w:pPr>
        <w:spacing w:after="0" w:line="144" w:lineRule="exact"/>
        <w:rPr>
          <w:sz w:val="20"/>
          <w:szCs w:val="20"/>
          <w:color w:val="auto"/>
        </w:rPr>
      </w:pPr>
    </w:p>
    <w:p>
      <w:pPr>
        <w:jc w:val="both"/>
        <w:ind w:right="200" w:firstLine="410"/>
        <w:spacing w:after="0" w:line="293" w:lineRule="auto"/>
        <w:rPr>
          <w:sz w:val="20"/>
          <w:szCs w:val="20"/>
          <w:color w:val="auto"/>
        </w:rPr>
      </w:pPr>
      <w:r>
        <w:rPr>
          <w:rFonts w:ascii="Arial" w:cs="Arial" w:eastAsia="Arial" w:hAnsi="Arial"/>
          <w:sz w:val="15"/>
          <w:szCs w:val="15"/>
          <w:color w:val="auto"/>
        </w:rPr>
        <w:t>We believe that our culture has been and will continue to be a key contributor to our success. We expect to continue to hire aggressively as we expand, and we will need to maintain our culture among a larger number of employees, dispersed across various geographic regions. If we do not continue to maintain our corporate culture as we grow, we may be unable to foster the innovation, creativity and entrepreneurial spirit we believe we need to support our growth. The continued growth and expansion of our business and our transition from a private company to a public company may also result in changes to our corporate culture, which could harm our ability to attract, recruit and retain employees, as well as our business and our prospects for future growth.</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9" w:name="page20"/>
    <w:bookmarkEnd w:id="19"/>
    <w:p>
      <w:pPr>
        <w:jc w:val="both"/>
        <w:ind w:right="380"/>
        <w:spacing w:after="0" w:line="257" w:lineRule="auto"/>
        <w:rPr>
          <w:sz w:val="20"/>
          <w:szCs w:val="20"/>
          <w:color w:val="auto"/>
        </w:rPr>
      </w:pPr>
      <w:r>
        <w:rPr>
          <w:rFonts w:ascii="Arial" w:cs="Arial" w:eastAsia="Arial" w:hAnsi="Arial"/>
          <w:sz w:val="17"/>
          <w:szCs w:val="17"/>
          <w:b w:val="1"/>
          <w:bCs w:val="1"/>
          <w:i w:val="1"/>
          <w:iCs w:val="1"/>
          <w:color w:val="auto"/>
        </w:rPr>
        <w:t>We typically provide service-level commitments under our subscription agreements. If we fail to meet these contractual commitments, we could be obligated to provide credits for future service, extended subscription terms or refunds of prepaid amounts equivalent to the credits, any of which could lead to subscription termination or a decrease in customer renewals in future periods.</w:t>
      </w:r>
    </w:p>
    <w:p>
      <w:pPr>
        <w:spacing w:after="0" w:line="175" w:lineRule="exact"/>
        <w:rPr>
          <w:sz w:val="20"/>
          <w:szCs w:val="20"/>
          <w:color w:val="auto"/>
        </w:rPr>
      </w:pPr>
    </w:p>
    <w:p>
      <w:pPr>
        <w:ind w:firstLine="410"/>
        <w:spacing w:after="0" w:line="266" w:lineRule="auto"/>
        <w:rPr>
          <w:sz w:val="20"/>
          <w:szCs w:val="20"/>
          <w:color w:val="auto"/>
        </w:rPr>
      </w:pPr>
      <w:r>
        <w:rPr>
          <w:rFonts w:ascii="Arial" w:cs="Arial" w:eastAsia="Arial" w:hAnsi="Arial"/>
          <w:sz w:val="16"/>
          <w:szCs w:val="16"/>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credits for future service, extended subscription terms or refunds of prepaid amounts equivalent to the credits, any of which could lead to subscription termination or a decrease in customer renewal. Accordingly, failure to meet our service-level commitments could significantly affect our revenue in the periods in which the failure occurs and the credits are applied or the refunds paid out. In addition, subscription terminations and any reduction in renewals resulting from service-level failures could significantly affect both our current and future revenue. Any service-level failures could also create negative publicity and damage our reputation, which may discourage prospective customers from adopting our offerings. In addition, if we modify the terms of our service-level commitments in future customer agreements in a manner that customers perceive to be unfavorable, demand for our offerings could be reduced. Any of these events could adversely affect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target enterprise customers, and sales to these customers involve risks that may not be present or that are present to a lesser extent with sales to smaller entities.</w:t>
      </w:r>
    </w:p>
    <w:p>
      <w:pPr>
        <w:spacing w:after="0" w:line="241" w:lineRule="exact"/>
        <w:rPr>
          <w:sz w:val="20"/>
          <w:szCs w:val="20"/>
          <w:color w:val="auto"/>
        </w:rPr>
      </w:pPr>
    </w:p>
    <w:p>
      <w:pPr>
        <w:ind w:right="40" w:firstLine="410"/>
        <w:spacing w:after="0" w:line="290" w:lineRule="auto"/>
        <w:rPr>
          <w:sz w:val="20"/>
          <w:szCs w:val="20"/>
          <w:color w:val="auto"/>
        </w:rPr>
      </w:pPr>
      <w:r>
        <w:rPr>
          <w:rFonts w:ascii="Arial" w:cs="Arial" w:eastAsia="Arial" w:hAnsi="Arial"/>
          <w:sz w:val="15"/>
          <w:szCs w:val="15"/>
          <w:color w:val="auto"/>
        </w:rPr>
        <w:t>Our sales and marketing organization is increasingly focused on large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55"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The failure to effectively develop and expand our sales and marketing capabilities, including third-party resources, could harm our ability to increase our customer base and achieve broader market acceptance of our offerings.</w:t>
      </w:r>
    </w:p>
    <w:p>
      <w:pPr>
        <w:spacing w:after="0" w:line="166" w:lineRule="exact"/>
        <w:rPr>
          <w:sz w:val="20"/>
          <w:szCs w:val="20"/>
          <w:color w:val="auto"/>
        </w:rPr>
      </w:pPr>
    </w:p>
    <w:p>
      <w:pPr>
        <w:ind w:right="20" w:firstLine="410"/>
        <w:spacing w:after="0" w:line="266" w:lineRule="auto"/>
        <w:rPr>
          <w:sz w:val="20"/>
          <w:szCs w:val="20"/>
          <w:color w:val="auto"/>
        </w:rPr>
      </w:pPr>
      <w:r>
        <w:rPr>
          <w:rFonts w:ascii="Arial" w:cs="Arial" w:eastAsia="Arial" w:hAnsi="Arial"/>
          <w:sz w:val="16"/>
          <w:szCs w:val="16"/>
          <w:color w:val="auto"/>
        </w:rPr>
        <w:t>Our ability to increase our customer base and achieve broader market acceptance of our platform and products will depend to a significant extent on our ability to expand our sales and marketing operations. As part of our growth strategy, we plan to continue to invest in growing our direct sales force. If we are unable to hire a sufficient number of qualified sales personnel in the near term, our business and growth prospects will be adversely impacted. Identifying and recruiting qualified sales representatives and training them is time-consuming and resource-intensive, and they may not be fully trained and productive for a significant amount of time. We also plan to continue to dedicate significant resources to our marketing programs. All of these efforts will require us to invest significant financial and other resources. Our business will be harmed if our efforts do not generate a correspondingly significant increase in revenue. We will not achieve anticipated revenue growth from expanding our sales force if we are unable to hire, develop, motivate and retain talented sales personnel, if new sales personnel are unable to achieve desired productivity levels in a reasonable period of time, or if our sales and marketing programs are not effective. In addition, because we rely primarily on a direct sales model, our customer acquisition costs are higher than those of organizations that rely primarily on a self-service model, which may limit our ability to cut costs in response to changing economic and competitive conditions.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ind w:firstLine="410"/>
        <w:spacing w:after="0" w:line="266" w:lineRule="auto"/>
        <w:rPr>
          <w:sz w:val="20"/>
          <w:szCs w:val="20"/>
          <w:color w:val="auto"/>
        </w:rPr>
      </w:pPr>
      <w:r>
        <w:rPr>
          <w:rFonts w:ascii="Arial" w:cs="Arial" w:eastAsia="Arial" w:hAnsi="Arial"/>
          <w:sz w:val="16"/>
          <w:szCs w:val="16"/>
          <w:color w:val="auto"/>
        </w:rPr>
        <w:t>In addition to our direct sales force, we also leverage reseller and other partner relationships to help market and sell our offerings to customers around the world, particularly in jurisdictions in which we have a limited presence. Though we expect that we will need to maintain and expand our network of partners as we continue to expand our presence in international markets, these relationships subject us to certain risks. Some of our partners, mainly system integrators, offer a wide array of software and services in addition to ours. Because most of their revenue is derived from selling professional services, they may prioritize sales of other more professional- services heavy solutions instead of ours. Moreover, we may face channel conflicts with producers of software that our customers use in addition to ours. If such producers perceive our solutions as a competitive threat to their products, our ability to maintain or establish partnerships with third parties may be adversely affected. In addition, recruiting and retaining qualified partners and training them in our technology and offerings requires significant time and resources If we decide to further develop and expand our indirect sales channels, we must continue to scale and improve our processes and procedures to support these channels, including investing in systems and training. Many partners may not be willing to invest the time and resources required to train their staff to effectively market and sell our offerings.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sales prices of our products may change, which may reduce our revenue and gross profit and adversely affect our financial results.</w:t>
      </w:r>
    </w:p>
    <w:p>
      <w:pPr>
        <w:spacing w:after="0" w:line="206" w:lineRule="exact"/>
        <w:rPr>
          <w:sz w:val="20"/>
          <w:szCs w:val="20"/>
          <w:color w:val="auto"/>
        </w:rPr>
      </w:pPr>
    </w:p>
    <w:p>
      <w:pPr>
        <w:ind w:firstLine="410"/>
        <w:spacing w:after="0" w:line="284" w:lineRule="auto"/>
        <w:rPr>
          <w:sz w:val="20"/>
          <w:szCs w:val="20"/>
          <w:color w:val="auto"/>
        </w:rPr>
      </w:pPr>
      <w:r>
        <w:rPr>
          <w:rFonts w:ascii="Arial" w:cs="Arial" w:eastAsia="Arial" w:hAnsi="Arial"/>
          <w:sz w:val="15"/>
          <w:szCs w:val="15"/>
          <w:color w:val="auto"/>
        </w:rPr>
        <w:t>The sales prices for our products may be subject to change for a variety of reasons, including competitive pricing pressures, discounts, anticipation of the introduction of new products, general economic conditions, or changes in our marketing, customer acquisition and technology costs and, as a result, we anticipate that we will need to change our pricing model from time to time. In the past, including in connection with the COVID-19 pandemic, we have sometimes adjusted our prices for individual customers in certain situations, and expect to do so from time to time in the future. Moreover, demand for our offerings is price-sensitive. Competition continues to increase in the market segments in which we participate, and we expect competition to further increase in the future, thereby leading to increased pricing pressures. Larger competitors with more diverse offerings may reduce the price of offerings that compete with ours or may bundle them with other offerings and provide for free. Similarly, certain competitors may use marketing strategies that enable them to acquire users more rapidly or at a lower cost than us, or both, and we may be unable to attract new customers or grow and retain our customer base based on our historical pricing. As we develop and introduce new offerings, as well as features, integrations, capabilities and other enhancements, we may need to, or choose to, revise our pricing. We may also face challenges setting prices for new and existing offerings in any new geographies into which we expand. There can be no assurance that we will not be forced to engage in price-cutting initiatives or to increase our marketing and other expenses to attract customers in response to competitive or other pressures. Any decrease in the sales prices for our products, without a corresponding decrease in costs, increase in volume or increase in revenue from our other offerings, would adversely affect our revenue and gross profit. We cannot assure you that we will be able to maintain our prices and gross profits at levels that will allow us to achieve and maintain profitability.</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b w:val="1"/>
          <w:bCs w:val="1"/>
          <w:i w:val="1"/>
          <w:iCs w:val="1"/>
          <w:color w:val="auto"/>
        </w:rPr>
        <w:t>The length of our sales cycle can be unpredictable, particularly with respect to sales to enterprise customers, and our sales efforts may require considerable time and expense.</w:t>
      </w:r>
    </w:p>
    <w:p>
      <w:pPr>
        <w:spacing w:after="0" w:line="166" w:lineRule="exact"/>
        <w:rPr>
          <w:sz w:val="20"/>
          <w:szCs w:val="20"/>
          <w:color w:val="auto"/>
        </w:rPr>
      </w:pPr>
    </w:p>
    <w:p>
      <w:pPr>
        <w:ind w:right="20" w:firstLine="410"/>
        <w:spacing w:after="0" w:line="266" w:lineRule="auto"/>
        <w:rPr>
          <w:sz w:val="20"/>
          <w:szCs w:val="20"/>
          <w:color w:val="auto"/>
        </w:rPr>
      </w:pPr>
      <w:r>
        <w:rPr>
          <w:rFonts w:ascii="Arial" w:cs="Arial" w:eastAsia="Arial" w:hAnsi="Arial"/>
          <w:sz w:val="16"/>
          <w:szCs w:val="16"/>
          <w:color w:val="auto"/>
        </w:rPr>
        <w:t>Our results of operations may fluctuate, in part, because of the length and variability of the sales cycle of our subscriptions and the difficulty in making short-term adjustments to our operating expenses. Our results of operations depend in large part on sales to new enterprise customers and increasing sales to existing customers. The length of our sales cycle, from initial contact from a prospective customer to contractually committing to one or more of our offerings, can vary substantially from customer to customer based on a number of factors, including deal complexity, implementation time and the need for our customers to satisfy their own internal requirements and processes, as well as whether a sale is made directly by us or by one of our resellers or other partners. It is difficult to predict exactly when, or even if, we will make a sale to a potential customer, or if and when we can increase sales to our existing customers. As a result, large individual sales have, in some cases, occurred in quarters subsequent to those we anticipated, or have not occurred at all. Because a substantial proportion of our expenses are relatively fixed in the short term, our results of operations will suffer if revenue falls below our expectations in a particular quarter, which could cause the price of our ordinary shares to decline.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ind w:right="680"/>
        <w:spacing w:after="0" w:line="335" w:lineRule="auto"/>
        <w:rPr>
          <w:sz w:val="20"/>
          <w:szCs w:val="20"/>
          <w:color w:val="auto"/>
        </w:rPr>
      </w:pPr>
      <w:r>
        <w:rPr>
          <w:rFonts w:ascii="Arial" w:cs="Arial" w:eastAsia="Arial" w:hAnsi="Arial"/>
          <w:sz w:val="15"/>
          <w:szCs w:val="15"/>
          <w:b w:val="1"/>
          <w:bCs w:val="1"/>
          <w:i w:val="1"/>
          <w:iCs w:val="1"/>
          <w:color w:val="auto"/>
        </w:rPr>
        <w:t>Expansion into markets outside the United States is important to the growth of our business, and if we do not manage the business and economic risks of international expansion effectively, it could materially and adversely affect our business, financial condition and results of operations.</w:t>
      </w:r>
    </w:p>
    <w:p>
      <w:pPr>
        <w:spacing w:after="0" w:line="121" w:lineRule="exact"/>
        <w:rPr>
          <w:sz w:val="20"/>
          <w:szCs w:val="20"/>
          <w:color w:val="auto"/>
        </w:rPr>
      </w:pPr>
    </w:p>
    <w:p>
      <w:pPr>
        <w:ind w:firstLine="410"/>
        <w:spacing w:after="0" w:line="298" w:lineRule="auto"/>
        <w:rPr>
          <w:sz w:val="20"/>
          <w:szCs w:val="20"/>
          <w:color w:val="auto"/>
        </w:rPr>
      </w:pPr>
      <w:r>
        <w:rPr>
          <w:rFonts w:ascii="Arial" w:cs="Arial" w:eastAsia="Arial" w:hAnsi="Arial"/>
          <w:sz w:val="15"/>
          <w:szCs w:val="15"/>
          <w:color w:val="auto"/>
        </w:rPr>
        <w:t>Our future success depends, in part, on our ability to sustain and expand our penetration of the international markets in which we currently operate and to expand into additional international markets. Our ability to expand internationally will depend upon our ability to deliver functionality and other features that reflect the needs and preferences of the international customers that we target and to successfully navigate the risks inherent in operating a business internationally. The continued expansion of our international operations will subject us to new risks and may increase risks that we currently face, including risks associated with:</w:t>
      </w:r>
    </w:p>
    <w:p>
      <w:pPr>
        <w:spacing w:after="0" w:line="148" w:lineRule="exact"/>
        <w:rPr>
          <w:sz w:val="20"/>
          <w:szCs w:val="20"/>
          <w:color w:val="auto"/>
        </w:rPr>
      </w:pPr>
    </w:p>
    <w:p>
      <w:pPr>
        <w:ind w:left="740" w:right="400" w:hanging="325"/>
        <w:spacing w:after="0" w:line="268"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recruiting and retaining talented and capable employees outside of Israel and the United States, and maintaining our Company culture across all of our offices;</w:t>
      </w:r>
    </w:p>
    <w:p>
      <w:pPr>
        <w:spacing w:after="0" w:line="165" w:lineRule="exact"/>
        <w:rPr>
          <w:rFonts w:ascii="Arial" w:cs="Arial" w:eastAsia="Arial" w:hAnsi="Arial"/>
          <w:sz w:val="17"/>
          <w:szCs w:val="17"/>
          <w:color w:val="auto"/>
        </w:rPr>
      </w:pPr>
    </w:p>
    <w:p>
      <w:pPr>
        <w:ind w:left="740" w:right="80" w:hanging="325"/>
        <w:spacing w:after="0" w:line="335" w:lineRule="auto"/>
        <w:tabs>
          <w:tab w:leader="none" w:pos="7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providing our platform and operating our business across a significant distance, in different languages and among different cultures, including the potential need to modify our platform and features to reflect local languages and to ensure that they are culturally appropriate and relevant in different countries;</w:t>
      </w:r>
    </w:p>
    <w:p>
      <w:pPr>
        <w:spacing w:after="0" w:line="121" w:lineRule="exact"/>
        <w:rPr>
          <w:rFonts w:ascii="Arial" w:cs="Arial" w:eastAsia="Arial" w:hAnsi="Arial"/>
          <w:sz w:val="15"/>
          <w:szCs w:val="15"/>
          <w:color w:val="auto"/>
        </w:rPr>
      </w:pPr>
    </w:p>
    <w:p>
      <w:pPr>
        <w:ind w:left="740" w:hanging="325"/>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slower than anticipated availability and adoption of cloud and technology infrastructures by international businesses;</w:t>
      </w:r>
    </w:p>
    <w:p>
      <w:pPr>
        <w:spacing w:after="0" w:line="206" w:lineRule="exact"/>
        <w:rPr>
          <w:rFonts w:ascii="Arial" w:cs="Arial" w:eastAsia="Arial" w:hAnsi="Arial"/>
          <w:sz w:val="17"/>
          <w:szCs w:val="17"/>
          <w:color w:val="auto"/>
        </w:rPr>
      </w:pPr>
    </w:p>
    <w:p>
      <w:pPr>
        <w:ind w:left="740" w:right="160" w:hanging="325"/>
        <w:spacing w:after="0" w:line="257"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applicability of evolving and potentially inconsistent international laws and regulations, including laws and regulations with respect to tariffs, privacy, data protection, data security, consumer protection and unsolicited email, and the risk of penalties to our customers, users and individual members of our executive leadership team or other employees if our practices are deemed to be out of compliance;</w:t>
      </w:r>
    </w:p>
    <w:p>
      <w:pPr>
        <w:spacing w:after="0" w:line="175" w:lineRule="exact"/>
        <w:rPr>
          <w:rFonts w:ascii="Arial" w:cs="Arial" w:eastAsia="Arial" w:hAnsi="Arial"/>
          <w:sz w:val="17"/>
          <w:szCs w:val="17"/>
          <w:color w:val="auto"/>
        </w:rPr>
      </w:pPr>
    </w:p>
    <w:p>
      <w:pPr>
        <w:ind w:left="740" w:hanging="325"/>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operating in jurisdictions that do not protect intellectual property rights to the same extent as does the United States;</w:t>
      </w:r>
    </w:p>
    <w:p>
      <w:pPr>
        <w:spacing w:after="0" w:line="206" w:lineRule="exact"/>
        <w:rPr>
          <w:rFonts w:ascii="Arial" w:cs="Arial" w:eastAsia="Arial" w:hAnsi="Arial"/>
          <w:sz w:val="17"/>
          <w:szCs w:val="17"/>
          <w:color w:val="auto"/>
        </w:rPr>
      </w:pPr>
    </w:p>
    <w:p>
      <w:pPr>
        <w:ind w:left="740" w:right="80" w:hanging="325"/>
        <w:spacing w:after="0" w:line="257"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need to rely on local partners including in connection with joint venture or other arrangements like our Japanese subsidiary, WalkMe K.K., to penetrate certain geographic regions, which may make us dependent on such local partners to implement our growth strategy. See “Operating and Financial Review and Prospects—Commitments and Contractual Obligations—WalkMe K.K.”;</w:t>
      </w:r>
    </w:p>
    <w:p>
      <w:pPr>
        <w:spacing w:after="0" w:line="175" w:lineRule="exact"/>
        <w:rPr>
          <w:rFonts w:ascii="Arial" w:cs="Arial" w:eastAsia="Arial" w:hAnsi="Arial"/>
          <w:sz w:val="17"/>
          <w:szCs w:val="17"/>
          <w:color w:val="auto"/>
        </w:rPr>
      </w:pPr>
    </w:p>
    <w:p>
      <w:pPr>
        <w:ind w:left="740" w:right="160" w:hanging="325"/>
        <w:spacing w:after="0" w:line="268"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political and economic instability including instability arising from the war in Ukraine;</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fluctuations in currency exchange rates;</w:t>
      </w:r>
    </w:p>
    <w:p>
      <w:pPr>
        <w:spacing w:after="0" w:line="206" w:lineRule="exact"/>
        <w:rPr>
          <w:rFonts w:ascii="Arial" w:cs="Arial" w:eastAsia="Arial" w:hAnsi="Arial"/>
          <w:sz w:val="17"/>
          <w:szCs w:val="17"/>
          <w:color w:val="auto"/>
        </w:rPr>
      </w:pPr>
    </w:p>
    <w:p>
      <w:pPr>
        <w:ind w:left="740" w:right="40" w:hanging="325"/>
        <w:spacing w:after="0" w:line="257"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double taxation of our international earnings and potentially adverse tax consequences due to changes in the income and other tax laws of Israel, the United States or the international jurisdictions in which we operate, including the complexities of foreign value added tax (or other tax) systems, and restrictions on the repatriation of earnings;</w:t>
      </w:r>
    </w:p>
    <w:p>
      <w:pPr>
        <w:spacing w:after="0" w:line="175" w:lineRule="exact"/>
        <w:rPr>
          <w:rFonts w:ascii="Arial" w:cs="Arial" w:eastAsia="Arial" w:hAnsi="Arial"/>
          <w:sz w:val="17"/>
          <w:szCs w:val="17"/>
          <w:color w:val="auto"/>
        </w:rPr>
      </w:pPr>
    </w:p>
    <w:p>
      <w:pPr>
        <w:ind w:left="740" w:hanging="325"/>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w:t>
      </w:r>
    </w:p>
    <w:p>
      <w:pPr>
        <w:spacing w:after="0" w:line="206" w:lineRule="exact"/>
        <w:rPr>
          <w:rFonts w:ascii="Arial" w:cs="Arial" w:eastAsia="Arial" w:hAnsi="Arial"/>
          <w:sz w:val="17"/>
          <w:szCs w:val="17"/>
          <w:color w:val="auto"/>
        </w:rPr>
      </w:pPr>
    </w:p>
    <w:p>
      <w:pPr>
        <w:ind w:left="740" w:right="200" w:hanging="325"/>
        <w:spacing w:after="0" w:line="268"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different labor regulations, especially in the European Union, where labor laws are generally more advantageous to employees as compared to the United States, including deemed hourly wage and overtime regulations in these locations;</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2" w:name="page23"/>
    <w:bookmarkEnd w:id="22"/>
    <w:p>
      <w:pPr>
        <w:ind w:left="740" w:right="220" w:hanging="325"/>
        <w:spacing w:after="0" w:line="268" w:lineRule="auto"/>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ongoing COVID-19 pandemic, or any other pandemic, epidemic or outbreak of infectious disease, including uncertainty regarding what measures the United States or foreign governments will take in response;</w:t>
      </w:r>
    </w:p>
    <w:p>
      <w:pPr>
        <w:spacing w:after="0" w:line="165" w:lineRule="exact"/>
        <w:rPr>
          <w:rFonts w:ascii="Arial" w:cs="Arial" w:eastAsia="Arial" w:hAnsi="Arial"/>
          <w:sz w:val="17"/>
          <w:szCs w:val="17"/>
          <w:color w:val="auto"/>
        </w:rPr>
      </w:pPr>
    </w:p>
    <w:p>
      <w:pPr>
        <w:ind w:left="740" w:right="180" w:hanging="325"/>
        <w:spacing w:after="0" w:line="299"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implementation of exchange controls, including restrictions promulgated by the United States Department of the Treasury’s Office of Foreign Assets Control (“OFAC”), and other similar trade protection regulations and measures in the United States, Israel or in other jurisdictions;</w:t>
      </w:r>
    </w:p>
    <w:p>
      <w:pPr>
        <w:spacing w:after="0" w:line="144" w:lineRule="exact"/>
        <w:rPr>
          <w:rFonts w:ascii="Arial" w:cs="Arial" w:eastAsia="Arial" w:hAnsi="Arial"/>
          <w:sz w:val="16"/>
          <w:szCs w:val="16"/>
          <w:color w:val="auto"/>
        </w:rPr>
      </w:pPr>
    </w:p>
    <w:p>
      <w:pPr>
        <w:ind w:left="740" w:hanging="325"/>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reduced ability to timely collect amounts owed to us by our customers in countries where our recourse may be more limited;</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derived from one country to fund the capital needs of our operations in other countries;</w:t>
      </w:r>
    </w:p>
    <w:p>
      <w:pPr>
        <w:spacing w:after="0" w:line="217" w:lineRule="exact"/>
        <w:rPr>
          <w:rFonts w:ascii="Arial" w:cs="Arial" w:eastAsia="Arial" w:hAnsi="Arial"/>
          <w:sz w:val="16"/>
          <w:szCs w:val="16"/>
          <w:color w:val="auto"/>
        </w:rPr>
      </w:pPr>
    </w:p>
    <w:p>
      <w:pPr>
        <w:ind w:left="740" w:hanging="325"/>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potential changes in laws, regulations, and costs affecting our United Kingdom (“UK”) operations and personnel due to Brexit;</w:t>
      </w:r>
    </w:p>
    <w:p>
      <w:pPr>
        <w:spacing w:after="0" w:line="206" w:lineRule="exact"/>
        <w:rPr>
          <w:rFonts w:ascii="Arial" w:cs="Arial" w:eastAsia="Arial" w:hAnsi="Arial"/>
          <w:sz w:val="17"/>
          <w:szCs w:val="17"/>
          <w:color w:val="auto"/>
        </w:rPr>
      </w:pPr>
    </w:p>
    <w:p>
      <w:pPr>
        <w:ind w:left="740" w:right="100" w:hanging="325"/>
        <w:spacing w:after="0" w:line="257" w:lineRule="auto"/>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 an Israeli company, we are subject to Israeli laws concerning governmental access to data and the risk, or perception of risk, of such access may making our platform less attractive to organizations outside Israel, and compliance with such Israeli laws may conflict with legal obligations that we, or other organizations on our platform, may be subject to in other countries; and</w:t>
      </w:r>
    </w:p>
    <w:p>
      <w:pPr>
        <w:spacing w:after="0" w:line="175" w:lineRule="exact"/>
        <w:rPr>
          <w:rFonts w:ascii="Arial" w:cs="Arial" w:eastAsia="Arial" w:hAnsi="Arial"/>
          <w:sz w:val="17"/>
          <w:szCs w:val="17"/>
          <w:color w:val="auto"/>
        </w:rPr>
      </w:pPr>
    </w:p>
    <w:p>
      <w:pPr>
        <w:ind w:left="740" w:right="260" w:hanging="325"/>
        <w:spacing w:after="0" w:line="268" w:lineRule="auto"/>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exposure to liabilities under anti-corruption and anti-money laundering laws, including the U.S. Foreign Corrupt Practices Act of 1977, as amended, and similar applicable laws and regulations in other jurisdictions.</w:t>
      </w:r>
    </w:p>
    <w:p>
      <w:pPr>
        <w:spacing w:after="0" w:line="166" w:lineRule="exact"/>
        <w:rPr>
          <w:sz w:val="20"/>
          <w:szCs w:val="20"/>
          <w:color w:val="auto"/>
        </w:rPr>
      </w:pPr>
    </w:p>
    <w:p>
      <w:pPr>
        <w:ind w:firstLine="410"/>
        <w:spacing w:after="0" w:line="269" w:lineRule="auto"/>
        <w:rPr>
          <w:sz w:val="20"/>
          <w:szCs w:val="20"/>
          <w:color w:val="auto"/>
        </w:rPr>
      </w:pPr>
      <w:r>
        <w:rPr>
          <w:rFonts w:ascii="Arial" w:cs="Arial" w:eastAsia="Arial" w:hAnsi="Arial"/>
          <w:sz w:val="16"/>
          <w:szCs w:val="16"/>
          <w:color w:val="auto"/>
        </w:rPr>
        <w:t>While we have invested, and expect to continue to invest, significant resources in our international operations and expansion, it is possible that returns on such investments will not be achieved in the near future or at all in these less familiar competitive and regulatory environments. Compliance with laws and regulations applicable to our global operations could substantially increase our cost of doing business in international jurisdictions, and any violations could result in enforcement actions, fines, civil and criminal penalties, damages, injunctions, or reputational harm. If we are unable to comply with these laws and regulations or manage the difficulties and challenges described above and any other problems we encounter in connection with our international operations and expansion, our business, financial condition and results of operations could be materially and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expect our revenue mix to vary over time, which could harm our gross margin and results of operations.</w:t>
      </w:r>
    </w:p>
    <w:p>
      <w:pPr>
        <w:spacing w:after="0" w:line="206" w:lineRule="exact"/>
        <w:rPr>
          <w:sz w:val="20"/>
          <w:szCs w:val="20"/>
          <w:color w:val="auto"/>
        </w:rPr>
      </w:pPr>
    </w:p>
    <w:p>
      <w:pPr>
        <w:ind w:right="40" w:firstLine="410"/>
        <w:spacing w:after="0" w:line="269" w:lineRule="auto"/>
        <w:rPr>
          <w:sz w:val="20"/>
          <w:szCs w:val="20"/>
          <w:color w:val="auto"/>
        </w:rPr>
      </w:pPr>
      <w:r>
        <w:rPr>
          <w:rFonts w:ascii="Arial" w:cs="Arial" w:eastAsia="Arial" w:hAnsi="Arial"/>
          <w:sz w:val="16"/>
          <w:szCs w:val="16"/>
          <w:color w:val="auto"/>
        </w:rPr>
        <w:t>Our gross margins and results of operations could be harmed by changes in our revenue mix between subscription and professional services and associated costs resulting from any number of factors, including an increase in the number of partner-assisted sales; entry into new markets or growth in lower margin markets; entry into markets with different pricing and cost structures; pricing discounts; and increased price competition. Any one of these factors or the cumulative effects of certain of these factors may result in significant fluctuations in our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ordinary shares could decline.</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i w:val="1"/>
          <w:iCs w:val="1"/>
          <w:color w:val="auto"/>
        </w:rPr>
        <w:t>Catastrophic events, or man-made problems such as war or terrorism, including the rapidly escalating war in Ukraine, may disrupt our business.</w:t>
      </w:r>
    </w:p>
    <w:p>
      <w:pPr>
        <w:spacing w:after="0" w:line="218" w:lineRule="exact"/>
        <w:rPr>
          <w:sz w:val="20"/>
          <w:szCs w:val="20"/>
          <w:color w:val="auto"/>
        </w:rPr>
      </w:pPr>
    </w:p>
    <w:p>
      <w:pPr>
        <w:ind w:right="20" w:firstLine="410"/>
        <w:spacing w:after="0" w:line="284" w:lineRule="auto"/>
        <w:rPr>
          <w:sz w:val="20"/>
          <w:szCs w:val="20"/>
          <w:color w:val="auto"/>
        </w:rPr>
      </w:pPr>
      <w:r>
        <w:rPr>
          <w:rFonts w:ascii="Arial" w:cs="Arial" w:eastAsia="Arial" w:hAnsi="Arial"/>
          <w:sz w:val="15"/>
          <w:szCs w:val="15"/>
          <w:color w:val="auto"/>
        </w:rPr>
        <w:t>A significant natural disaster, such as an earthquake, fire, flood, or significant power outage could have an adverse impact on our business, financial condition and results of operations. A number of our executive officers and other employees, as well as our customers and partners, are located in the San Francisco Bay Area, a region known for seismic activity and increasingly, wildfires. In the event our or our customers’ or partners’ operations are hindered by any of the events discussed above, sales could be delayed, resulting in missed financial targets for a particular reporting period. In addition, acts of terrorism, war, such as the ongoing and rapidly escalating conflict in Ukraine, pandemics, such as the ongoing COVID-19 pandemic or any other pandemic, epidemic, outbreak of infectious disease or other public health crisis, protests, riots and other geo-political unrest could cause disruptions in our business or the businesses of our customers, partners, or the economy as a whole. For example, we have a small software development team based in Kyiv, Ukraine that has been disrupted by the recent outbreak of war in that country. While we have not experienced a material impact on our product roadmap due to this disruption, the human cost to our employees as well as the potential for broader, adverse impacts of this war, including heightened operating risks in Ukraine and Europe, additional sanctions or counter-sanctions, heightened inflation, cyber attacks, higher energy costs and higher supply chain costs, as well as broader impact on global and regional economies, is difficult to measure, and the ultimate impact of such events on our business is difficult to predict. Any disruption in the businesses of our customers or partners could have a significant adverse impact on our results. All of the aforementioned risks may be further increased if our disaster recovery plans or those of our customers or partners prove to be inadequate.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06" w:lineRule="exact"/>
        <w:rPr>
          <w:sz w:val="20"/>
          <w:szCs w:val="20"/>
          <w:color w:val="auto"/>
        </w:rPr>
      </w:pPr>
    </w:p>
    <w:p>
      <w:pPr>
        <w:ind w:firstLine="410"/>
        <w:spacing w:after="0" w:line="251" w:lineRule="auto"/>
        <w:rPr>
          <w:sz w:val="20"/>
          <w:szCs w:val="20"/>
          <w:color w:val="auto"/>
        </w:rPr>
      </w:pPr>
      <w:r>
        <w:rPr>
          <w:rFonts w:ascii="Arial" w:cs="Arial" w:eastAsia="Arial" w:hAnsi="Arial"/>
          <w:sz w:val="17"/>
          <w:szCs w:val="17"/>
          <w:color w:val="auto"/>
        </w:rPr>
        <w:t>Our functional currency is the U.S. dollar and our revenue and expenses are primarily denominated in U.S. dollars, with the exception of WalkMe K.K our Japanese subsidiary, for which the Japanese Yen is the functional currency. However, a significant portion of our headcount related expenses, consisting principally of salaries and related personnel expenses as well as leases and certain other operating expenses, are denominated in NIS. This foreign currency exposure gives rise to market risk associated with exchange rate movements of the U.S. dollar against the New Israeli Shekels (NIS). Furthermore, we anticipate that a material portion of our expenses will continue to be denominated in NIS.</w:t>
      </w:r>
    </w:p>
    <w:p>
      <w:pPr>
        <w:spacing w:after="0" w:line="183" w:lineRule="exact"/>
        <w:rPr>
          <w:sz w:val="20"/>
          <w:szCs w:val="20"/>
          <w:color w:val="auto"/>
        </w:rPr>
      </w:pPr>
    </w:p>
    <w:p>
      <w:pPr>
        <w:ind w:right="20" w:firstLine="410"/>
        <w:spacing w:after="0" w:line="250" w:lineRule="auto"/>
        <w:rPr>
          <w:sz w:val="20"/>
          <w:szCs w:val="20"/>
          <w:color w:val="auto"/>
        </w:rPr>
      </w:pPr>
      <w:r>
        <w:rPr>
          <w:rFonts w:ascii="Arial" w:cs="Arial" w:eastAsia="Arial" w:hAnsi="Arial"/>
          <w:sz w:val="17"/>
          <w:szCs w:val="17"/>
          <w:color w:val="auto"/>
        </w:rPr>
        <w:t>In addition, increased international sales have resulted and, in the future, may result in greater foreign currency denominated sales, increasing our foreign currency risk. Moreover, operating expenses incurred outside the United States and denominated in foreign currencies are increasing and are subject to fluctuations due to changes in foreign currency exchange rates. If we are not able to successfully hedge against the risks associated with currency fluctuations, our financial condition and results of operations could be adversely affected. While we may decide to continue to enter into hedging transactions in the future, the availability and effectiveness of these hedging transactions may be limited and we may not be able to successfully hedge our exposure, which could adversely affect our financial condition and results of operations.</w:t>
      </w:r>
    </w:p>
    <w:p>
      <w:pPr>
        <w:spacing w:after="0" w:line="184"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b w:val="1"/>
          <w:bCs w:val="1"/>
          <w:i w:val="1"/>
          <w:iCs w:val="1"/>
          <w:color w:val="auto"/>
        </w:rPr>
        <w:t>We may need to raise additional funds to finance our future capital needs, which may dilute the value of our outstanding ordinary shares or, if we are unable to raise sufficient additional funds, may prevent us from growing our business.</w:t>
      </w:r>
    </w:p>
    <w:p>
      <w:pPr>
        <w:spacing w:after="0" w:line="166" w:lineRule="exact"/>
        <w:rPr>
          <w:sz w:val="20"/>
          <w:szCs w:val="20"/>
          <w:color w:val="auto"/>
        </w:rPr>
      </w:pPr>
    </w:p>
    <w:p>
      <w:pPr>
        <w:ind w:firstLine="410"/>
        <w:spacing w:after="0" w:line="284" w:lineRule="auto"/>
        <w:rPr>
          <w:sz w:val="20"/>
          <w:szCs w:val="20"/>
          <w:color w:val="auto"/>
        </w:rPr>
      </w:pPr>
      <w:r>
        <w:rPr>
          <w:rFonts w:ascii="Arial" w:cs="Arial" w:eastAsia="Arial" w:hAnsi="Arial"/>
          <w:sz w:val="15"/>
          <w:szCs w:val="15"/>
          <w:color w:val="auto"/>
        </w:rPr>
        <w:t>Historically, we have funded our operations and capital expenditures primarily through our operating cash flows and the net proceeds we have received from sales of equity securities. Although we believe that our existing cash and cash equivalents and short-term bank deposits, together with cash flow from operations, net proceeds from sales of committed equity securities and the funds available under our Revolving Credit Facility, will be sufficient to support our liquidity and capital requirements for at least the next 12 months, we may need to raise additional funds to finance our existing and future capital needs, including developing new services and technologies, and to fund ongoing operating expenses. If we raise additional funds through the sale of equity securities, these transactions may dilute the value of our outstanding ordinary shares. We may also decide to issue securities, including protected securities, that have rights, preferences and privileges senior to our ordinary shares. We may also incur debt. Any debt financing would increase our level of indebtedness and could negatively affect our liquidity and restrict our operations. We also can provide no assurances that the funds we raise will be sufficient to finance any future capital requirements. We may be unable to raise additional funds on terms favorable to us or at all. In particular, the widespread COVID-19 pandemic, including variants, has resulted in, and may continue to result in, significant disruption of global financial markets, reducing our ability to access capital. If we are unable to raise additional capital or generate sufficient cash flows, we may be unable to fund our future needs. This may prevent us from increasing our market share, capitalizing on new business opportunities or remaining competitive in our industry, which could materially and adversely affect our business, prospects, financial condition and results of operations.</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4" w:name="page25"/>
    <w:bookmarkEnd w:id="24"/>
    <w:p>
      <w:pPr>
        <w:ind w:right="360"/>
        <w:spacing w:after="0" w:line="299" w:lineRule="auto"/>
        <w:rPr>
          <w:sz w:val="20"/>
          <w:szCs w:val="20"/>
          <w:color w:val="auto"/>
        </w:rPr>
      </w:pPr>
      <w:r>
        <w:rPr>
          <w:rFonts w:ascii="Arial" w:cs="Arial" w:eastAsia="Arial" w:hAnsi="Arial"/>
          <w:sz w:val="16"/>
          <w:szCs w:val="16"/>
          <w:b w:val="1"/>
          <w:bCs w:val="1"/>
          <w:i w:val="1"/>
          <w:iCs w:val="1"/>
          <w:color w:val="auto"/>
        </w:rPr>
        <w:t>Our executive leadership team has limited experience managing a public company, and the requirements of being a public company may strain our resources, divert the attention of our executive leadership team, and affect our ability to attract and retain qualified board members.</w:t>
      </w:r>
    </w:p>
    <w:p>
      <w:pPr>
        <w:spacing w:after="0" w:line="144" w:lineRule="exact"/>
        <w:rPr>
          <w:sz w:val="20"/>
          <w:szCs w:val="20"/>
          <w:color w:val="auto"/>
        </w:rPr>
      </w:pPr>
    </w:p>
    <w:p>
      <w:pPr>
        <w:ind w:firstLine="410"/>
        <w:spacing w:after="0" w:line="274" w:lineRule="auto"/>
        <w:rPr>
          <w:sz w:val="20"/>
          <w:szCs w:val="20"/>
          <w:color w:val="auto"/>
        </w:rPr>
      </w:pPr>
      <w:r>
        <w:rPr>
          <w:rFonts w:ascii="Arial" w:cs="Arial" w:eastAsia="Arial" w:hAnsi="Arial"/>
          <w:sz w:val="16"/>
          <w:szCs w:val="16"/>
          <w:color w:val="auto"/>
        </w:rPr>
        <w:t>As a public company listed in the United States, we will incur significant additional legal, accounting, and other expenses. In addition, changing laws, regulations, and standards relating to corporate governance and public disclosure, including regulations implemented by the SEC and Nasdaq,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w:t>
      </w:r>
    </w:p>
    <w:p>
      <w:pPr>
        <w:spacing w:after="0" w:line="164" w:lineRule="exact"/>
        <w:rPr>
          <w:sz w:val="20"/>
          <w:szCs w:val="20"/>
          <w:color w:val="auto"/>
        </w:rPr>
      </w:pPr>
    </w:p>
    <w:p>
      <w:pPr>
        <w:ind w:right="120" w:firstLine="410"/>
        <w:spacing w:after="0" w:line="268" w:lineRule="auto"/>
        <w:rPr>
          <w:sz w:val="20"/>
          <w:szCs w:val="20"/>
          <w:color w:val="auto"/>
        </w:rPr>
      </w:pPr>
      <w:r>
        <w:rPr>
          <w:rFonts w:ascii="Arial" w:cs="Arial" w:eastAsia="Arial" w:hAnsi="Arial"/>
          <w:sz w:val="16"/>
          <w:szCs w:val="16"/>
          <w:color w:val="auto"/>
        </w:rPr>
        <w:t>Most members of our executive leadership team have no or limited experience managing a publicly traded company, interacting with public company investors and complying with the increasingly complex laws pertaining to public companies in the United States. Our executive leadership team may not successfully or efficiently manage our transition to being a public company subject to significant regulatory oversight and reporting obligations under the U.S. federal securities laws and the continuous scrutiny of securities analysts and investors. We also intend to invest resources to comply with evolving laws, regulations, and standards, and these new obligations and constituents will require significant attention from our executive leadership team and could divert their attention away from the day-to-day management of our business. If, notwithstanding our efforts, we fail to comply with new laws, regulations, and standards, regulatory authorities may initiate legal proceedings against us and our business, financial condition and results of operations may be harmed.</w:t>
      </w:r>
    </w:p>
    <w:p>
      <w:pPr>
        <w:spacing w:after="0" w:line="169" w:lineRule="exact"/>
        <w:rPr>
          <w:sz w:val="20"/>
          <w:szCs w:val="20"/>
          <w:color w:val="auto"/>
        </w:rPr>
      </w:pPr>
    </w:p>
    <w:p>
      <w:pPr>
        <w:ind w:right="160" w:firstLine="410"/>
        <w:spacing w:after="0" w:line="253" w:lineRule="auto"/>
        <w:rPr>
          <w:sz w:val="20"/>
          <w:szCs w:val="20"/>
          <w:color w:val="auto"/>
        </w:rPr>
      </w:pPr>
      <w:r>
        <w:rPr>
          <w:rFonts w:ascii="Arial" w:cs="Arial" w:eastAsia="Arial" w:hAnsi="Arial"/>
          <w:sz w:val="17"/>
          <w:szCs w:val="17"/>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our executive leadership team.</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to government entities and highly regulated organizations are subject to a number of challenges and risks.</w:t>
      </w:r>
    </w:p>
    <w:p>
      <w:pPr>
        <w:spacing w:after="0" w:line="206" w:lineRule="exact"/>
        <w:rPr>
          <w:sz w:val="20"/>
          <w:szCs w:val="20"/>
          <w:color w:val="auto"/>
        </w:rPr>
      </w:pPr>
    </w:p>
    <w:p>
      <w:pPr>
        <w:ind w:right="80" w:firstLine="410"/>
        <w:spacing w:after="0" w:line="288" w:lineRule="auto"/>
        <w:rPr>
          <w:sz w:val="20"/>
          <w:szCs w:val="20"/>
          <w:color w:val="auto"/>
        </w:rPr>
      </w:pPr>
      <w:r>
        <w:rPr>
          <w:rFonts w:ascii="Arial" w:cs="Arial" w:eastAsia="Arial" w:hAnsi="Arial"/>
          <w:sz w:val="15"/>
          <w:szCs w:val="15"/>
          <w:color w:val="auto"/>
        </w:rPr>
        <w:t>We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 Additionally, any actual or perceived privacy, data protection, or data security incident, or even any perceived defect with regard to our practices or measures in these areas, may negatively impact public sector demand for our products.</w:t>
      </w:r>
    </w:p>
    <w:p>
      <w:pPr>
        <w:spacing w:after="0" w:line="158" w:lineRule="exact"/>
        <w:rPr>
          <w:sz w:val="20"/>
          <w:szCs w:val="20"/>
          <w:color w:val="auto"/>
        </w:rPr>
      </w:pPr>
    </w:p>
    <w:p>
      <w:pPr>
        <w:ind w:right="220" w:firstLine="410"/>
        <w:spacing w:after="0" w:line="253" w:lineRule="auto"/>
        <w:rPr>
          <w:sz w:val="20"/>
          <w:szCs w:val="20"/>
          <w:color w:val="auto"/>
        </w:rPr>
      </w:pPr>
      <w:r>
        <w:rPr>
          <w:rFonts w:ascii="Arial" w:cs="Arial" w:eastAsia="Arial" w:hAnsi="Arial"/>
          <w:sz w:val="17"/>
          <w:szCs w:val="17"/>
          <w:color w:val="auto"/>
        </w:rPr>
        <w:t>We also often provide technical support services to certain of our government entity customers to resolve any issues relating to our products. If we do not effectively assist our government entity customers in deploying our products, succeed in helping our government entity customers quickly resolve post-deployment issues, or provide effective ongoing support, our ability to sell additional products to new and existing government entity customers would be adversely affected and our reputation could be damaged.</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ind w:right="20" w:firstLine="410"/>
        <w:spacing w:after="0" w:line="293" w:lineRule="auto"/>
        <w:rPr>
          <w:sz w:val="20"/>
          <w:szCs w:val="20"/>
          <w:color w:val="auto"/>
        </w:rPr>
      </w:pPr>
      <w:r>
        <w:rPr>
          <w:rFonts w:ascii="Arial" w:cs="Arial" w:eastAsia="Arial" w:hAnsi="Arial"/>
          <w:sz w:val="15"/>
          <w:szCs w:val="15"/>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for convenience or due to a default, and any such termination may adversely affect our future results of operations. Governments routinely investigate and audit government contractors’ administrative processes, and any unfavorable audit could result in the government refusing to continue buying our subscriptions, a reduction of revenue, or fines or civil or criminal liability if the audit uncovers improper or illegal activities, which could adversely affect our results of operations in a material way.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credit risk and fluctuations in the market values of our investment portfolio.</w:t>
      </w:r>
    </w:p>
    <w:p>
      <w:pPr>
        <w:spacing w:after="0" w:line="206"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Given the global nature of our business we have diversified U.S. and non-U.S. investments. Credit ratings and pricing of our investments can be negatively affected by liquidity, credit deterioration, financial results, economic risk, political risk, sovereign risk, or other factors. As a result, the value and liquidity of our investments may fluctuate substantially. Therefore, although we have not realized any significant losses on our investments, future fluctuations in their value could result in a significant realized loss.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Information Technology, Intellectual Property and Data Security and Privacy</w:t>
      </w:r>
    </w:p>
    <w:p>
      <w:pPr>
        <w:spacing w:after="0" w:line="210"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b w:val="1"/>
          <w:bCs w:val="1"/>
          <w:i w:val="1"/>
          <w:iCs w:val="1"/>
          <w:color w:val="auto"/>
        </w:rPr>
        <w:t>If we or our third-party service providers experience a security breach or unauthorized parties otherwise obtain access to our customers’ data, our data or our platform, our solution may be perceived as not being secure, our reputation may be harmed, demand for our platform and products may be reduced, and we may incur significant liabilities.</w:t>
      </w:r>
    </w:p>
    <w:p>
      <w:pPr>
        <w:spacing w:after="0" w:line="175" w:lineRule="exact"/>
        <w:rPr>
          <w:sz w:val="20"/>
          <w:szCs w:val="20"/>
          <w:color w:val="auto"/>
        </w:rPr>
      </w:pPr>
    </w:p>
    <w:p>
      <w:pPr>
        <w:ind w:firstLine="410"/>
        <w:spacing w:after="0" w:line="281" w:lineRule="auto"/>
        <w:rPr>
          <w:sz w:val="20"/>
          <w:szCs w:val="20"/>
          <w:color w:val="auto"/>
        </w:rPr>
      </w:pPr>
      <w:r>
        <w:rPr>
          <w:rFonts w:ascii="Arial" w:cs="Arial" w:eastAsia="Arial" w:hAnsi="Arial"/>
          <w:sz w:val="15"/>
          <w:szCs w:val="15"/>
          <w:color w:val="auto"/>
        </w:rPr>
        <w:t>Our platform and products involve the collection, storage, processing, transmission and other use of data, including certain confidential, sensitive, and personal information. More generally, in the ordinary course of our business, we collect, store, transmit and otherwise process large amounts of sensitive corporate, personal and other information, including intellectual property, proprietary business information, and other confidential information. Any security breach, data loss, or other compromise, including those resulting from a cybersecurity attack, phishing attack, or any unauthorized access, unauthorized usage, virus or similar breach or disruption could result in the loss or destruction of or unauthorized access to, or use, alteration, disclosure, or acquisition of, data, damage to our reputation, loss of intellectual property protection, claims and litigation, regulatory investigations, or other liabilities. We have experienced and expect to continue to experience attempted cyber-attacks of our IT networks, such as through phishing scams and ransomware. Although none of these attempted cyber-attacks has had a material adverse impact on our operations or financial condition, we cannot guarantee that such incidents will not have such an impact in the future. For example, we may become the target of cyber-attacks by third parties seeking unauthorized access to our or our customers’ data or to disrupt our ability to provide our services. These attacks may come from individual hackers, criminal groups, and state-sponsored organizations. Ransomware attacks, including those from organized criminal threat actors, nation-states, and nation-state supported actors, are becoming increasingly prevalent and severe, and can lead to significant interruptions in our operations, loss of data and income, reputational loss, diversion of funds, and may result in fines, litigation and unwanted media attention. Extortion payments may alleviate the negative impact of a ransomware attack, but we may be unwilling or unable to make such payments due to, for example, applicable laws or regulations prohibiting payments. Additionally, companies have, in general, experienced an increase in phishing, social engineering and other attacks from third parties in connection with the COVID-19 pandemic, and the increase in remote working further increases these and other security threats. While we experience cyber-attacks and other security incidents of varying degrees from time to time, none have individually or in the aggregate led to costs or consequences which have materially impacted our operations or business. If our security measures are breached as a result of third-party action, employee error or negligence, a defect or bug in our offerings or those of our third-party service providers, malfeasance or otherwise and, as a result, someone obtains unauthorized access to any data, including our confidential, sensitive, or personal information or the confidential, sensitive, or personal information of our customers, or other persons, or any of these types of information is lost, destroyed, or used, altered, disclosed, or acquired without authorization, or if any of the foregoing is perceived to have occurred, our reputation may be damaged, our business may suffer, and we could incur significant liability, including under applicable data privacy and security laws and regulations. Even the perception of inadequate security may damage our reputation and market position, negatively impacting our ability to win new customers and retain and receive timely payments from existing customers. Further, we could be required to expend significant capital and other resources to protect against and address any data security incident or breach, which may not be covered or fully covered by our insurance and which may involve payments for investigations, forensic analyses, regulatory compliance, breach notification, legal advice, public relations advice, system repair or replacement, or other services. We and our third-party vendors and service providers also may face difficulties or delays in identifying or responding to, and remediating and otherwise responding to, cyberattacks and other security breaches and incidents. We have incurred substantial costs in efforts to protect against and address potential impacts of security breaches and incidents, and anticipate doing so in the future.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ind w:right="220" w:firstLine="410"/>
        <w:spacing w:after="0" w:line="253" w:lineRule="auto"/>
        <w:rPr>
          <w:sz w:val="20"/>
          <w:szCs w:val="20"/>
          <w:color w:val="auto"/>
        </w:rPr>
      </w:pPr>
      <w:r>
        <w:rPr>
          <w:rFonts w:ascii="Arial" w:cs="Arial" w:eastAsia="Arial" w:hAnsi="Arial"/>
          <w:sz w:val="17"/>
          <w:szCs w:val="17"/>
          <w:color w:val="auto"/>
        </w:rPr>
        <w:t>In addition, we do not directly control content that our customers transmit to or with, or store in, our products. If our customers use our products for the transmission or storage of personally identifiable information or other sensitive information and our security measures are or are believed to have been breached as a result of third party action, employee error, malfeasance or otherwise, our reputation could be damaged, our business may suffer, and we could incur significant liability.</w:t>
      </w:r>
    </w:p>
    <w:p>
      <w:pPr>
        <w:spacing w:after="0" w:line="180" w:lineRule="exact"/>
        <w:rPr>
          <w:sz w:val="20"/>
          <w:szCs w:val="20"/>
          <w:color w:val="auto"/>
        </w:rPr>
      </w:pPr>
    </w:p>
    <w:p>
      <w:pPr>
        <w:ind w:right="100" w:firstLine="410"/>
        <w:spacing w:after="0" w:line="251" w:lineRule="auto"/>
        <w:rPr>
          <w:sz w:val="20"/>
          <w:szCs w:val="20"/>
          <w:color w:val="auto"/>
        </w:rPr>
      </w:pPr>
      <w:r>
        <w:rPr>
          <w:rFonts w:ascii="Arial" w:cs="Arial" w:eastAsia="Arial" w:hAnsi="Arial"/>
          <w:sz w:val="17"/>
          <w:szCs w:val="17"/>
          <w:color w:val="auto"/>
        </w:rPr>
        <w:t>We engage third-party vendors and service providers to store and otherwise process some of our and our customers’ data, including personal, confidential, sensitive, and other information about individuals. Our vendors and service providers may also be the targets of cyberattacks, malicious software, phishing schemes, and fraud. Our ability to monitor our vendors and service providers’ data security is limited, and, in any event, third parties may be able to circumvent those security measures, resulting in the unauthorized access to, misuse, acquisition, disclosure, loss, alteration, or destruction of our and our customers’ data, including confidential, sensitive, and other information about individuals.</w:t>
      </w:r>
    </w:p>
    <w:p>
      <w:pPr>
        <w:spacing w:after="0" w:line="183" w:lineRule="exact"/>
        <w:rPr>
          <w:sz w:val="20"/>
          <w:szCs w:val="20"/>
          <w:color w:val="auto"/>
        </w:rPr>
      </w:pPr>
    </w:p>
    <w:p>
      <w:pPr>
        <w:ind w:right="100" w:firstLine="410"/>
        <w:spacing w:after="0" w:line="286" w:lineRule="auto"/>
        <w:rPr>
          <w:sz w:val="20"/>
          <w:szCs w:val="20"/>
          <w:color w:val="auto"/>
        </w:rPr>
      </w:pPr>
      <w:r>
        <w:rPr>
          <w:rFonts w:ascii="Arial" w:cs="Arial" w:eastAsia="Arial" w:hAnsi="Arial"/>
          <w:sz w:val="15"/>
          <w:szCs w:val="15"/>
          <w:color w:val="auto"/>
        </w:rPr>
        <w:t>Where a security incident involves a breach of security leading to the accidental or unlawful destruction, loss, alternation, unauthorized disclosure of, or access to, personal data, this could result in fines of up to EUR 20 million or 4% of annual global turnover under the General Data Protection Regulation 2016/679 (the “GDPR”) or £17 million and 4% of total annual revenue in the case of the UK General Data Protection Regulation and the UK Data Protection Act 2018 (together, the “UK GDPR”). We may also be required to notify such breaches to regulators and/or individuals and operate to mitigate damages, which may result in us incurring additional costs. Techniques used to sabotage or obtain unauthorized access to systems or networks are constantly evolving and, in some instances, are not identified until after they have been launched against a target. We and our service providers may be unable to anticipate these techniques, react in a timely manner, or implement adequate preventative and mitigating measures. If we are unable to efficiently and effectively maintain and upgrade our system safeguards, we may incur unexpected costs and certain of our systems may become more vulnerable to unauthorized access or disruption. Any of the foregoing could have a material adverse effect on our business, financial condition, results of operations, market position, and reputation.</w:t>
      </w:r>
    </w:p>
    <w:p>
      <w:pPr>
        <w:spacing w:after="0" w:line="15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b w:val="1"/>
          <w:bCs w:val="1"/>
          <w:i w:val="1"/>
          <w:iCs w:val="1"/>
          <w:color w:val="auto"/>
        </w:rPr>
        <w:t>A real or perceived defect, security vulnerability, error, or performance failure in our products could cause us to lose revenue, damage our reputation, and expose us to liability.</w:t>
      </w:r>
    </w:p>
    <w:p>
      <w:pPr>
        <w:spacing w:after="0" w:line="166" w:lineRule="exact"/>
        <w:rPr>
          <w:sz w:val="20"/>
          <w:szCs w:val="20"/>
          <w:color w:val="auto"/>
        </w:rPr>
      </w:pPr>
    </w:p>
    <w:p>
      <w:pPr>
        <w:ind w:firstLine="410"/>
        <w:spacing w:after="0" w:line="288" w:lineRule="auto"/>
        <w:rPr>
          <w:sz w:val="20"/>
          <w:szCs w:val="20"/>
          <w:color w:val="auto"/>
        </w:rPr>
      </w:pPr>
      <w:r>
        <w:rPr>
          <w:rFonts w:ascii="Arial" w:cs="Arial" w:eastAsia="Arial" w:hAnsi="Arial"/>
          <w:sz w:val="15"/>
          <w:szCs w:val="15"/>
          <w:color w:val="auto"/>
        </w:rPr>
        <w:t>Our products are inherently complex and, despite extensive testing and quality control, have in the past and may in the future contain defects or errors, especially when first introduced, or not perform as contemplated. These defects, security vulnerabilities, errors, or performance failures could cause damage to our reputation, loss of customers or revenue, subscription cancellations, service terminations, or lack of market acceptance of our products. As the use of our products among new and existing customers expands, particularly to more sensitive, secure, or mission critical uses, we may be subject to increased scrutiny, potential reputational risk, or potential liability should our products fail to perform as contemplated in such deployments. We have in the past and may in the future need to issue corrective releases of our products to fix these defects, errors or performance failures, which could require us to allocate significant research and development and customer support resources to address these problems. Despite our efforts, such corrections may take longer to develop and release than we or our customers anticipate and expect.</w:t>
      </w:r>
    </w:p>
    <w:p>
      <w:pPr>
        <w:spacing w:after="0" w:line="158" w:lineRule="exact"/>
        <w:rPr>
          <w:sz w:val="20"/>
          <w:szCs w:val="20"/>
          <w:color w:val="auto"/>
        </w:rPr>
      </w:pPr>
    </w:p>
    <w:p>
      <w:pPr>
        <w:ind w:right="80" w:firstLine="410"/>
        <w:spacing w:after="0" w:line="285" w:lineRule="auto"/>
        <w:rPr>
          <w:sz w:val="20"/>
          <w:szCs w:val="20"/>
          <w:color w:val="auto"/>
        </w:rPr>
      </w:pPr>
      <w:r>
        <w:rPr>
          <w:rFonts w:ascii="Arial" w:cs="Arial" w:eastAsia="Arial" w:hAnsi="Arial"/>
          <w:sz w:val="15"/>
          <w:szCs w:val="15"/>
          <w:color w:val="auto"/>
        </w:rPr>
        <w:t>Any limitation of liability provisions that may be contained in our customer, user, third-party vendor, service provider, partner and other agreements may not be enforceable or adequate or effective as a result of existing or future applicable law or unfavorable judicial decisions, and they may not function to limit our liability arising from regulatory enforcement. In addition, some of our customer, user, third-party vendor, service provider, partner and other agreements are not capped or limited, either generally or, in some cases, with respect to certain liabilities. The sale and support of our products entail the risk of liability claims, which could be substantial in light of the use of our products in enterprise-wide environments. In addition, our insurance against any such liability may not be adequate to cover a potential claim, and may be subject to exclusions, or subject us to the risk that the insurer will deny coverage as to any future claim or exclude from our coverage such claims in policy renewals, increase our fees or deductibles or impose co-insurance requirements. Any such bugs, defects, security vulnerabilities, errors, or other performance failures in our platform or products, including as a result of denial of claims by our insurer or the successful assertion of claims by others against us that exceed available insurance coverage, or the occurrence of changes in our insurance policies, including increases or the imposition of large deductible or co-insurance requirements, could have a material adverse effect on our business, financial condition, results of operations and reputation.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ind w:right="60"/>
        <w:spacing w:after="0" w:line="268" w:lineRule="auto"/>
        <w:rPr>
          <w:sz w:val="20"/>
          <w:szCs w:val="20"/>
          <w:color w:val="auto"/>
        </w:rPr>
      </w:pPr>
      <w:r>
        <w:rPr>
          <w:rFonts w:ascii="Arial" w:cs="Arial" w:eastAsia="Arial" w:hAnsi="Arial"/>
          <w:sz w:val="17"/>
          <w:szCs w:val="17"/>
          <w:b w:val="1"/>
          <w:bCs w:val="1"/>
          <w:i w:val="1"/>
          <w:iCs w:val="1"/>
          <w:color w:val="auto"/>
        </w:rPr>
        <w:t>Incorrect use of, or our customers’ failure to update, our products could result in customer dissatisfaction and negatively affect our business, operations, financial results, and growth prospects.</w:t>
      </w:r>
    </w:p>
    <w:p>
      <w:pPr>
        <w:spacing w:after="0" w:line="166" w:lineRule="exact"/>
        <w:rPr>
          <w:sz w:val="20"/>
          <w:szCs w:val="20"/>
          <w:color w:val="auto"/>
        </w:rPr>
      </w:pPr>
    </w:p>
    <w:p>
      <w:pPr>
        <w:ind w:firstLine="410"/>
        <w:spacing w:after="0" w:line="268" w:lineRule="auto"/>
        <w:rPr>
          <w:sz w:val="20"/>
          <w:szCs w:val="20"/>
          <w:color w:val="auto"/>
        </w:rPr>
      </w:pPr>
      <w:r>
        <w:rPr>
          <w:rFonts w:ascii="Arial" w:cs="Arial" w:eastAsia="Arial" w:hAnsi="Arial"/>
          <w:sz w:val="16"/>
          <w:szCs w:val="16"/>
          <w:color w:val="auto"/>
        </w:rPr>
        <w:t>Our products are often operated in large scale, complex IT environments. Our customers require training and experience in the proper use of, and the benefits that can be derived from, our products to maximize their potential. If users of our products do not implement, use, or update them correctly or as intended, then actual or perceived performance inadequacies and/or security vulnerabilities may result. Because our customers rely on our products to manage a wide range of operations, the incorrect implementation or use of, or our customers’ failure to update, our products, or our failure to train customers on how to use our products, may result in customer dissatisfaction and negative publicity, which may adversely affect our reputation and brand. Our customers’ failure to be effectively trained or implement our products could result in lost opportunities for follow-on sales to these customers and decrease subscriptions by new customers, which would adversely affect our business, financial condition, results of operations and growth prospects.</w:t>
      </w:r>
    </w:p>
    <w:p>
      <w:pPr>
        <w:spacing w:after="0" w:line="169" w:lineRule="exact"/>
        <w:rPr>
          <w:sz w:val="20"/>
          <w:szCs w:val="20"/>
          <w:color w:val="auto"/>
        </w:rPr>
      </w:pPr>
    </w:p>
    <w:p>
      <w:pPr>
        <w:ind w:right="260"/>
        <w:spacing w:after="0" w:line="335" w:lineRule="auto"/>
        <w:rPr>
          <w:sz w:val="20"/>
          <w:szCs w:val="20"/>
          <w:color w:val="auto"/>
        </w:rPr>
      </w:pPr>
      <w:r>
        <w:rPr>
          <w:rFonts w:ascii="Arial" w:cs="Arial" w:eastAsia="Arial" w:hAnsi="Arial"/>
          <w:sz w:val="15"/>
          <w:szCs w:val="15"/>
          <w:b w:val="1"/>
          <w:bCs w:val="1"/>
          <w:i w:val="1"/>
          <w:iCs w:val="1"/>
          <w:color w:val="auto"/>
        </w:rPr>
        <w:t>Insufficient investment in, or interruptions or performance problems associated with, our technology and infrastructure, and our reliance on technologies from third parties, including third-party cloud providers, may adversely affect our business, financial condition and results of operations.</w:t>
      </w:r>
    </w:p>
    <w:p>
      <w:pPr>
        <w:spacing w:after="0" w:line="121" w:lineRule="exact"/>
        <w:rPr>
          <w:sz w:val="20"/>
          <w:szCs w:val="20"/>
          <w:color w:val="auto"/>
        </w:rPr>
      </w:pPr>
    </w:p>
    <w:p>
      <w:pPr>
        <w:ind w:right="20" w:firstLine="410"/>
        <w:spacing w:after="0" w:line="287" w:lineRule="auto"/>
        <w:rPr>
          <w:sz w:val="20"/>
          <w:szCs w:val="20"/>
          <w:color w:val="auto"/>
        </w:rPr>
      </w:pPr>
      <w:r>
        <w:rPr>
          <w:rFonts w:ascii="Arial" w:cs="Arial" w:eastAsia="Arial" w:hAnsi="Arial"/>
          <w:sz w:val="15"/>
          <w:szCs w:val="15"/>
          <w:color w:val="auto"/>
        </w:rPr>
        <w:t>Our continued growth depends in part on the ability of our existing and potential customers to access our platform at any time, within an acceptable timeframe and without interruption or degradation of performance. We have experienced, and may in the future experience, disruptions, outages, and other performance problems, which may be caused by a variety of factors, including infrastructure changes, introductions of new functionality, human or software errors, denial of service attacks, or other security related incidents. If our products and platform capabilities are unavailable or if our customers or other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upgrade our systems as needed and continually develop our technology and network architecture to accommodate actual and anticipated changes in technology, our business, financial condition and results of operations may be adversely affected.</w:t>
      </w:r>
    </w:p>
    <w:p>
      <w:pPr>
        <w:spacing w:after="0" w:line="157" w:lineRule="exact"/>
        <w:rPr>
          <w:sz w:val="20"/>
          <w:szCs w:val="20"/>
          <w:color w:val="auto"/>
        </w:rPr>
      </w:pPr>
    </w:p>
    <w:p>
      <w:pPr>
        <w:ind w:right="140" w:firstLine="410"/>
        <w:spacing w:after="0" w:line="284" w:lineRule="auto"/>
        <w:rPr>
          <w:sz w:val="20"/>
          <w:szCs w:val="20"/>
          <w:color w:val="auto"/>
        </w:rPr>
      </w:pPr>
      <w:r>
        <w:rPr>
          <w:rFonts w:ascii="Arial" w:cs="Arial" w:eastAsia="Arial" w:hAnsi="Arial"/>
          <w:sz w:val="15"/>
          <w:szCs w:val="15"/>
          <w:color w:val="auto"/>
        </w:rPr>
        <w:t>In addition, the operation of our platform depends on third-party cloud providers, hosting services and other third-party service providers. Our cloud providers run their own platforms that we access, and we are therefore vulnerable to their service interruptions and any changes in their product offerings.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cloud providers’ infrastructure, including cyber-attacks, computer viruses, malware, systems failures or other technical malfunctions, natural disasters, fire, flood, severe storm, earthquake, power loss, telecommunications failures, terrorist or other attacks, protests or riots, and other similar events beyond our control, could negatively affect our offerings. It is also possible that our customers and regulators would seek to hold us accountable for any breach of security affecting a third-party cloud provider’s infrastructure and we may incur significant liability in investigating such an incident and responding to any claims, investigations, or proceedings made or initiated by those customers, regulators, and other third parties. We may not be able to recover a material portion of such liabilities from any of our third-party cloud providers. In addition, it may become increasingly difficult to maintain and improve our performance, especially during peak usage times, as our products becomes more complex and the usage of our products increases. Moreover, our insurance may not be adequate to cover such liability and may be subject to exclusions. Any of the above circumstances or events may adversely affect our business, financial condition and results of operations.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ind w:right="60" w:firstLine="410"/>
        <w:spacing w:after="0" w:line="287" w:lineRule="auto"/>
        <w:rPr>
          <w:sz w:val="20"/>
          <w:szCs w:val="20"/>
          <w:color w:val="auto"/>
        </w:rPr>
      </w:pPr>
      <w:r>
        <w:rPr>
          <w:rFonts w:ascii="Arial" w:cs="Arial" w:eastAsia="Arial" w:hAnsi="Arial"/>
          <w:sz w:val="15"/>
          <w:szCs w:val="15"/>
          <w:color w:val="auto"/>
        </w:rPr>
        <w:t>Furthermore, our website and internal technology infrastructure may experience performance issues due to a variety of factors, including infrastructure changes, human or software errors, website or third-party hosting disruptions, capacity constraints, technical failures or natural disasters, or fraud, denial-of-service or other security attacks. Our use and distribution of open source software may increase this risk, as open source licensors generally do not provide warranties or other contractual protections regarding infringement claims or the quality of the code, including with respect to security vulnerabilities or bugs. If our website is unavailable or our customers are unable to order subscriptions or services or download our offerings within a reasonable period of time or at all, our business could be adversely affected. We expect to continue to make significant investments to maintain and improve website performance and to enable rapid releases of new features, integrations, capabilities and other enhancements for our offerings. To the extent that we do not effectively upgrade our systems as needed and continually develop our technology to accommodate actual and anticipated changes in technology, our business, financial condition and results of operations may be adversely affected.</w:t>
      </w:r>
    </w:p>
    <w:p>
      <w:pPr>
        <w:spacing w:after="0" w:line="157" w:lineRule="exact"/>
        <w:rPr>
          <w:sz w:val="20"/>
          <w:szCs w:val="20"/>
          <w:color w:val="auto"/>
        </w:rPr>
      </w:pPr>
    </w:p>
    <w:p>
      <w:pPr>
        <w:ind w:right="40" w:firstLine="410"/>
        <w:spacing w:after="0" w:line="269" w:lineRule="auto"/>
        <w:rPr>
          <w:sz w:val="20"/>
          <w:szCs w:val="20"/>
          <w:color w:val="auto"/>
        </w:rPr>
      </w:pPr>
      <w:r>
        <w:rPr>
          <w:rFonts w:ascii="Arial" w:cs="Arial" w:eastAsia="Arial" w:hAnsi="Arial"/>
          <w:sz w:val="16"/>
          <w:szCs w:val="16"/>
          <w:color w:val="auto"/>
        </w:rPr>
        <w:t>In the event that our service agreements with our third-party hosting services are terminated, or there is a lapse of service, elimination of services or features that we utilize, interruption of internet service provider connectivity or damage to our providers’ facilities, we could experience interruptions in access to our platform as well as significant delays and additional expense in arranging or creating new facilities and services and/or re-architecting our offerings for deployment on a different cloud infrastructure service provider, which could adversely affect our business, financial condition and results of operations. Upon the termination or expiration of such service agreements, we cannot guarantee that adequate third-party hosting services will be available to us from the same or different hosting services providers on commercially acceptable terms or within adequate timelines or at all.</w:t>
      </w:r>
    </w:p>
    <w:p>
      <w:pPr>
        <w:spacing w:after="0" w:line="169" w:lineRule="exact"/>
        <w:rPr>
          <w:sz w:val="20"/>
          <w:szCs w:val="20"/>
          <w:color w:val="auto"/>
        </w:rPr>
      </w:pPr>
    </w:p>
    <w:p>
      <w:pPr>
        <w:ind w:firstLine="410"/>
        <w:spacing w:after="0" w:line="288" w:lineRule="auto"/>
        <w:rPr>
          <w:sz w:val="20"/>
          <w:szCs w:val="20"/>
          <w:color w:val="auto"/>
        </w:rPr>
      </w:pPr>
      <w:r>
        <w:rPr>
          <w:rFonts w:ascii="Arial" w:cs="Arial" w:eastAsia="Arial" w:hAnsi="Arial"/>
          <w:sz w:val="15"/>
          <w:szCs w:val="15"/>
          <w:color w:val="auto"/>
        </w:rPr>
        <w:t>We also rely on cloud technologies from third parties in order to operate critical functions of our business, including financial management services, relationship management services, and lead generation management services. If these services become unavailable due to extended outages or interruptions or because they are no longer available on commercially reasonable terms or prices, our expenses could increase, our ability to manage our finances could be interrupted, our processes for managing sales of our products and supporting our customers could be impaired, and our ability to generate and manage sales leads could be weakened until equivalent services are identified, obtained, and implemented. Even if such services are available, we may not be able to identify, obtain and implement such services in time to avoid disruption to our business, and such services may only be available on a more costly basis or otherwise less favorable terms. Any of the foregoing could have a material adverse effect on our business, including our financial condition, results of operations and reputation.</w:t>
      </w:r>
    </w:p>
    <w:p>
      <w:pPr>
        <w:spacing w:after="0" w:line="158" w:lineRule="exact"/>
        <w:rPr>
          <w:sz w:val="20"/>
          <w:szCs w:val="20"/>
          <w:color w:val="auto"/>
        </w:rPr>
      </w:pPr>
    </w:p>
    <w:p>
      <w:pPr>
        <w:ind w:right="600"/>
        <w:spacing w:after="0" w:line="268" w:lineRule="auto"/>
        <w:rPr>
          <w:sz w:val="20"/>
          <w:szCs w:val="20"/>
          <w:color w:val="auto"/>
        </w:rPr>
      </w:pPr>
      <w:r>
        <w:rPr>
          <w:rFonts w:ascii="Arial" w:cs="Arial" w:eastAsia="Arial" w:hAnsi="Arial"/>
          <w:sz w:val="17"/>
          <w:szCs w:val="17"/>
          <w:b w:val="1"/>
          <w:bCs w:val="1"/>
          <w:i w:val="1"/>
          <w:iCs w:val="1"/>
          <w:color w:val="auto"/>
        </w:rPr>
        <w:t>Failure to protect or enforce our rights in our proprietary technology, brand and intellectual property could substantially harm our business and results of operations.</w:t>
      </w:r>
    </w:p>
    <w:p>
      <w:pPr>
        <w:spacing w:after="0" w:line="166" w:lineRule="exact"/>
        <w:rPr>
          <w:sz w:val="20"/>
          <w:szCs w:val="20"/>
          <w:color w:val="auto"/>
        </w:rPr>
      </w:pPr>
    </w:p>
    <w:p>
      <w:pPr>
        <w:ind w:right="60" w:firstLine="410"/>
        <w:spacing w:after="0" w:line="288" w:lineRule="auto"/>
        <w:rPr>
          <w:sz w:val="20"/>
          <w:szCs w:val="20"/>
          <w:color w:val="auto"/>
        </w:rPr>
      </w:pPr>
      <w:r>
        <w:rPr>
          <w:rFonts w:ascii="Arial" w:cs="Arial" w:eastAsia="Arial" w:hAnsi="Arial"/>
          <w:sz w:val="15"/>
          <w:szCs w:val="15"/>
          <w:color w:val="auto"/>
        </w:rPr>
        <w:t>Our success depends to a significant degree on our ability to protect our rights in our proprietary technology, methodologies, know-how, and brand. We rely on a combination of trademark, copyright, patent, trade secret and other intellectual property laws as well as contractual restrictions and confidentiality procedures to establish and protect our proprietary rights. However, we currently make certain components of our products available under open source licenses and release internal software projects under open source licenses, and anticipate doing so in the future in order to, among other things, encourage and develop a marketplace where third parties can create complementary products that will be able to connect to our Digital Adoption Platform. Because the source code of the components that we distribute under open source licenses is publicly available, our ability to monetize and protect our intellectual property rights with respect to such source code may be limited or, in some cases, lost entirely. Our competitors could access such source code and use it to create software and service offerings that compete with ours.</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9" w:name="page30"/>
    <w:bookmarkEnd w:id="29"/>
    <w:p>
      <w:pPr>
        <w:ind w:firstLine="410"/>
        <w:spacing w:after="0" w:line="284" w:lineRule="auto"/>
        <w:rPr>
          <w:sz w:val="20"/>
          <w:szCs w:val="20"/>
          <w:color w:val="auto"/>
        </w:rPr>
      </w:pPr>
      <w:r>
        <w:rPr>
          <w:rFonts w:ascii="Arial" w:cs="Arial" w:eastAsia="Arial" w:hAnsi="Arial"/>
          <w:sz w:val="15"/>
          <w:szCs w:val="15"/>
          <w:color w:val="auto"/>
        </w:rPr>
        <w:t>Further, the steps we take to protect and enforce our intellectual property rights may be inadequate. We may not be able to register our intellectual property rights in all jurisdictions where we conduct or anticipate conducting business, and may experience conflicts with third parties who contest our applications to register our intellectual property. Even if registered or issued, we cannot guarantee that our trademarks, patents, copyrights or other intellectual property or proprietary rights will be of sufficient scope or strength to provide us with any meaningful protection or commercial advantage. Not all of our key intellectual property is eligible for patent protection or can otherwise be registered. We will not be able to protect our intellectual property rights if we are unable to enforce our rights or if we do not detect unauthorized use of our intellectual property rights. Despite our precautions, it may be possible for unauthorized third parties to copy our products and use information that we regard as proprietary to create offerings that compete with ours. If we fail to defend and protect our intellectual property rights adequately, our competitors and other third parties may gain access to our proprietary technology, information and know-how, reverse-engineer our products, and infringe upon or dilute the value of our brand, and our business may be harmed. In addition, obtaining, maintaining, defending, and enforcing our intellectual property rights might entail significant expense. Any patents, trademarks, copyrights, or other intellectual property rights that we have or may obtain may be challenged by others or invalidated through administrative process or litigation. Even if we continue to seek patent protection in the future, we may be unable to obtain further patent protection for our technology. In addition, any patents issued in the future may not provide us with competitive advantages, may be designed around by our competitors, or may be successfully challenged by third parties. Furthermore, legal standards relating to the validity, enforceability, and scope of protection of intellectual property rights are uncertain.</w:t>
      </w:r>
    </w:p>
    <w:p>
      <w:pPr>
        <w:spacing w:after="0" w:line="158" w:lineRule="exact"/>
        <w:rPr>
          <w:sz w:val="20"/>
          <w:szCs w:val="20"/>
          <w:color w:val="auto"/>
        </w:rPr>
      </w:pPr>
    </w:p>
    <w:p>
      <w:pPr>
        <w:ind w:right="140" w:firstLine="410"/>
        <w:spacing w:after="0" w:line="250" w:lineRule="auto"/>
        <w:rPr>
          <w:sz w:val="20"/>
          <w:szCs w:val="20"/>
          <w:color w:val="auto"/>
        </w:rPr>
      </w:pPr>
      <w:r>
        <w:rPr>
          <w:rFonts w:ascii="Arial" w:cs="Arial" w:eastAsia="Arial" w:hAnsi="Arial"/>
          <w:sz w:val="17"/>
          <w:szCs w:val="17"/>
          <w:color w:val="auto"/>
        </w:rPr>
        <w:t>We may be unable to prevent third parties from acquiring domain names or trademarks that are similar to, infringe upon, dilute or diminish the value of our trademarks and other proprietary rights. Additionally, our trademarks may be opposed, otherwise challenged or declared invalid, unenforceable or generic, or determined to be infringing on or dilutive of other marks. We may not be able to protect our rights in these trademarks, which we need in order to build name recognition with customers. If third parties succeed in registering or developing common law rights in such trademarks and we are not successful in challenging such third-party rights, or if our trademark rights are successfully challenged, we may not be able to use our trademarks to commercialize our products in certain relevant jurisdictions.</w:t>
      </w:r>
    </w:p>
    <w:p>
      <w:pPr>
        <w:spacing w:after="0" w:line="184" w:lineRule="exact"/>
        <w:rPr>
          <w:sz w:val="20"/>
          <w:szCs w:val="20"/>
          <w:color w:val="auto"/>
        </w:rPr>
      </w:pPr>
    </w:p>
    <w:p>
      <w:pPr>
        <w:ind w:right="60" w:firstLine="410"/>
        <w:spacing w:after="0" w:line="251" w:lineRule="auto"/>
        <w:rPr>
          <w:sz w:val="20"/>
          <w:szCs w:val="20"/>
          <w:color w:val="auto"/>
        </w:rPr>
      </w:pPr>
      <w:r>
        <w:rPr>
          <w:rFonts w:ascii="Arial" w:cs="Arial" w:eastAsia="Arial" w:hAnsi="Arial"/>
          <w:sz w:val="17"/>
          <w:szCs w:val="17"/>
          <w:color w:val="auto"/>
        </w:rPr>
        <w:t>Effective patent, trademark, copyright, and trade secret protection may not be available to us in every country in which our products are available. The laws of some countries may not be as protective of intellectual property rights as those in the United States, and mechanisms for enforcement of intellectual property rights may be inadequate. As we continue to expand our international activities, our exposure to unauthorized copying and use of our products and proprietary information will likely increase. Accordingly, despite our efforts, we may be unable to prevent third parties from infringing upon, diluting, misappropriating or otherwise violating our intellectual property rights.</w:t>
      </w:r>
    </w:p>
    <w:p>
      <w:pPr>
        <w:spacing w:after="0" w:line="183" w:lineRule="exact"/>
        <w:rPr>
          <w:sz w:val="20"/>
          <w:szCs w:val="20"/>
          <w:color w:val="auto"/>
        </w:rPr>
      </w:pPr>
    </w:p>
    <w:p>
      <w:pPr>
        <w:ind w:right="40" w:firstLine="410"/>
        <w:spacing w:after="0" w:line="271" w:lineRule="auto"/>
        <w:rPr>
          <w:sz w:val="20"/>
          <w:szCs w:val="20"/>
          <w:color w:val="auto"/>
        </w:rPr>
      </w:pPr>
      <w:r>
        <w:rPr>
          <w:rFonts w:ascii="Arial" w:cs="Arial" w:eastAsia="Arial" w:hAnsi="Arial"/>
          <w:sz w:val="16"/>
          <w:szCs w:val="16"/>
          <w:color w:val="auto"/>
        </w:rPr>
        <w:t>We enter into confidential, non-compete, proprietary, and inventions assignment agreements with our employees and consultants and enter into confidentiality agreements with other parties. No assurance can be given that these agreements will grant all necessary rights to any inventions that may have been developed by the employees or consultants party thereto or be effective in controlling access to and distribution of our proprietary information, especially in certain states and countries, including Israel, that are less willing to enforce such agreements in certain cases. Further, these agreements may not prevent our competitors from independently developing technologies that are substantially equivalent or superior to our products.</w:t>
      </w:r>
    </w:p>
    <w:p>
      <w:pPr>
        <w:spacing w:after="0" w:line="166" w:lineRule="exact"/>
        <w:rPr>
          <w:sz w:val="20"/>
          <w:szCs w:val="20"/>
          <w:color w:val="auto"/>
        </w:rPr>
      </w:pPr>
    </w:p>
    <w:p>
      <w:pPr>
        <w:ind w:right="100" w:firstLine="410"/>
        <w:spacing w:after="0" w:line="285" w:lineRule="auto"/>
        <w:rPr>
          <w:sz w:val="20"/>
          <w:szCs w:val="20"/>
          <w:color w:val="auto"/>
        </w:rPr>
      </w:pPr>
      <w:r>
        <w:rPr>
          <w:rFonts w:ascii="Arial" w:cs="Arial" w:eastAsia="Arial" w:hAnsi="Arial"/>
          <w:sz w:val="15"/>
          <w:szCs w:val="15"/>
          <w:color w:val="auto"/>
        </w:rPr>
        <w:t>Policing and defending against unauthorized use of our know-how, technology and intellectual property is difficult, costly, time-consuming and may not be effective. Third parties may knowingly or unknowingly infringe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our executive leadership team and other employees, and could result in substantial royalties, license fees or other damages, or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the attention and resources of our executive leadership team or other employees, could delay further sales or the implementation of our products, require us to reengineer or impair the functionality of our products, delay introductions of new products, result in our substituting inferior or more costly technologies into our products, or injure our reputation. Any of the foregoing could materially and adversely affect our business, financial condition, results of operations and growth prospects.</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0" w:name="page31"/>
    <w:bookmarkEnd w:id="30"/>
    <w:p>
      <w:pPr>
        <w:ind w:right="440"/>
        <w:spacing w:after="0" w:line="268" w:lineRule="auto"/>
        <w:rPr>
          <w:sz w:val="20"/>
          <w:szCs w:val="20"/>
          <w:color w:val="auto"/>
        </w:rPr>
      </w:pPr>
      <w:r>
        <w:rPr>
          <w:rFonts w:ascii="Arial" w:cs="Arial" w:eastAsia="Arial" w:hAnsi="Arial"/>
          <w:sz w:val="17"/>
          <w:szCs w:val="17"/>
          <w:b w:val="1"/>
          <w:bCs w:val="1"/>
          <w:i w:val="1"/>
          <w:iCs w:val="1"/>
          <w:color w:val="auto"/>
        </w:rPr>
        <w:t>We could incur substantial costs and other harm to our business and results of operations as a result of any claim of infringement, misappropriation or other violation of another party’s intellectual property rights.</w:t>
      </w:r>
    </w:p>
    <w:p>
      <w:pPr>
        <w:spacing w:after="0" w:line="166" w:lineRule="exact"/>
        <w:rPr>
          <w:sz w:val="20"/>
          <w:szCs w:val="20"/>
          <w:color w:val="auto"/>
        </w:rPr>
      </w:pPr>
    </w:p>
    <w:p>
      <w:pPr>
        <w:ind w:right="20" w:firstLine="410"/>
        <w:spacing w:after="0" w:line="287" w:lineRule="auto"/>
        <w:rPr>
          <w:sz w:val="20"/>
          <w:szCs w:val="20"/>
          <w:color w:val="auto"/>
        </w:rPr>
      </w:pPr>
      <w:r>
        <w:rPr>
          <w:rFonts w:ascii="Arial" w:cs="Arial" w:eastAsia="Arial" w:hAnsi="Arial"/>
          <w:sz w:val="15"/>
          <w:szCs w:val="15"/>
          <w:color w:val="auto"/>
        </w:rPr>
        <w:t>In recent years, there has been significant litigation involving patents and other intellectual property rights in our industry. Compared to many larger, more established companies in our industry, we do not currently have a broad patent portfolio, which could prevent us from deterring patent infringement claims through our own patent portfolio, and our competitors and others may now and in the future have significantly broader and more mature patent portfolios than we have. There is a risk that our operations, platform or individual solutions may infringe or otherwise violate, or be alleged to infringe or otherwise violate, the intellectual property rights of third parties. We could incur substantial costs in defending any intellectual property litigation. If we are sued by a third party that claims that our products infringe, misappropriate or otherwise violate their intellectual property rights, the litigation could be expensive and could divert our attention and resources of our executive leadership team or other employees. In addition, there could be public announcements of the results of hearings, motions or other interim proceedings or developments, and if securities analysts or investors perceive these results to be negative, it could have a material adverse effect on the price of our ordinary shares.</w:t>
      </w:r>
    </w:p>
    <w:p>
      <w:pPr>
        <w:spacing w:after="0" w:line="157" w:lineRule="exact"/>
        <w:rPr>
          <w:sz w:val="20"/>
          <w:szCs w:val="20"/>
          <w:color w:val="auto"/>
        </w:rPr>
      </w:pPr>
    </w:p>
    <w:p>
      <w:pPr>
        <w:ind w:right="320" w:firstLine="410"/>
        <w:spacing w:after="0" w:line="268" w:lineRule="auto"/>
        <w:rPr>
          <w:sz w:val="20"/>
          <w:szCs w:val="20"/>
          <w:color w:val="auto"/>
        </w:rPr>
      </w:pPr>
      <w:r>
        <w:rPr>
          <w:rFonts w:ascii="Arial" w:cs="Arial" w:eastAsia="Arial" w:hAnsi="Arial"/>
          <w:sz w:val="17"/>
          <w:szCs w:val="17"/>
          <w:color w:val="auto"/>
        </w:rPr>
        <w:t>Any intellectual property litigation to which we might become a party, or for which we are required to provide indemnification, regardless of the merit of the claim or our defense, may require us to do one or more of the following:</w:t>
      </w:r>
    </w:p>
    <w:p>
      <w:pPr>
        <w:spacing w:after="0" w:line="166" w:lineRule="exact"/>
        <w:rPr>
          <w:sz w:val="20"/>
          <w:szCs w:val="20"/>
          <w:color w:val="auto"/>
        </w:rPr>
      </w:pPr>
    </w:p>
    <w:p>
      <w:pPr>
        <w:ind w:left="740" w:hanging="325"/>
        <w:spacing w:after="0" w:line="268"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cease selling or using products or technology that incorporate or cover the intellectual property rights that we allegedly infringe, misappropriate or otherwise violate;</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make substantial payments for royalty or license fees, legal fees, settlement payments or other costs or damages;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 a license, which may not be available on reasonable terms or at all, to sell or use the relevant technology or intellectual property; or</w:t>
      </w:r>
    </w:p>
    <w:p>
      <w:pPr>
        <w:spacing w:after="0" w:line="206" w:lineRule="exact"/>
        <w:rPr>
          <w:rFonts w:ascii="Arial" w:cs="Arial" w:eastAsia="Arial" w:hAnsi="Arial"/>
          <w:sz w:val="17"/>
          <w:szCs w:val="17"/>
          <w:color w:val="auto"/>
        </w:rPr>
      </w:pPr>
    </w:p>
    <w:p>
      <w:pPr>
        <w:ind w:left="740" w:right="100" w:hanging="325"/>
        <w:spacing w:after="0" w:line="268"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redesign the allegedly infringing products or technology to avoid infringement, misappropriation or other violation, which could be costly, time-consuming or impossible.</w:t>
      </w:r>
    </w:p>
    <w:p>
      <w:pPr>
        <w:spacing w:after="0" w:line="166" w:lineRule="exact"/>
        <w:rPr>
          <w:sz w:val="20"/>
          <w:szCs w:val="20"/>
          <w:color w:val="auto"/>
        </w:rPr>
      </w:pPr>
    </w:p>
    <w:p>
      <w:pPr>
        <w:ind w:right="140" w:firstLine="410"/>
        <w:spacing w:after="0" w:line="251" w:lineRule="auto"/>
        <w:rPr>
          <w:sz w:val="20"/>
          <w:szCs w:val="20"/>
          <w:color w:val="auto"/>
        </w:rPr>
      </w:pPr>
      <w:r>
        <w:rPr>
          <w:rFonts w:ascii="Arial" w:cs="Arial" w:eastAsia="Arial" w:hAnsi="Arial"/>
          <w:sz w:val="17"/>
          <w:szCs w:val="17"/>
          <w:color w:val="auto"/>
        </w:rPr>
        <w:t>Moreover, any such litigation could also affect the use of our platform by our customers, partners, affiliates and other third parties, which may result and substantial damages to them and to us (including indemnification obligations). If we are required to make substantial payments or undertake or suffer any of the other actions and consequences noted above as a result of any intellectual property infringement, misappropriation or violation claims against us or any obligation to indemnify our customers for such claims, such payments, actions and consequences could materially and adversely affect our business, financial condition, results of operations and growth prospects.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ind w:right="260"/>
        <w:spacing w:after="0" w:line="268" w:lineRule="auto"/>
        <w:rPr>
          <w:sz w:val="20"/>
          <w:szCs w:val="20"/>
          <w:color w:val="auto"/>
        </w:rPr>
      </w:pPr>
      <w:r>
        <w:rPr>
          <w:rFonts w:ascii="Arial" w:cs="Arial" w:eastAsia="Arial" w:hAnsi="Arial"/>
          <w:sz w:val="17"/>
          <w:szCs w:val="17"/>
          <w:b w:val="1"/>
          <w:bCs w:val="1"/>
          <w:i w:val="1"/>
          <w:iCs w:val="1"/>
          <w:color w:val="auto"/>
        </w:rPr>
        <w:t>Indemnity provisions in various agreements potentially expose us to substantial liability for intellectual property infringement, misappropriation, violation, and other losses.</w:t>
      </w:r>
    </w:p>
    <w:p>
      <w:pPr>
        <w:spacing w:after="0" w:line="166" w:lineRule="exact"/>
        <w:rPr>
          <w:sz w:val="20"/>
          <w:szCs w:val="20"/>
          <w:color w:val="auto"/>
        </w:rPr>
      </w:pPr>
    </w:p>
    <w:p>
      <w:pPr>
        <w:ind w:firstLine="410"/>
        <w:spacing w:after="0" w:line="287" w:lineRule="auto"/>
        <w:rPr>
          <w:sz w:val="20"/>
          <w:szCs w:val="20"/>
          <w:color w:val="auto"/>
        </w:rPr>
      </w:pPr>
      <w:r>
        <w:rPr>
          <w:rFonts w:ascii="Arial" w:cs="Arial" w:eastAsia="Arial" w:hAnsi="Arial"/>
          <w:sz w:val="15"/>
          <w:szCs w:val="15"/>
          <w:color w:val="auto"/>
        </w:rPr>
        <w:t>Our agreements with customers and other third parties may include indemnification provisions under which we agree to indemnify them for losses suffered or incurred as a result of claims of intellectual property infringement, misappropriation or other violation, damages caused by us to property or persons, or other liabilities relating to or arising from our products, services or other contractual obligations. Large indemnity payments could harm our business, financial condition and results of operations. Although we normally seek to contractually limit our liability with respect to such indemnity obligations, we do not and may not in the future have a cap on our liability in certain agreements, which could result in substantial liability, and we may still incur significant liability under agreements that do have such a cap. Moreover, even if contractually capped or limited, such limitations and caps may not always be enforceable. Any dispute with a customer or other third party with respect to such obligations could have adverse effects on our relationship with that customer, other existing customers and new customers, and other parties, and could harm our reputation, business, financial condition and results of operations.</w:t>
      </w:r>
    </w:p>
    <w:p>
      <w:pPr>
        <w:spacing w:after="0" w:line="157"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b w:val="1"/>
          <w:bCs w:val="1"/>
          <w:i w:val="1"/>
          <w:iCs w:val="1"/>
          <w:color w:val="auto"/>
        </w:rPr>
        <w:t>We are subject to stringent and changing laws, regulations, standards, and contractual obligations related to privacy, data protection, and data security. Our actual or perceived failure to comply with such obligations could result in significant liability or reputational harm to our business.</w:t>
      </w:r>
    </w:p>
    <w:p>
      <w:pPr>
        <w:spacing w:after="0" w:line="144" w:lineRule="exact"/>
        <w:rPr>
          <w:sz w:val="20"/>
          <w:szCs w:val="20"/>
          <w:color w:val="auto"/>
        </w:rPr>
      </w:pPr>
    </w:p>
    <w:p>
      <w:pPr>
        <w:ind w:firstLine="410"/>
        <w:spacing w:after="0" w:line="265" w:lineRule="auto"/>
        <w:rPr>
          <w:sz w:val="20"/>
          <w:szCs w:val="20"/>
          <w:color w:val="auto"/>
        </w:rPr>
      </w:pPr>
      <w:r>
        <w:rPr>
          <w:rFonts w:ascii="Arial" w:cs="Arial" w:eastAsia="Arial" w:hAnsi="Arial"/>
          <w:sz w:val="16"/>
          <w:szCs w:val="16"/>
          <w:color w:val="auto"/>
        </w:rPr>
        <w:t>We are subject to numerous laws, directives and regulations, in multiple jurisdictions and territories, regarding privacy, data protection, and data security and the collection, storing, sharing, use, processing, transfer, disclosure, and protection of personal information and other data, the scope and extent of which are complex, changing, subject to differing interpretations, and may be inconsistent among jurisdictions or conflict with other legal and regulatory requirements. We are also subject to certain contractual obligations to third parties related to privacy, data protection and data security, and may comply with, or face asserted or actual obligations to comply with, self-regulatory frameworks and other standards. While we strive to comply with our applicable policies and applicable laws, regulations, contractual obligations, and other actual and alleged legal obligations relating to privacy, data protection, and data security, we may not be successful in complying with the rapidly evolving privacy, data protection, and data security requirements to which we are subject. Further, any significant change to applicable laws, regulations or industry practices regarding the collection, use, retention, security or disclosure of data, or their interpretation, or any changes regarding the manner in which the consent of users or other data subjects for the collection, use, retention or disclosure of such data must be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175" w:lineRule="exact"/>
        <w:rPr>
          <w:sz w:val="20"/>
          <w:szCs w:val="20"/>
          <w:color w:val="auto"/>
        </w:rPr>
      </w:pPr>
    </w:p>
    <w:p>
      <w:pPr>
        <w:ind w:right="180" w:firstLine="410"/>
        <w:spacing w:after="0" w:line="288" w:lineRule="auto"/>
        <w:rPr>
          <w:sz w:val="20"/>
          <w:szCs w:val="20"/>
          <w:color w:val="auto"/>
        </w:rPr>
      </w:pPr>
      <w:r>
        <w:rPr>
          <w:rFonts w:ascii="Arial" w:cs="Arial" w:eastAsia="Arial" w:hAnsi="Arial"/>
          <w:sz w:val="15"/>
          <w:szCs w:val="15"/>
          <w:color w:val="auto"/>
        </w:rPr>
        <w:t>If we were found in violation of any applicable laws or regulations relating to privacy, data protection, or security, or faced claims or accusations of such violations, our business may be materially and adversely affected and we would likely have to change our business practices and potentially the services and features available through our platform. In addition, these laws and regulations could impose significant costs on us and could constrain our ability to use and process data in manners that may be commercially desirable. In addition, if a breach of data security or security incident were to occur or to be alleged to have occurred, if any violation of laws and regulations relating to privacy, data protection or data security were to be alleged, or if we had any actual or alleged defect in our safeguards or practices relating to privacy, data protection, or data security, our solutions may be perceived as less desirable and our business, financial condition, market position, reputation, results of operations and growth prospects could be materially and adversely affected.</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2" w:name="page33"/>
    <w:bookmarkEnd w:id="32"/>
    <w:p>
      <w:pPr>
        <w:ind w:right="120" w:firstLine="410"/>
        <w:spacing w:after="0" w:line="282" w:lineRule="auto"/>
        <w:rPr>
          <w:sz w:val="20"/>
          <w:szCs w:val="20"/>
          <w:color w:val="auto"/>
        </w:rPr>
      </w:pPr>
      <w:r>
        <w:rPr>
          <w:rFonts w:ascii="Arial" w:cs="Arial" w:eastAsia="Arial" w:hAnsi="Arial"/>
          <w:sz w:val="15"/>
          <w:szCs w:val="15"/>
          <w:color w:val="auto"/>
        </w:rPr>
        <w:t>We expect that there will continue to be new laws, regulations, and industry standards concerning privacy, data protection, and data security proposed and enacted in various jurisdictions, and to which we may become subject. For example, the California Consumer Privacy Act (“CCPA”), which came into force in 2020, provides new data privacy rights for California consumers and new operational requirements for covered companies. Specifically, the CCPA mandates that covered companies provide new disclosures to California consumers and afford such consumers new data privacy rights that include, among other things, the right to request a copy from a covered company of the personal information collected about them, the right to request deletion of such personal information, and the right to request</w:t>
      </w:r>
    </w:p>
    <w:p>
      <w:pPr>
        <w:spacing w:after="0" w:line="3"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to opt-out of certain sales of such personal information. The California Attorney General can enforce the CCPA, including seeking an injunction and civil penalties for violations. The CCPA also provides a private right of action for certain data breaches that is expected to increase data breach litigation. Additionally, a new privacy law, the California Privacy Rights Act (“CPRA”), was approved by California voters in late 2020. The CPRA generally takes effect on January 1, 2023 and significantly modifies the CCPA, including by expanding consumers’ rights with respect to certain personal information and creating a new state agency to oversee implementation and enforcement efforts. Some observers have noted the CCPA and CPRA could mark the beginning of a trend toward more stringent privacy legislation in the United States, which could also increase our potential liability and adversely affect our business. In addition, the CCPA has encouraged “copycat” or other similar laws to be considered and proposed in other states across the country.For example, Virginia and Colorado have enacted the Consumer Data Protection Act (“VCDPA”) and the Colorado Privacy Act (“COPA”), respectively, which will go into effect in 2023 and will impose obligations similar to or more stringent than those we may face under other data protection laws. Broad federal privacy legislation also has been proposed. Recent and new state and federal legislation relating to privacy may add additional complexity, variation in requirements, restrictions and potential legal risk, require additional to compliance programs, could impact strategies and availability of previously useful data and could result in increased compliance costs and/or changes in business practices and policies.</w:t>
      </w:r>
    </w:p>
    <w:p>
      <w:pPr>
        <w:spacing w:after="0" w:line="161"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We are also subject to data privacy and security laws in jurisdictions outside of the United States. We are subject to, among other laws and regulations, the GDPR, and the UK GDPR, which each impose a strict data protection compliance regime in relation to our collection, control, processing, sharing, disclosure and other use of data relating to an identifiable living individual (personal data). The GDPR and UK GDPR also regulate cross-border transfers of personal data out of the European Economic Area (“EEA”) and the UK, respectively.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3" w:name="page34"/>
    <w:bookmarkEnd w:id="33"/>
    <w:p>
      <w:pPr>
        <w:ind w:right="60" w:firstLine="410"/>
        <w:spacing w:after="0" w:line="285" w:lineRule="auto"/>
        <w:rPr>
          <w:sz w:val="20"/>
          <w:szCs w:val="20"/>
          <w:color w:val="auto"/>
        </w:rPr>
      </w:pPr>
      <w:r>
        <w:rPr>
          <w:rFonts w:ascii="Arial" w:cs="Arial" w:eastAsia="Arial" w:hAnsi="Arial"/>
          <w:sz w:val="15"/>
          <w:szCs w:val="15"/>
          <w:color w:val="auto"/>
        </w:rPr>
        <w:t>Recent legal developments in the EU have created complexity and uncertainty regarding such transfers. On July 16, 2020, the Court of Justice of the European Union (the “CJEU”) invalidated the EU-U.S. Privacy Shield Framework (the “Privacy Shield”) under which personal data could be transferred from the EEA to relevant self-certified U.S. entities. The CJEU further noted that reliance on the standard contractual clauses (a standard form of contract approved by the European Commission as an adequate personal data transfer mechanism and potential alternative to the Privacy Shield) alone may not necessarily be sufficient in all circumstances and that transfers must be assessed on a case-by-case basis. We currently rely on the standard contractual clauses to transfer personal information outside the EEA and the UK, including to the United States. European court and regulatory decisions subsequent to the CJEU decision of July 16, 2020 have taken a restrictive approach to international data transfers, including certain decisions that the use of Google Analytics by European website operators involves the unlawful transfer of personal data to the United States. As the enforcement landscape further develops, and supervisory authorities issue further guidance on – and revised standard contractual clauses for - international data transfers, we could: suffer additional costs, complaints and/or regulatory investigations or fines; have to stop using certain tools and vendors and make other operational changes; have to implement revised standard contractual clauses for existing intragroup, customer and vendor arrangements within required time frames; and/or it could otherwise affect the manner in which we provide our services.</w:t>
      </w:r>
    </w:p>
    <w:p>
      <w:pPr>
        <w:spacing w:after="0" w:line="157" w:lineRule="exact"/>
        <w:rPr>
          <w:sz w:val="20"/>
          <w:szCs w:val="20"/>
          <w:color w:val="auto"/>
        </w:rPr>
      </w:pPr>
    </w:p>
    <w:p>
      <w:pPr>
        <w:ind w:firstLine="410"/>
        <w:spacing w:after="0" w:line="274" w:lineRule="auto"/>
        <w:rPr>
          <w:sz w:val="20"/>
          <w:szCs w:val="20"/>
          <w:color w:val="auto"/>
        </w:rPr>
      </w:pPr>
      <w:r>
        <w:rPr>
          <w:rFonts w:ascii="Arial" w:cs="Arial" w:eastAsia="Arial" w:hAnsi="Arial"/>
          <w:sz w:val="16"/>
          <w:szCs w:val="16"/>
          <w:color w:val="auto"/>
        </w:rPr>
        <w:t>Failure to comply with the GDPR and/ or the UK GDPR could result in penalties for noncompliance (including possible fines of up to the greater of €20 million/ £17.5 million or 4% of our global annual turnover for the preceding financial year for the most serious violations). In addition to the foregoing, a breach of the GDPR or UK GDPR could result in regulatory investigations, reputational damage, orders to cease/change our processing of our data, enforcement notices and/or assessment notices (for a compulsory audit), and/or civil claims (including class actions) for compensation or damages.</w:t>
      </w:r>
    </w:p>
    <w:p>
      <w:pPr>
        <w:spacing w:after="0" w:line="164" w:lineRule="exact"/>
        <w:rPr>
          <w:sz w:val="20"/>
          <w:szCs w:val="20"/>
          <w:color w:val="auto"/>
        </w:rPr>
      </w:pPr>
    </w:p>
    <w:p>
      <w:pPr>
        <w:ind w:firstLine="410"/>
        <w:spacing w:after="0" w:line="288" w:lineRule="auto"/>
        <w:rPr>
          <w:sz w:val="20"/>
          <w:szCs w:val="20"/>
          <w:color w:val="auto"/>
        </w:rPr>
      </w:pPr>
      <w:r>
        <w:rPr>
          <w:rFonts w:ascii="Arial" w:cs="Arial" w:eastAsia="Arial" w:hAnsi="Arial"/>
          <w:sz w:val="15"/>
          <w:szCs w:val="15"/>
          <w:color w:val="auto"/>
        </w:rPr>
        <w:t>We are also subject to evolving EU and UK privacy laws on cookies, tracking technologies and e-marketing. Recent European court and regulatory decisions are driving increased attention to cookies and tracking technologies. If the trend of increasing enforcement by regulators of the strict approach to opt-in consent for all but essential use cases in recent guidance and decisions continues, this could lead to substantial costs, require significant systems changes, limit the effectiveness of our marketing activities, divert the attention of our technology personnel, adversely affect our margins, increase costs and subject us to additional liabilities. In light of the complex and evolving nature of EEA, EEA Member State and UK privacy laws on cookies and tracking technologies, there can be no assurances that we will be successful in our efforts to comply with such laws; violations of such laws could result in regulatory investigations, fines, orders to cease/change our use of such technologies, as well as civil claims including class action type litigation, and reputational damage.</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4" w:name="page35"/>
    <w:bookmarkEnd w:id="34"/>
    <w:p>
      <w:pPr>
        <w:ind w:firstLine="410"/>
        <w:spacing w:after="0" w:line="284" w:lineRule="auto"/>
        <w:rPr>
          <w:sz w:val="20"/>
          <w:szCs w:val="20"/>
          <w:color w:val="auto"/>
        </w:rPr>
      </w:pPr>
      <w:r>
        <w:rPr>
          <w:rFonts w:ascii="Arial" w:cs="Arial" w:eastAsia="Arial" w:hAnsi="Arial"/>
          <w:sz w:val="15"/>
          <w:szCs w:val="15"/>
          <w:color w:val="auto"/>
        </w:rPr>
        <w:t>In addition, we are subject to the Israeli Privacy Protection Law 5741-1981 (the “PPL”), and its regulations, including the Israeli Privacy Protection Regulations (Data Security) 2017 (“Data Security Regulations”), which impose obligations with respect to the manner personal data is processed, maintained, transferred, disclosed, accessed and secured, as well as the guidelines of the Israeli Privacy Protection Authority and Amendment No. 40 to the Communications Law (Telecommunications and Broadcasting), 5742-1982. The Data Security Regulations may require us to adjust our data protection and data security practices, information security measures, certain organizational procedures, applicable positions (such as an information security manager) and other technical and organizational security measures. Failure to comply with the PPL, its regulations and guidelines issued by the Israeli Privacy Protection Authority may expose us to administrative fines, civil claims (including class actions) and in certain cases criminal liability. Current pending legislation may result in a change of the current enforcement measures and sanctions. The Israeli Privacy Protection Authority may initiate administrative inspection proceedings, from time to time, without any suspicion of any particular breach of the PPL, as it has done in the past with respect to dozens of Israeli companies in various business sectors. In addition, to the extent that any administrative supervision procedure is initiated by the Israeli Privacy Protection Authority and reveals certain irregularities with respect to our compliance with the PPL, in addition to our exposure to administrative fines, civil claims (including class actions) and in certain cases criminal liability, we may also need to take certain remedial actions to rectify such irregularities, which may increase our costs.</w:t>
      </w:r>
    </w:p>
    <w:p>
      <w:pPr>
        <w:spacing w:after="0" w:line="162" w:lineRule="exact"/>
        <w:rPr>
          <w:sz w:val="20"/>
          <w:szCs w:val="20"/>
          <w:color w:val="auto"/>
        </w:rPr>
      </w:pPr>
    </w:p>
    <w:p>
      <w:pPr>
        <w:ind w:firstLine="410"/>
        <w:spacing w:after="0" w:line="265" w:lineRule="auto"/>
        <w:rPr>
          <w:sz w:val="20"/>
          <w:szCs w:val="20"/>
          <w:color w:val="auto"/>
        </w:rPr>
      </w:pPr>
      <w:r>
        <w:rPr>
          <w:rFonts w:ascii="Arial" w:cs="Arial" w:eastAsia="Arial" w:hAnsi="Arial"/>
          <w:sz w:val="16"/>
          <w:szCs w:val="16"/>
          <w:color w:val="auto"/>
        </w:rPr>
        <w:t>Any failure or perceived failure by us to comply with our posted privacy policies, our privacy-related obligations to users or other third parties, or any other legal obligations or regulatory requirements relating to privacy, data protection, or data security, may result in governmental investigations or enforcement actions, litigation, claims, or public statements against us by consumer advocacy groups or others and could result in significant liability, cause our users to lose trust in us, and otherwise materially and adversely affect our reputation and business. Furthermore, the costs of compliance with, and other burdens imposed by, the laws, regulations, other obligations, and policies that are applicable to the businesses of our customers and other users may limit the adoption and use of, and reduce the overall demand for, our platform. Additionally, if third parties we work with violate applicable laws, regulations or contractual obligations, such violations may put our users’ data at risk, could result in governmental investigations or enforcement actions, fines, litigation, claims, or public statements against us by consumer advocacy groups or others and could result in significant liability, cause our users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 Any of the foregoing could materially and adversely affect our business, financial condition and results of operations.</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auto"/>
        </w:rPr>
        <w:t>Our use of open source software could negatively affect our ability to sell our products and subject us to possible litigation.</w:t>
      </w:r>
    </w:p>
    <w:p>
      <w:pPr>
        <w:spacing w:after="0" w:line="206" w:lineRule="exact"/>
        <w:rPr>
          <w:sz w:val="20"/>
          <w:szCs w:val="20"/>
          <w:color w:val="auto"/>
        </w:rPr>
      </w:pPr>
    </w:p>
    <w:p>
      <w:pPr>
        <w:ind w:right="60" w:firstLine="410"/>
        <w:spacing w:after="0" w:line="283" w:lineRule="auto"/>
        <w:rPr>
          <w:sz w:val="20"/>
          <w:szCs w:val="20"/>
          <w:color w:val="auto"/>
        </w:rPr>
      </w:pPr>
      <w:r>
        <w:rPr>
          <w:rFonts w:ascii="Arial" w:cs="Arial" w:eastAsia="Arial" w:hAnsi="Arial"/>
          <w:sz w:val="15"/>
          <w:szCs w:val="15"/>
          <w:color w:val="auto"/>
        </w:rPr>
        <w:t>We use “open source” software in connection with the development and deployment of our products, including in our products, and we expect to continue to use open source software in the future. Few of the licenses applicable to certain open source software that we use have been interpreted by courts, and there is a risk that these licenses could be construed in a manner that could impose unanticipated conditions or restrictions on our ability to commercialize our products. For example, some open source licenses may subject us to requirements that we make available, in certain cases and if the component subject of the open source license is used in a particular manner, the source code for modifications or derivative works we create based upon, incorporating, linking to or using the open source software (which could include valuable proprietary code),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 the open source software and required to comply with onerous conditions or restrictions on these products, which could disrupt the distribution and sale of these products. In addition, there have been claims challenging the ownership rights in open source software against companies that incorporate open source software into their products, and the licensors of such open source software provide no warranties or indemnities with respect to such claims. In any of these events, we and our customers could be required to seek licenses from third parties in order to continue offering our products, and to re-engineer our products or discontinue the sale of our products in the event re-engineering cannot be accomplished on a timely basis or at all. We and our customers may also be subject to suits by parties claiming infringement, misappropriation or other violation of third-party intellectual property rights due to the reliance by our solutions on certain open source software, and such litigation could be costly for us to defend and subject us to an injunction, payments for damages and other liabilities and obligations.</w:t>
      </w:r>
    </w:p>
    <w:p>
      <w:pPr>
        <w:spacing w:after="0" w:line="163" w:lineRule="exact"/>
        <w:rPr>
          <w:sz w:val="20"/>
          <w:szCs w:val="20"/>
          <w:color w:val="auto"/>
        </w:rPr>
      </w:pPr>
    </w:p>
    <w:p>
      <w:pPr>
        <w:ind w:right="40" w:firstLine="410"/>
        <w:spacing w:after="0" w:line="266" w:lineRule="auto"/>
        <w:rPr>
          <w:sz w:val="20"/>
          <w:szCs w:val="20"/>
          <w:color w:val="auto"/>
        </w:rPr>
      </w:pPr>
      <w:r>
        <w:rPr>
          <w:rFonts w:ascii="Arial" w:cs="Arial" w:eastAsia="Arial" w:hAnsi="Arial"/>
          <w:sz w:val="16"/>
          <w:szCs w:val="16"/>
          <w:color w:val="auto"/>
        </w:rPr>
        <w:t>Further, in addition to risks related to license requirements, use of certain open source software carries greater technical and legal risks than does the use of third-party commercial software. For example, open source software is generally provided without any support or warranties or other contractual protections regarding infringement or the quality of the code, including the existence of security vulnerabilities. Some open source projects provided on an “as is” basis have known or unknown vulnerabilities and architectural instabilities which, if not properly addressed, could negatively affect the performance of any product incorporating the relevant software. To the extent that our platform depends upon the successful operation of open source software, any undetected errors or defects in open source software that we use could prevent the deployment or impair the functionality of our systems and injure our reputation. In addition, the public availability of such software may make it easier for others to compromise our platform. Any of the foregoing could result in lost revenue, require us to devote additional research and development resources to re-engineer our solutions, cause us to incur additional costs and expenses, and result in customer dissatisfaction, any of which could adversely affect our business, financial condition and results of operations.</w:t>
      </w:r>
    </w:p>
    <w:p>
      <w:pPr>
        <w:spacing w:after="0" w:line="173"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b w:val="1"/>
          <w:bCs w:val="1"/>
          <w:i w:val="1"/>
          <w:iCs w:val="1"/>
          <w:color w:val="auto"/>
        </w:rPr>
        <w:t>We rely on software and services licensed from other parties. The loss of software or services from third parties could increase our costs and limit the features available in our platform and products.</w:t>
      </w:r>
    </w:p>
    <w:p>
      <w:pPr>
        <w:spacing w:after="0" w:line="166" w:lineRule="exact"/>
        <w:rPr>
          <w:sz w:val="20"/>
          <w:szCs w:val="20"/>
          <w:color w:val="auto"/>
        </w:rPr>
      </w:pPr>
    </w:p>
    <w:p>
      <w:pPr>
        <w:ind w:firstLine="410"/>
        <w:spacing w:after="0" w:line="290" w:lineRule="auto"/>
        <w:rPr>
          <w:sz w:val="20"/>
          <w:szCs w:val="20"/>
          <w:color w:val="auto"/>
        </w:rPr>
      </w:pPr>
      <w:r>
        <w:rPr>
          <w:rFonts w:ascii="Arial" w:cs="Arial" w:eastAsia="Arial" w:hAnsi="Arial"/>
          <w:sz w:val="15"/>
          <w:szCs w:val="15"/>
          <w:color w:val="auto"/>
        </w:rPr>
        <w:t>Components of our offerings include various types of software and services licensed from unaffiliated parties. If any of the software or services we license from others or functional equivalents thereof were either no longer available to us or no longer offered on commercially reasonable terms, we would be required to either redesign the offerings that include such software or services to function with software or services available from other parties or develop these components ourselves, which we may not be able to do without incurring increased costs, experiencing delays in our product launches and the release of new offerings. Furthermore, we might be forced to temporarily limit the features available in our current or future products. If we fail to maintain or renegotiate any of these software or service licenses, we could face delays and diversion of resources in attempting to license and integrate functional equivalents.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Risks Related to Other Legal, Regulatory and Tax Matters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a variety of laws and regulations, both in the United States and internationally, many of which are evolving.</w:t>
      </w:r>
    </w:p>
    <w:p>
      <w:pPr>
        <w:spacing w:after="0" w:line="206" w:lineRule="exact"/>
        <w:rPr>
          <w:sz w:val="20"/>
          <w:szCs w:val="20"/>
          <w:color w:val="auto"/>
        </w:rPr>
      </w:pPr>
    </w:p>
    <w:p>
      <w:pPr>
        <w:ind w:firstLine="410"/>
        <w:spacing w:after="0" w:line="266" w:lineRule="auto"/>
        <w:rPr>
          <w:sz w:val="20"/>
          <w:szCs w:val="20"/>
          <w:color w:val="auto"/>
        </w:rPr>
      </w:pPr>
      <w:r>
        <w:rPr>
          <w:rFonts w:ascii="Arial" w:cs="Arial" w:eastAsia="Arial" w:hAnsi="Arial"/>
          <w:sz w:val="16"/>
          <w:szCs w:val="16"/>
          <w:color w:val="auto"/>
        </w:rPr>
        <w:t>We are subject to a wide variety of laws and regulations. Laws, regulations and standards governing issues such as worker classification, employment, payments, worker confidentiality obligations, intellectual property, consumer protection, taxation, privacy, data protection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and mobile and related technologies and, as a result, do not contemplate or address the unique issues of the internet and related technologies. Other laws and regulations may be adopted in response to internet, mobile and related technologies. New and existing laws and regulations (or changes in interpretation of existing laws and regulations) may also be adopted, implemented, or interpreted to apply to us and other technology companies. As the geographic scope of our business expands, regulatory agencies or courts may claim that we, or our customers or users, are subject to additional requirements, or that we are prohibited from conducting our business in or with certain jurisdictions.</w:t>
      </w:r>
    </w:p>
    <w:p>
      <w:pPr>
        <w:spacing w:after="0" w:line="173"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addition, recent financial, political and other events may increase the level of regulatory scrutiny on technology companies generally. Regulatory agencies may enact new laws or promulgate new regulations that are adverse to our business, or they may view matters or interpret laws and regulations differently than they have in the past or in a manner adverse to our business. Such regulatory scrutiny or action may create or further exacerbate different or conflicting obligations on us from one jurisdiction to another.</w:t>
      </w:r>
    </w:p>
    <w:p>
      <w:pPr>
        <w:spacing w:after="0" w:line="180" w:lineRule="exact"/>
        <w:rPr>
          <w:sz w:val="20"/>
          <w:szCs w:val="20"/>
          <w:color w:val="auto"/>
        </w:rPr>
      </w:pPr>
    </w:p>
    <w:p>
      <w:pPr>
        <w:ind w:right="560" w:firstLine="410"/>
        <w:spacing w:after="0" w:line="299" w:lineRule="auto"/>
        <w:rPr>
          <w:sz w:val="20"/>
          <w:szCs w:val="20"/>
          <w:color w:val="auto"/>
        </w:rPr>
      </w:pPr>
      <w:r>
        <w:rPr>
          <w:rFonts w:ascii="Arial" w:cs="Arial" w:eastAsia="Arial" w:hAnsi="Arial"/>
          <w:sz w:val="16"/>
          <w:szCs w:val="16"/>
          <w:color w:val="auto"/>
        </w:rPr>
        <w:t>As a result of the foregoing, we may incur increased costs, be exposed to increased risk of liability and face additional challenges expanding our business operations, any of which would adversely affect our business, financial condition, results of operations and growth prospects.</w:t>
      </w:r>
    </w:p>
    <w:p>
      <w:pPr>
        <w:spacing w:after="0" w:line="144" w:lineRule="exact"/>
        <w:rPr>
          <w:sz w:val="20"/>
          <w:szCs w:val="20"/>
          <w:color w:val="auto"/>
        </w:rPr>
      </w:pPr>
    </w:p>
    <w:p>
      <w:pPr>
        <w:jc w:val="both"/>
        <w:ind w:right="100"/>
        <w:spacing w:after="0" w:line="257" w:lineRule="auto"/>
        <w:rPr>
          <w:sz w:val="20"/>
          <w:szCs w:val="20"/>
          <w:color w:val="auto"/>
        </w:rPr>
      </w:pPr>
      <w:r>
        <w:rPr>
          <w:rFonts w:ascii="Arial" w:cs="Arial" w:eastAsia="Arial" w:hAnsi="Arial"/>
          <w:sz w:val="17"/>
          <w:szCs w:val="17"/>
          <w:b w:val="1"/>
          <w:bCs w:val="1"/>
          <w:i w:val="1"/>
          <w:iCs w:val="1"/>
          <w:color w:val="auto"/>
        </w:rPr>
        <w:t>Legal, political, and economic uncertainty surrounding the exit of the United Kingdom from the EU may be a source of instability to international markets, create significant currency fluctuations, adversely affect our operations in the United Kingdom and pose additional risks to our business, financial condition and results of operations.</w:t>
      </w:r>
    </w:p>
    <w:p>
      <w:pPr>
        <w:spacing w:after="0" w:line="175" w:lineRule="exact"/>
        <w:rPr>
          <w:sz w:val="20"/>
          <w:szCs w:val="20"/>
          <w:color w:val="auto"/>
        </w:rPr>
      </w:pPr>
    </w:p>
    <w:p>
      <w:pPr>
        <w:ind w:right="40" w:firstLine="410"/>
        <w:spacing w:after="0" w:line="290" w:lineRule="auto"/>
        <w:rPr>
          <w:sz w:val="20"/>
          <w:szCs w:val="20"/>
          <w:color w:val="auto"/>
        </w:rPr>
      </w:pPr>
      <w:r>
        <w:rPr>
          <w:rFonts w:ascii="Arial" w:cs="Arial" w:eastAsia="Arial" w:hAnsi="Arial"/>
          <w:sz w:val="15"/>
          <w:szCs w:val="15"/>
          <w:color w:val="auto"/>
        </w:rPr>
        <w:t>In connection with Brexit,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155" w:lineRule="exact"/>
        <w:rPr>
          <w:sz w:val="20"/>
          <w:szCs w:val="20"/>
          <w:color w:val="auto"/>
        </w:rPr>
      </w:pPr>
    </w:p>
    <w:p>
      <w:pPr>
        <w:ind w:firstLine="410"/>
        <w:spacing w:after="0" w:line="286" w:lineRule="auto"/>
        <w:rPr>
          <w:sz w:val="20"/>
          <w:szCs w:val="20"/>
          <w:color w:val="auto"/>
        </w:rPr>
      </w:pPr>
      <w:r>
        <w:rPr>
          <w:rFonts w:ascii="Arial" w:cs="Arial" w:eastAsia="Arial" w:hAnsi="Arial"/>
          <w:sz w:val="15"/>
          <w:szCs w:val="15"/>
          <w:color w:val="auto"/>
        </w:rPr>
        <w:t>These developments and the continued uncertainty regarding the terms of the relationship between the United Kingdom and the European Union post-Brexit may have a material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have been and may continue to be subject to increased market volatility. Lack of clarity about future UK laws and regulations as the United Kingdom determines which EU laws to replace or replicate, including financial laws and regulations, tax and free trade agreements, tax and customs laws, intellectual property rights, environmental, health and safety laws and regulations, immigration laws, employment laws and transport laws could increase the costs of doing business in the United Kingdom and depress economic activity. Additionally, the need to comply with any applicable regulatory changes will likely increase costs for us and our existing and potential customers located in the United Kingdom, which could negatively affect demand for our offerings and the ability of customers to make payments under their agreements with us. Any of these factors could have a significant adverse effect on our business, financial condition, results of operations and prospects.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ind w:right="180"/>
        <w:spacing w:after="0" w:line="268" w:lineRule="auto"/>
        <w:rPr>
          <w:sz w:val="20"/>
          <w:szCs w:val="20"/>
          <w:color w:val="auto"/>
        </w:rPr>
      </w:pPr>
      <w:r>
        <w:rPr>
          <w:rFonts w:ascii="Arial" w:cs="Arial" w:eastAsia="Arial" w:hAnsi="Arial"/>
          <w:sz w:val="17"/>
          <w:szCs w:val="17"/>
          <w:b w:val="1"/>
          <w:bCs w:val="1"/>
          <w:i w:val="1"/>
          <w:iCs w:val="1"/>
          <w:color w:val="auto"/>
        </w:rPr>
        <w:t>We are subject to various governmental export control, trade sanctions, and import laws and regulations that could impair our ability to compete in international markets or subject us to liability if we violate these controls.</w:t>
      </w:r>
    </w:p>
    <w:p>
      <w:pPr>
        <w:spacing w:after="0" w:line="166" w:lineRule="exact"/>
        <w:rPr>
          <w:sz w:val="20"/>
          <w:szCs w:val="20"/>
          <w:color w:val="auto"/>
        </w:rPr>
      </w:pPr>
    </w:p>
    <w:p>
      <w:pPr>
        <w:ind w:right="100" w:firstLine="410"/>
        <w:spacing w:after="0" w:line="269" w:lineRule="auto"/>
        <w:rPr>
          <w:sz w:val="20"/>
          <w:szCs w:val="20"/>
          <w:color w:val="auto"/>
        </w:rPr>
      </w:pPr>
      <w:r>
        <w:rPr>
          <w:rFonts w:ascii="Arial" w:cs="Arial" w:eastAsia="Arial" w:hAnsi="Arial"/>
          <w:sz w:val="16"/>
          <w:szCs w:val="16"/>
          <w:color w:val="auto"/>
        </w:rPr>
        <w:t>In some cases, our products are subject to export control laws and regulations, including the Export Administration Regulations administered by the U.S. Department of Commerce, and the Israeli Control of Products and Services Decree (Engagement in Encryption), 5735-1974, and our activities may be subject to trade and economic sanctions, including those administered or governed by OFAC, the Israeli Trade with the Enemy Ordinance, 1939 and sanction laws of the European Union and other applicable jurisdictions (collectively, “Trade Controls”). As such, a license may be required to export or re-export our products, or provide related services, to certain countries, customers and other users, as well as for certain end uses. Further, our products that incorporate encryption functionality may be subject to special controls applying to encryption items and/or certain reporting requirements.</w:t>
      </w:r>
    </w:p>
    <w:p>
      <w:pPr>
        <w:spacing w:after="0" w:line="169" w:lineRule="exact"/>
        <w:rPr>
          <w:sz w:val="20"/>
          <w:szCs w:val="20"/>
          <w:color w:val="auto"/>
        </w:rPr>
      </w:pPr>
    </w:p>
    <w:p>
      <w:pPr>
        <w:ind w:firstLine="410"/>
        <w:spacing w:after="0" w:line="283" w:lineRule="auto"/>
        <w:rPr>
          <w:sz w:val="20"/>
          <w:szCs w:val="20"/>
          <w:color w:val="auto"/>
        </w:rPr>
      </w:pPr>
      <w:r>
        <w:rPr>
          <w:rFonts w:ascii="Arial" w:cs="Arial" w:eastAsia="Arial" w:hAnsi="Arial"/>
          <w:sz w:val="15"/>
          <w:szCs w:val="15"/>
          <w:color w:val="auto"/>
        </w:rPr>
        <w:t>While we are in the process of implementing additional procedures designed to ensure our compliance with Trade Controls, we cannot guarantee that we have not made accessible, or will not make accessible, inadvertently our services to persons in violation of Trade Controls, or that our customers have not permitted or, despite these procedures, will not in the future permit our services to be used by parties in countries or territories subject to Trade Controls. For example, we recently implemented geo-location blocking through a third party to prevent content created by our customers using our tools from being accessed by users of our customers from IP addresses potentially linked to countries subject to Trade Controls, but we cannot be certain that this technique will work in all circumstances. In addition, prior to implementation of these geo-location blocking techniques, some users of our customers, while not having access to our platform, have had access from IP addresses potentially linked to countries subject to Trade Controls to customer created content, such as application guides or walkthrus created by the customer using our tools. Further, the recent outbreak of war in Ukraine has prompted the U.S. and other governments to impose new Trade Controls on Russia, among other countries, and related parties. Additional Trade Controls by the U.S. and other governments enacted due to geopolitics or otherwise, and any counter-sanctions enacted in response, could restrict our ability to operate, generate or collect revenue in certain other countries, which could adversely affect our business. The failure to comply with Trade Controls could subject us to both civil and criminal penalties, including substantial fines, possible incarceration of responsible individuals for willful violations, possible loss of our export or import privileges, and reputational harm. Further, the process for obtaining necessary licenses may be time-consuming or unsuccessful, potentially causing delays in sales or losses of sales opportunities. Trade Controls are complex and dynamic regimes, and monitoring and ensuring compliance can be challenging, particularly given that our products are widely distributed throughout the world and are available for download without registration. Any failure by us or our partners to comply with applicable laws and regulations would have negative consequences for us, including reputational harm, government investigations, and penalties.</w:t>
      </w:r>
    </w:p>
    <w:p>
      <w:pPr>
        <w:spacing w:after="0" w:line="364" w:lineRule="exact"/>
        <w:rPr>
          <w:sz w:val="20"/>
          <w:szCs w:val="20"/>
          <w:color w:val="auto"/>
        </w:rPr>
      </w:pPr>
    </w:p>
    <w:p>
      <w:pPr>
        <w:ind w:right="40" w:firstLine="410"/>
        <w:spacing w:after="0" w:line="286" w:lineRule="auto"/>
        <w:rPr>
          <w:sz w:val="20"/>
          <w:szCs w:val="20"/>
          <w:color w:val="auto"/>
        </w:rPr>
      </w:pPr>
      <w:r>
        <w:rPr>
          <w:rFonts w:ascii="Arial" w:cs="Arial" w:eastAsia="Arial" w:hAnsi="Arial"/>
          <w:sz w:val="15"/>
          <w:szCs w:val="15"/>
          <w:color w:val="auto"/>
        </w:rPr>
        <w:t>In addition, various countries regulate the import of certain encryption technology, including through import permit and license requirements, and have enacted laws that could limit our ability to distribute our offerings or the ability of our customers or their employees or end customers to implement our offerings in those countries. Changes in our offerings or changes in export and import regulations in such countries may create delays in the introduction of our offerings into international markets, prevent our end-customers with international operations from deploying our offerings globally or, in some cases, prevent or delay the export or import of our offerings to certain countries, governments, or persons altogether. Any change in export or import laws or regulations, economic sanctions or related legislation, shift in the enforcement or scope of existing export, import or sanctions laws or regulations, or change in the countries, governments, persons, or technologies targeted by such export, import or sanctions laws or regulations, could result in decreased use of our offerings by, or in our decreased ability to export or sell our offerings to, existing or potential customers with international operations. Any decreased use of our offerings or limitation on our ability to export to or sell our offerings in international markets could adversely affect our business, financial condition and results of operations, and our ability to execute our growth strategy.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8" w:name="page39"/>
    <w:bookmarkEnd w:id="38"/>
    <w:p>
      <w:pPr>
        <w:ind w:right="180"/>
        <w:spacing w:after="0" w:line="268" w:lineRule="auto"/>
        <w:rPr>
          <w:sz w:val="20"/>
          <w:szCs w:val="20"/>
          <w:color w:val="auto"/>
        </w:rPr>
      </w:pPr>
      <w:r>
        <w:rPr>
          <w:rFonts w:ascii="Arial" w:cs="Arial" w:eastAsia="Arial" w:hAnsi="Arial"/>
          <w:sz w:val="17"/>
          <w:szCs w:val="17"/>
          <w:b w:val="1"/>
          <w:bCs w:val="1"/>
          <w:i w:val="1"/>
          <w:iCs w:val="1"/>
          <w:color w:val="auto"/>
        </w:rPr>
        <w:t>Changes in laws and regulations related to the internet, changes in the internet infrastructure itself, or increases in the cost of internet connectivity and network access may diminish the demand for our offerings and could harm our business.</w:t>
      </w:r>
    </w:p>
    <w:p>
      <w:pPr>
        <w:spacing w:after="0" w:line="166" w:lineRule="exact"/>
        <w:rPr>
          <w:sz w:val="20"/>
          <w:szCs w:val="20"/>
          <w:color w:val="auto"/>
        </w:rPr>
      </w:pPr>
    </w:p>
    <w:p>
      <w:pPr>
        <w:ind w:right="100" w:firstLine="410"/>
        <w:spacing w:after="0" w:line="285" w:lineRule="auto"/>
        <w:rPr>
          <w:sz w:val="20"/>
          <w:szCs w:val="20"/>
          <w:color w:val="auto"/>
        </w:rPr>
      </w:pPr>
      <w:r>
        <w:rPr>
          <w:rFonts w:ascii="Arial" w:cs="Arial" w:eastAsia="Arial" w:hAnsi="Arial"/>
          <w:sz w:val="15"/>
          <w:szCs w:val="15"/>
          <w:color w:val="auto"/>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our offerings, increase our cost of doing business, and adversely affect our results of operations. Changes in these laws or regulations could require us to modify our offerings, or certain aspects of our offerings,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quality of our customers’ and other users’ access to the internet.</w:t>
      </w:r>
    </w:p>
    <w:p>
      <w:pPr>
        <w:spacing w:after="0" w:line="161" w:lineRule="exact"/>
        <w:rPr>
          <w:sz w:val="20"/>
          <w:szCs w:val="20"/>
          <w:color w:val="auto"/>
        </w:rPr>
      </w:pPr>
    </w:p>
    <w:p>
      <w:pPr>
        <w:ind w:firstLine="410"/>
        <w:spacing w:after="0" w:line="266" w:lineRule="auto"/>
        <w:rPr>
          <w:sz w:val="20"/>
          <w:szCs w:val="20"/>
          <w:color w:val="auto"/>
        </w:rPr>
      </w:pPr>
      <w:r>
        <w:rPr>
          <w:rFonts w:ascii="Arial" w:cs="Arial" w:eastAsia="Arial" w:hAnsi="Arial"/>
          <w:sz w:val="16"/>
          <w:szCs w:val="16"/>
          <w:color w:val="auto"/>
        </w:rPr>
        <w:t>On June 11, 2018, the repeal of the Federal Communications Commission’s (the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w:t>
      </w:r>
    </w:p>
    <w:p>
      <w:pPr>
        <w:spacing w:after="0" w:line="173" w:lineRule="exact"/>
        <w:rPr>
          <w:sz w:val="20"/>
          <w:szCs w:val="20"/>
          <w:color w:val="auto"/>
        </w:rPr>
      </w:pPr>
    </w:p>
    <w:p>
      <w:pPr>
        <w:ind w:firstLine="410"/>
        <w:spacing w:after="0" w:line="250" w:lineRule="auto"/>
        <w:rPr>
          <w:sz w:val="20"/>
          <w:szCs w:val="20"/>
          <w:color w:val="auto"/>
        </w:rPr>
      </w:pPr>
      <w:r>
        <w:rPr>
          <w:rFonts w:ascii="Arial" w:cs="Arial" w:eastAsia="Arial" w:hAnsi="Arial"/>
          <w:sz w:val="17"/>
          <w:szCs w:val="17"/>
          <w:color w:val="auto"/>
        </w:rPr>
        <w:t>As the internet continues to experience growth in the number of users, frequency of use, and amount of data transmitted, the internet infrastructure that we and our customers and other users rely on may be unable to support the demands placed upon it. The failure of the internet infrastructure that we or our customers and other users rely on, even for a short period of time, could adversely affect our business, financial condition and results of operations. In addition,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offerings could decline.</w:t>
      </w:r>
    </w:p>
    <w:p>
      <w:pPr>
        <w:spacing w:after="0" w:line="18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Internet access is frequently provided by companies that have significant market power and the ability to take actions that degrade, disrupt, or increase the cost of customers’ access to our offerings. As demand for online media increases, there can be no assurance that internet and network service providers will continue to price their network access services on reasonable terms. We could incur greater operating expenses and our customer acquisition and retention could be negatively impacted if network operators:</w:t>
      </w:r>
    </w:p>
    <w:p>
      <w:pPr>
        <w:spacing w:after="0" w:line="180" w:lineRule="exact"/>
        <w:rPr>
          <w:sz w:val="20"/>
          <w:szCs w:val="20"/>
          <w:color w:val="auto"/>
        </w:rPr>
      </w:pPr>
    </w:p>
    <w:p>
      <w:pPr>
        <w:ind w:left="740" w:hanging="325"/>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implement usage-based pricing;</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discount pricing for competitive products;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otherwise materially change their pricing rates or schemes;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charge us to deliver our traffic at certain levels or at all;</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throttle traffic based on its source or type;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9" w:name="page40"/>
    <w:bookmarkEnd w:id="39"/>
    <w:p>
      <w:pPr>
        <w:ind w:left="740" w:hanging="325"/>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implement bandwidth caps or other usage restrictions; or</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otherwise try to monetize or control access to their networks.</w:t>
      </w:r>
    </w:p>
    <w:p>
      <w:pPr>
        <w:spacing w:after="0" w:line="206" w:lineRule="exact"/>
        <w:rPr>
          <w:sz w:val="20"/>
          <w:szCs w:val="20"/>
          <w:color w:val="auto"/>
        </w:rPr>
      </w:pPr>
    </w:p>
    <w:p>
      <w:pPr>
        <w:ind w:right="400" w:firstLine="410"/>
        <w:spacing w:after="0" w:line="268" w:lineRule="auto"/>
        <w:rPr>
          <w:sz w:val="20"/>
          <w:szCs w:val="20"/>
          <w:color w:val="auto"/>
        </w:rPr>
      </w:pPr>
      <w:r>
        <w:rPr>
          <w:rFonts w:ascii="Arial" w:cs="Arial" w:eastAsia="Arial" w:hAnsi="Arial"/>
          <w:sz w:val="17"/>
          <w:szCs w:val="17"/>
          <w:color w:val="auto"/>
        </w:rPr>
        <w:t>We have limited or no control over the extent to which any of these circumstances may occur, and if network access or distribution prices rise, our business, financial condition and results of operations would likely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comply with anti-bribery, anti-corruption, anti-money laundering laws, and similar laws, could subject us to penalties and other adverse consequences.</w:t>
      </w:r>
    </w:p>
    <w:p>
      <w:pPr>
        <w:spacing w:after="0" w:line="241" w:lineRule="exact"/>
        <w:rPr>
          <w:sz w:val="20"/>
          <w:szCs w:val="20"/>
          <w:color w:val="auto"/>
        </w:rPr>
      </w:pPr>
    </w:p>
    <w:p>
      <w:pPr>
        <w:ind w:right="80" w:firstLine="410"/>
        <w:spacing w:after="0" w:line="268" w:lineRule="auto"/>
        <w:rPr>
          <w:sz w:val="20"/>
          <w:szCs w:val="20"/>
          <w:color w:val="auto"/>
        </w:rPr>
      </w:pPr>
      <w:r>
        <w:rPr>
          <w:rFonts w:ascii="Arial" w:cs="Arial" w:eastAsia="Arial" w:hAnsi="Arial"/>
          <w:sz w:val="16"/>
          <w:szCs w:val="16"/>
          <w:color w:val="auto"/>
        </w:rPr>
        <w:t>We are subject to the U.S. Foreign Corrupt Practices Act of 1977, as amended (the “FCPA”), the U.S. domestic bribery statute contained in 18 U.S.C. § 201, the U.S. Travel Act, the USA PATRIOT Act, the United Kingdom Bribery Act 2010, the Proceeds of Crime Act 2002, Chapter 9 (sub-chapter 5) of the Israeli Penal Law, 5737-1977, the Israeli Prohibition on Money Laundering Law, 5760–2000 and additional anti-bribery or anti-corruption laws, regulations, or rules of the countries in which we operate. These laws generally prohibit companies and their employees and third-party partners, representatives, and agents from engaging in corruption and bribery, including by offering, promising, giving, or authorizing the provision of anything of value, either directly or indirectly, to a government official or commercial party to influence official action, direct business to any person, gain any improper advantage, or obtain or retain business. Anti-corruption and anti-bribery laws have been enforced aggressively in recent years and are interpreted broadly.</w:t>
      </w:r>
    </w:p>
    <w:p>
      <w:pPr>
        <w:spacing w:after="0" w:line="169" w:lineRule="exact"/>
        <w:rPr>
          <w:sz w:val="20"/>
          <w:szCs w:val="20"/>
          <w:color w:val="auto"/>
        </w:rPr>
      </w:pPr>
    </w:p>
    <w:p>
      <w:pPr>
        <w:ind w:right="140" w:firstLine="410"/>
        <w:spacing w:after="0" w:line="269" w:lineRule="auto"/>
        <w:rPr>
          <w:sz w:val="20"/>
          <w:szCs w:val="20"/>
          <w:color w:val="auto"/>
        </w:rPr>
      </w:pPr>
      <w:r>
        <w:rPr>
          <w:rFonts w:ascii="Arial" w:cs="Arial" w:eastAsia="Arial" w:hAnsi="Arial"/>
          <w:sz w:val="16"/>
          <w:szCs w:val="16"/>
          <w:color w:val="auto"/>
        </w:rPr>
        <w:t>We sometimes leverage third parties to sell our products and conduct certain aspects of our business abroad. We and our third-party partners may have direct or indirect interactions with officials and employees of government agencies or state-owned or affiliated entities and may be held liable for inaccurate or incomplete accounting records, internal accounting controls deemed inadequate by applicable regulatory authorities, and corrupt or other illegal activities of our employees, affiliates, third-party partners, representatives, and agents, even if we do not explicitly authorize such activities. We cannot assure you that our employees and other agents, or those of our partners, will not take actions in violation of applicable law, for which we may be ultimately held responsible. As we increase our international sales and business operations, our risks under these laws are likely to increase.</w:t>
      </w:r>
    </w:p>
    <w:p>
      <w:pPr>
        <w:spacing w:after="0" w:line="169" w:lineRule="exact"/>
        <w:rPr>
          <w:sz w:val="20"/>
          <w:szCs w:val="20"/>
          <w:color w:val="auto"/>
        </w:rPr>
      </w:pPr>
    </w:p>
    <w:p>
      <w:pPr>
        <w:ind w:firstLine="410"/>
        <w:spacing w:after="0" w:line="269" w:lineRule="auto"/>
        <w:rPr>
          <w:sz w:val="20"/>
          <w:szCs w:val="20"/>
          <w:color w:val="auto"/>
        </w:rPr>
      </w:pPr>
      <w:r>
        <w:rPr>
          <w:rFonts w:ascii="Arial" w:cs="Arial" w:eastAsia="Arial" w:hAnsi="Arial"/>
          <w:sz w:val="16"/>
          <w:szCs w:val="16"/>
          <w:color w:val="auto"/>
        </w:rPr>
        <w:t>Any actual or alleged violation of the FCPA or other applicable anti-bribery, anti-corruption or anti-money laundering laws could result in whistleblower complaints, sanctions, settlements, prosecution, enforcement actions, fines, damages, adverse media coverage, investigations, loss of export privileges, severe criminal or civil sanctions, or suspension or debarment from U.S. government contracts, all of which may have an adverse effect on our reputation, business, financial condition, results of operations, and prospects. Responding to any investigation or action will likely result in a materially significant diversion of the attention and resources of our executive leadership team and other employees and cause us to incur significant defense costs and other professional fees. In addition, the U.S. government may seek to hold us liable for FCPA violations committed by companies that we invest in or acquire.</w:t>
      </w:r>
    </w:p>
    <w:p>
      <w:pPr>
        <w:spacing w:after="0" w:line="169"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b w:val="1"/>
          <w:bCs w:val="1"/>
          <w:i w:val="1"/>
          <w:iCs w:val="1"/>
          <w:color w:val="auto"/>
        </w:rPr>
        <w:t>Unanticipated changes in effective tax rates or adverse outcomes resulting from examination of our income or other tax returns could expose us to greater than anticipated tax liabilities.</w:t>
      </w:r>
    </w:p>
    <w:p>
      <w:pPr>
        <w:spacing w:after="0" w:line="166" w:lineRule="exact"/>
        <w:rPr>
          <w:sz w:val="20"/>
          <w:szCs w:val="20"/>
          <w:color w:val="auto"/>
        </w:rPr>
      </w:pPr>
    </w:p>
    <w:p>
      <w:pPr>
        <w:ind w:right="20" w:firstLine="410"/>
        <w:spacing w:after="0" w:line="287" w:lineRule="auto"/>
        <w:rPr>
          <w:sz w:val="20"/>
          <w:szCs w:val="20"/>
          <w:color w:val="auto"/>
        </w:rPr>
      </w:pPr>
      <w:r>
        <w:rPr>
          <w:rFonts w:ascii="Arial" w:cs="Arial" w:eastAsia="Arial" w:hAnsi="Arial"/>
          <w:sz w:val="15"/>
          <w:szCs w:val="15"/>
          <w:color w:val="auto"/>
        </w:rPr>
        <w:t>The tax laws applicable to our business, including the laws of Israel, the United States, and other jurisdictions, are subject to interpretation and certain jurisdictions may aggressively interpret their laws in an effort to raise additional tax revenue. The taxing authorities of the jurisdictions in which we operate may challenge our methodologies for valuing developed technology or intercompany arrangements or our revenue recognition policies, which could increase our worldwide effective tax rate and harm our financial position and results of operations. It is possible that tax authorities may disagree with certain positions we have taken and any adverse outcome of such a review or audit could have a negative effect on our financial position and results of operations. Further, the determination of our worldwide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consolidated financial statements and may materially affect our financial results in the period or periods for which such determination is made.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ind w:right="320"/>
        <w:spacing w:after="0" w:line="268" w:lineRule="auto"/>
        <w:rPr>
          <w:sz w:val="20"/>
          <w:szCs w:val="20"/>
          <w:color w:val="auto"/>
        </w:rPr>
      </w:pPr>
      <w:r>
        <w:rPr>
          <w:rFonts w:ascii="Arial" w:cs="Arial" w:eastAsia="Arial" w:hAnsi="Arial"/>
          <w:sz w:val="17"/>
          <w:szCs w:val="17"/>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66" w:lineRule="exact"/>
        <w:rPr>
          <w:sz w:val="20"/>
          <w:szCs w:val="20"/>
          <w:color w:val="auto"/>
        </w:rPr>
      </w:pPr>
    </w:p>
    <w:p>
      <w:pPr>
        <w:ind w:firstLine="410"/>
        <w:spacing w:after="0" w:line="285" w:lineRule="auto"/>
        <w:rPr>
          <w:sz w:val="20"/>
          <w:szCs w:val="20"/>
          <w:color w:val="auto"/>
        </w:rPr>
      </w:pPr>
      <w:r>
        <w:rPr>
          <w:rFonts w:ascii="Arial" w:cs="Arial" w:eastAsia="Arial" w:hAnsi="Arial"/>
          <w:sz w:val="15"/>
          <w:szCs w:val="15"/>
          <w:color w:val="auto"/>
        </w:rPr>
        <w:t>Based on our current corporate structure, we are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These authorities could also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interest, and penalties. Such authorities could claim that various withholding requirements apply to us or our subsidiaries or assert that benefits of tax treaties are not available to us or our subsidiaries. Any increase in the amount of taxes we pay or that are imposed on us could increase our worldwide effective tax rate and harm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 relating to multinational corporations could adversely affect our tax position.</w:t>
      </w:r>
    </w:p>
    <w:p>
      <w:pPr>
        <w:spacing w:after="0" w:line="206" w:lineRule="exact"/>
        <w:rPr>
          <w:sz w:val="20"/>
          <w:szCs w:val="20"/>
          <w:color w:val="auto"/>
        </w:rPr>
      </w:pPr>
    </w:p>
    <w:p>
      <w:pPr>
        <w:ind w:firstLine="410"/>
        <w:spacing w:after="0" w:line="265" w:lineRule="auto"/>
        <w:rPr>
          <w:sz w:val="20"/>
          <w:szCs w:val="20"/>
          <w:color w:val="auto"/>
        </w:rPr>
      </w:pPr>
      <w:r>
        <w:rPr>
          <w:rFonts w:ascii="Arial" w:cs="Arial" w:eastAsia="Arial" w:hAnsi="Arial"/>
          <w:sz w:val="16"/>
          <w:szCs w:val="16"/>
          <w:color w:val="auto"/>
        </w:rPr>
        <w:t>The member countries of the Organization for Economic Co-operation and Development (“OECD”), with the support of the G20, initiated the base erosion and profit shifting (“BEPS”) project in 2013 in response to concerns that changes were needed to international tax laws. In November 2015, the G20 finance ministers adopted final BEPS reports designed to prevent, among other things, the artificial shifting of income to low-tax jurisdictions, and legislation to adopt and implement the standards set forth in such reports has been enacted or is currently under consideration in a number of jurisdictions. In May 2019, the OECD published a “Programme of Work,” which was divided into two pillars. Pillar One focused on the allocation of group profits among taxing jurisdictions based on a market-based concept rather than the historical “permanent establishment” concept. Pillar Two, among other things, introduced a global minimum tax. More recently, on October 10, 2021, 137 member jurisdictions of the G20/OECD Inclusive Framework on BEPS (including Israel) joined the “Statement on a Two-Pillar Solution to Address the Tax Challenges Arising from the Digitalisation of the Economy” which sets forth the key terms of such two-pillar solution, including a reallocation of taxing rights among market jurisdictions under Pillar One and a global minimum tax rate of 15% under Pillar Two. As this framework is subject to further negotiation, final approval by the G20, and implementation by each member country, the timing and ultimate impact of any such changes on our tax obligations are uncertain. These changes, when enacted, by various countries in which we do business may increase our taxes in these countries. The foregoing tax changes and other possible future tax changes may have an adverse impact on us.</w:t>
      </w:r>
    </w:p>
    <w:p>
      <w:pPr>
        <w:spacing w:after="0" w:line="17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i w:val="1"/>
          <w:iCs w:val="1"/>
          <w:color w:val="auto"/>
        </w:rPr>
        <w:t>We could be required to collect additional sales, use, value added, digital services or other similar taxes or be subject to other liabilities that may increase the costs our clients would have to pay for our products and adversely affect our results of operations.</w:t>
      </w:r>
    </w:p>
    <w:p>
      <w:pPr>
        <w:spacing w:after="0" w:line="166" w:lineRule="exact"/>
        <w:rPr>
          <w:sz w:val="20"/>
          <w:szCs w:val="20"/>
          <w:color w:val="auto"/>
        </w:rPr>
      </w:pPr>
    </w:p>
    <w:p>
      <w:pPr>
        <w:ind w:right="40" w:firstLine="410"/>
        <w:spacing w:after="0" w:line="283" w:lineRule="auto"/>
        <w:rPr>
          <w:sz w:val="20"/>
          <w:szCs w:val="20"/>
          <w:color w:val="auto"/>
        </w:rPr>
      </w:pPr>
      <w:r>
        <w:rPr>
          <w:rFonts w:ascii="Arial" w:cs="Arial" w:eastAsia="Arial" w:hAnsi="Arial"/>
          <w:sz w:val="15"/>
          <w:szCs w:val="15"/>
          <w:color w:val="auto"/>
        </w:rPr>
        <w:t>We collect sales, value added and other similar taxes in a number of jurisdictions. One or more U.S. states or countries may seek to impose incremental or new sales, use, value added, digital services, or other tax collection obligations on us. Further, an increasing number of U.S. states have considered or adopted laws that attempt to impose tax collection obligations on out-of-state companies. Additionally, the Supreme Court of the United States has ruled that online sellers can be required to collect sales and use tax despite not having a physical presence in the state of the customer, thus permitting a wider enforcement of such sales and use tax collection requirements against non-U.S. companies that have historically not been responsible for state or local tax collection unless they had physical presence in the U.S. customer’s state. As a result, U.S. states and local governments may adopt, or begin to enforce, laws requiring us to calculate, collect, and remit taxes on sales in their jurisdictions, even if we have no physical presence in that jurisdiction. A successful assertion by one or more U.S. states requiring us to collect taxes where we presently do not do so, or to collect more taxes in a jurisdiction in which we currently do collect some taxes, could result in substantial liabilities, including taxes on past sales, as well as interest and penalties. Furthermore, certain jurisdictions, such as the United Kingdom and France, have recently introduced a digital services tax, which is generally a tax on gross revenue generated from users or customers located in those jurisdictions, and other jurisdictions have enacted or are considering enacting similar laws. A successful assertion by a U.S. state or local government, or other country or jurisdiction that we should have been or should be collecting additional sales, use, value added, digital services or other similar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to offset future taxable income may be subject to certain limitations.</w:t>
      </w:r>
    </w:p>
    <w:p>
      <w:pPr>
        <w:spacing w:after="0" w:line="206" w:lineRule="exact"/>
        <w:rPr>
          <w:sz w:val="20"/>
          <w:szCs w:val="20"/>
          <w:color w:val="auto"/>
        </w:rPr>
      </w:pPr>
    </w:p>
    <w:p>
      <w:pPr>
        <w:ind w:firstLine="410"/>
        <w:spacing w:after="0" w:line="266" w:lineRule="auto"/>
        <w:rPr>
          <w:sz w:val="20"/>
          <w:szCs w:val="20"/>
          <w:color w:val="auto"/>
        </w:rPr>
      </w:pPr>
      <w:r>
        <w:rPr>
          <w:rFonts w:ascii="Arial" w:cs="Arial" w:eastAsia="Arial" w:hAnsi="Arial"/>
          <w:sz w:val="16"/>
          <w:szCs w:val="16"/>
          <w:color w:val="auto"/>
        </w:rPr>
        <w:t>As of December 31, 2021, we had net operating loss carryforwards of $248.4 million in Israel and federal net operating loss carryforwards of $21.7 million in the United States, which may be utilized against future income taxes. Limitations imposed by the applicable jurisdictions on our ability to utilize net operating loss carryforwards, including with respect to the net operating loss carryforwards of companies that we have acquired or may acquire in the future, could cause income taxes to be paid earlier than would be paid if such limitations were not in effect and could cause such net operating loss carryforwards to expire unused, in each case reducing or eliminating the benefit of such net operating loss carryforwards. Furthermore, we may not be able to generate sufficient taxable income to utilize our net operating loss carryforwards before they expire. If any of these events occur, we may not derive some or all of the expected benefits from our net operating loss carryforwards. Also, any available net operating loss carryforwards would have value only to the extent there is income in the future against which such net operating loss carryforwards may be offset. For these reasons, we may not be able to realize a tax benefit from the use of our net operating loss carryforwards, whether or not we attain profitability. We have recorded a full valuation allowance related to our carryforwards due to the uncertainty of the ultimate realization of the future benefits of those assets.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06" w:lineRule="exact"/>
        <w:rPr>
          <w:sz w:val="20"/>
          <w:szCs w:val="20"/>
          <w:color w:val="auto"/>
        </w:rPr>
      </w:pPr>
    </w:p>
    <w:p>
      <w:pPr>
        <w:ind w:right="60" w:firstLine="410"/>
        <w:spacing w:after="0" w:line="251" w:lineRule="auto"/>
        <w:rPr>
          <w:sz w:val="20"/>
          <w:szCs w:val="20"/>
          <w:color w:val="auto"/>
        </w:rPr>
      </w:pPr>
      <w:r>
        <w:rPr>
          <w:rFonts w:ascii="Arial" w:cs="Arial" w:eastAsia="Arial" w:hAnsi="Arial"/>
          <w:sz w:val="17"/>
          <w:szCs w:val="17"/>
          <w:color w:val="auto"/>
        </w:rPr>
        <w:t>The accounting rules and regulations that we must comply with are complex and subject to interpretation by the Financial Accounting Standards Board (“FASB”), the SEC and various bodies formed to promulgate and interpret appropriate accounting principles. Recent actions and public comments from the FASB and the SEC have focused on the integrity of financial reporting and internal controls. In addition, many companies’ accounting policies are being subject to heightened scrutiny by regulators and the public. Further, the accounting rules and regulations are continually changing in ways that could materially impact our financial statements.</w:t>
      </w:r>
    </w:p>
    <w:p>
      <w:pPr>
        <w:spacing w:after="0" w:line="183"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color w:val="auto"/>
        </w:rPr>
        <w:t>Though we cannot predict the impact of future changes to accounting principles or our accounting policies on our financial statements going forward, any such change in these principles or how they are interpreted could have a significant effect on our reported results of operations and could affect the reporting of transactions already completed before the announcement of a change.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2" w:name="page43"/>
    <w:bookmarkEnd w:id="42"/>
    <w:p>
      <w:pPr>
        <w:ind w:right="120"/>
        <w:spacing w:after="0" w:line="280" w:lineRule="auto"/>
        <w:rPr>
          <w:sz w:val="20"/>
          <w:szCs w:val="20"/>
          <w:color w:val="auto"/>
        </w:rPr>
      </w:pPr>
      <w:r>
        <w:rPr>
          <w:rFonts w:ascii="Arial" w:cs="Arial" w:eastAsia="Arial" w:hAnsi="Arial"/>
          <w:sz w:val="16"/>
          <w:szCs w:val="16"/>
          <w:b w:val="1"/>
          <w:bCs w:val="1"/>
          <w:i w:val="1"/>
          <w:iCs w:val="1"/>
          <w:color w:val="auto"/>
        </w:rPr>
        <w:t>We are not, and do not intend to become, regulated as an “investment company” under the Investment Company Act of 1940, as amended (“Investment Company Act”), and if we were deemed an “investment company” under the Investment Company Act, applicable restrictions could make it impractical for us to continue our business as contemplated and could have a material adverse effect on our business.</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An entity generally will be deemed to be an “investment company” for purposes of the Investment Company Act if:</w:t>
      </w:r>
    </w:p>
    <w:p>
      <w:pPr>
        <w:spacing w:after="0" w:line="206" w:lineRule="exact"/>
        <w:rPr>
          <w:sz w:val="20"/>
          <w:szCs w:val="20"/>
          <w:color w:val="auto"/>
        </w:rPr>
      </w:pPr>
    </w:p>
    <w:p>
      <w:pPr>
        <w:ind w:left="740" w:right="460" w:hanging="325"/>
        <w:spacing w:after="0" w:line="268" w:lineRule="auto"/>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it is an “orthodox” investment company because it is or holds itself out as being engaged primarily, or proposes to engage primarily, in the business of investing, reinvesting or trading in securities; or</w:t>
      </w:r>
    </w:p>
    <w:p>
      <w:pPr>
        <w:spacing w:after="0" w:line="165" w:lineRule="exact"/>
        <w:rPr>
          <w:rFonts w:ascii="Arial" w:cs="Arial" w:eastAsia="Arial" w:hAnsi="Arial"/>
          <w:sz w:val="17"/>
          <w:szCs w:val="17"/>
          <w:color w:val="auto"/>
        </w:rPr>
      </w:pPr>
    </w:p>
    <w:p>
      <w:pPr>
        <w:ind w:left="740" w:right="300" w:hanging="325"/>
        <w:spacing w:after="0" w:line="298" w:lineRule="auto"/>
        <w:tabs>
          <w:tab w:leader="none" w:pos="7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it is an inadvertent investment company because, absent an applicable exemption, (i) it owns or proposes to acquire investment securities having a value exceeding 40% of the value of its total assets (exclusive of U.S. government securities and cash items) on an unconsolidated basis, or (ii) it owns or proposes to acquire investment securities having a value exceeding 45% of the value of its total assets (exclusive of U.S. government securities and cash items) and/or more than 45% of its income is derived from investment securities on a consolidated basis with its wholly owned subsidiaries.</w:t>
      </w:r>
    </w:p>
    <w:p>
      <w:pPr>
        <w:spacing w:after="0" w:line="148" w:lineRule="exact"/>
        <w:rPr>
          <w:sz w:val="20"/>
          <w:szCs w:val="20"/>
          <w:color w:val="auto"/>
        </w:rPr>
      </w:pPr>
    </w:p>
    <w:p>
      <w:pPr>
        <w:ind w:right="100" w:firstLine="410"/>
        <w:spacing w:after="0" w:line="267" w:lineRule="auto"/>
        <w:rPr>
          <w:sz w:val="20"/>
          <w:szCs w:val="20"/>
          <w:color w:val="auto"/>
        </w:rPr>
      </w:pPr>
      <w:r>
        <w:rPr>
          <w:rFonts w:ascii="Arial" w:cs="Arial" w:eastAsia="Arial" w:hAnsi="Arial"/>
          <w:sz w:val="16"/>
          <w:szCs w:val="16"/>
          <w:color w:val="auto"/>
        </w:rPr>
        <w:t>We are engaged primarily in the business of providing clients with our cloud-based Digital Adoption Platform, which enables organizations to better realize the value of their software investments. We hold ourselves out as a cloud-based technology company and do not propose to engage primarily in the business of investing, reinvesting or trading in securities. Accordingly, we do not believe that we are an “orthodox” investment company as defined in Section 3(a)(1)(A) of the Investment Company Act and described in the first bullet point above. Furthermore, we believe that on a consolidated basis less than 45% of our total assets (exclusive of U.S. government securities and cash items) are composed of, and less than 45% of our income is derived from, assets that could be considered investment securities. Accordingly, we do not believe that we are an inadvertent investment company by virtue of the 45% tests in Rule 3a-1 of the Investment Company Act as described in the second bullet point above. In addition, we believe that we are not an investment company under Section 3(b)(1) of the Investment Company Act because we are primarily engaged in a noninvestment company business.</w:t>
      </w:r>
    </w:p>
    <w:p>
      <w:pPr>
        <w:spacing w:after="0" w:line="170" w:lineRule="exact"/>
        <w:rPr>
          <w:sz w:val="20"/>
          <w:szCs w:val="20"/>
          <w:color w:val="auto"/>
        </w:rPr>
      </w:pPr>
    </w:p>
    <w:p>
      <w:pPr>
        <w:ind w:firstLine="410"/>
        <w:spacing w:after="0" w:line="284" w:lineRule="auto"/>
        <w:rPr>
          <w:sz w:val="20"/>
          <w:szCs w:val="20"/>
          <w:color w:val="auto"/>
        </w:rPr>
      </w:pPr>
      <w:r>
        <w:rPr>
          <w:rFonts w:ascii="Arial" w:cs="Arial" w:eastAsia="Arial" w:hAnsi="Arial"/>
          <w:sz w:val="15"/>
          <w:szCs w:val="15"/>
          <w:color w:val="auto"/>
        </w:rPr>
        <w:t>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certain governance requirements. We intend to conduct our operations so that we will not be deemed to be an investment company under the Investment Company Act or otherwise conduct our business in a manner that does not subject us to the registration and other requirements of the Investment Company Act. In order to ensure that we are not deemed to be an investment company, we may be limited in the assets that we may continue to own and, further, may need to dispose of or acquire certain assets at such times or on such terms as may be less favorable to us than in the absence of such requirement. In particular, as is common in Israel, much of our marketable securities and some of our cash is held in the form of time-based depositary accounts, which may be considered securities under the Investment Company Act, and we could be required to invest our cash into accounts that yield a lower return in order to avoid becoming an investment company. If anything were to happen which would cause us to be deemed to be an investment company under the Investment Company Act, the requirements imposed by the Investment Company Act could make it impractical for us to continue our business as currently conducted, which would materially adversely affect our business, financial condition and results of operations. In addition, if we were to become inadvertently subject to the Investment Company Act, any violation of the Investment Company Act could subject us to material adverse consequences, including potentially significant regulatory penalties.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Ordinary Shares and Reporting Obligations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share price has been and may continue to be volatile, and you may lose all or part of your investment.</w:t>
      </w:r>
    </w:p>
    <w:p>
      <w:pPr>
        <w:spacing w:after="0" w:line="206"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The market price of our ordinary shares has experienced significant price and volume volatility and may continue to fluctuate in the future, substantially as a result of many factors, including:</w:t>
      </w:r>
    </w:p>
    <w:p>
      <w:pPr>
        <w:spacing w:after="0" w:line="166" w:lineRule="exact"/>
        <w:rPr>
          <w:sz w:val="20"/>
          <w:szCs w:val="20"/>
          <w:color w:val="auto"/>
        </w:rPr>
      </w:pPr>
    </w:p>
    <w:p>
      <w:pPr>
        <w:ind w:left="5540" w:right="5540" w:hanging="5125"/>
        <w:spacing w:after="0" w:line="579" w:lineRule="auto"/>
        <w:tabs>
          <w:tab w:leader="none" w:pos="741" w:val="left"/>
        </w:tabs>
        <w:numPr>
          <w:ilvl w:val="0"/>
          <w:numId w:val="20"/>
        </w:numPr>
        <w:rPr>
          <w:rFonts w:ascii="Arial" w:cs="Arial" w:eastAsia="Arial" w:hAnsi="Arial"/>
          <w:sz w:val="14"/>
          <w:szCs w:val="14"/>
          <w:color w:val="auto"/>
        </w:rPr>
      </w:pPr>
      <w:r>
        <w:rPr>
          <w:rFonts w:ascii="Arial" w:cs="Arial" w:eastAsia="Arial" w:hAnsi="Arial"/>
          <w:sz w:val="14"/>
          <w:szCs w:val="14"/>
          <w:color w:val="auto"/>
        </w:rPr>
        <w:t>actual or anticipated changes or fluctuations in our results of operations;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279400</wp:posOffset>
            </wp:positionV>
            <wp:extent cx="714184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ind w:left="740" w:hanging="325"/>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guidance we may provide to the public, and any changes in, or our failure to perform in line with, such guidance;</w:t>
      </w:r>
    </w:p>
    <w:p>
      <w:pPr>
        <w:spacing w:after="0" w:line="206" w:lineRule="exact"/>
        <w:rPr>
          <w:rFonts w:ascii="Arial" w:cs="Arial" w:eastAsia="Arial" w:hAnsi="Arial"/>
          <w:sz w:val="17"/>
          <w:szCs w:val="17"/>
          <w:color w:val="auto"/>
        </w:rPr>
      </w:pPr>
    </w:p>
    <w:p>
      <w:pPr>
        <w:ind w:left="740" w:right="520" w:hanging="325"/>
        <w:spacing w:after="0" w:line="268"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business developments, new offerings or new or terminated significant contracts, commercial relationships or capital commitments;</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industry or financial analyst or investor reaction to our press releases, other public announcements, and filings with the SEC;</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future sales or expected future sales of our ordinary shares;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investor perceptions of us and the industries and markets in which we operate;</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217" w:lineRule="exact"/>
        <w:rPr>
          <w:rFonts w:ascii="Arial" w:cs="Arial" w:eastAsia="Arial" w:hAnsi="Arial"/>
          <w:sz w:val="16"/>
          <w:szCs w:val="16"/>
          <w:color w:val="auto"/>
        </w:rPr>
      </w:pPr>
    </w:p>
    <w:p>
      <w:pPr>
        <w:ind w:left="740" w:hanging="325"/>
        <w:spacing w:after="0" w:line="268" w:lineRule="auto"/>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of industry or financial analysts to maintain coverage of us, changes in financial estimates by any analysts who follow our Company, or our failure to meet these estimates or the expectations of investors;</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or our competitors’ businesses or the competitive landscape generally;</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litigation involving us, our industry or both, or investigations by regulators into our operations or those of our competitors;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rights or our solutions, or third-party proprietary rights;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or technologies by us or our competitors;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actual or perceived breaches of, or failures relating to, privacy, data protection or data security;</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actual or anticipated changes in our executive leadership team or our board of directors;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target markets; and</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pandemics, war, incidents of terrorism or responses to these events.</w:t>
      </w:r>
    </w:p>
    <w:p>
      <w:pPr>
        <w:spacing w:after="0" w:line="206" w:lineRule="exact"/>
        <w:rPr>
          <w:sz w:val="20"/>
          <w:szCs w:val="20"/>
          <w:color w:val="auto"/>
        </w:rPr>
      </w:pPr>
    </w:p>
    <w:p>
      <w:pPr>
        <w:ind w:right="40" w:firstLine="410"/>
        <w:spacing w:after="0" w:line="251" w:lineRule="auto"/>
        <w:rPr>
          <w:sz w:val="20"/>
          <w:szCs w:val="20"/>
          <w:color w:val="auto"/>
        </w:rPr>
      </w:pPr>
      <w:r>
        <w:rPr>
          <w:rFonts w:ascii="Arial" w:cs="Arial" w:eastAsia="Arial" w:hAnsi="Arial"/>
          <w:sz w:val="17"/>
          <w:szCs w:val="17"/>
          <w:color w:val="auto"/>
        </w:rPr>
        <w:t>In addition, the stock markets have experienced extreme price and volume fluctuations. Broad market and industry factors may materially harm the market price of our ordinary shares, regardless of our operating performance, which may limit or prevent investors from readily selling their shares and may otherwise negatively affect the liquidity of our ordinary shares. In the past, following periods of volatility in the market price of a company’s securities, securities class action litigation has often been instituted against that company. If we were involved in any similar litigation we could incur substantial costs and our attention and resources of our executive leadership team and other employees could be diverted.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our ordinary shares may not be sustained to provide adequate liquidity.</w:t>
      </w:r>
    </w:p>
    <w:p>
      <w:pPr>
        <w:spacing w:after="0" w:line="206" w:lineRule="exact"/>
        <w:rPr>
          <w:sz w:val="20"/>
          <w:szCs w:val="20"/>
          <w:color w:val="auto"/>
        </w:rPr>
      </w:pPr>
    </w:p>
    <w:p>
      <w:pPr>
        <w:jc w:val="both"/>
        <w:ind w:right="180" w:firstLine="410"/>
        <w:spacing w:after="0" w:line="257" w:lineRule="auto"/>
        <w:rPr>
          <w:sz w:val="20"/>
          <w:szCs w:val="20"/>
          <w:color w:val="auto"/>
        </w:rPr>
      </w:pPr>
      <w:r>
        <w:rPr>
          <w:rFonts w:ascii="Arial" w:cs="Arial" w:eastAsia="Arial" w:hAnsi="Arial"/>
          <w:sz w:val="17"/>
          <w:szCs w:val="17"/>
          <w:color w:val="auto"/>
        </w:rPr>
        <w:t>An active trading market may not be sustained for our ordinary shares. The lack of an active market may impair your ability to sell your shares at the time you wish to sell them or at a price that you consider reasonable. An inactive market may also impair our ability to raise capital by selling ordinary shares and may impair our ability to acquire other companies by using our shares as consideration.</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4" w:name="page45"/>
    <w:bookmarkEnd w:id="44"/>
    <w:p>
      <w:pPr>
        <w:ind w:right="840"/>
        <w:spacing w:after="0" w:line="268" w:lineRule="auto"/>
        <w:rPr>
          <w:sz w:val="20"/>
          <w:szCs w:val="20"/>
          <w:color w:val="auto"/>
        </w:rPr>
      </w:pPr>
      <w:r>
        <w:rPr>
          <w:rFonts w:ascii="Arial" w:cs="Arial" w:eastAsia="Arial" w:hAnsi="Arial"/>
          <w:sz w:val="17"/>
          <w:szCs w:val="17"/>
          <w:b w:val="1"/>
          <w:bCs w:val="1"/>
          <w:i w:val="1"/>
          <w:iCs w:val="1"/>
          <w:color w:val="auto"/>
        </w:rPr>
        <w:t>If we do not meet the expectations of equity research analysts, if they do not publish research or reports about our business or if they issue unfavorable commentary or downgrade our ordinary shares, the price of our ordinary shares could decline.</w:t>
      </w:r>
    </w:p>
    <w:p>
      <w:pPr>
        <w:spacing w:after="0" w:line="166" w:lineRule="exact"/>
        <w:rPr>
          <w:sz w:val="20"/>
          <w:szCs w:val="20"/>
          <w:color w:val="auto"/>
        </w:rPr>
      </w:pPr>
    </w:p>
    <w:p>
      <w:pPr>
        <w:ind w:right="300" w:firstLine="410"/>
        <w:spacing w:after="0" w:line="298" w:lineRule="auto"/>
        <w:rPr>
          <w:sz w:val="20"/>
          <w:szCs w:val="20"/>
          <w:color w:val="auto"/>
        </w:rPr>
      </w:pPr>
      <w:r>
        <w:rPr>
          <w:rFonts w:ascii="Arial" w:cs="Arial" w:eastAsia="Arial" w:hAnsi="Arial"/>
          <w:sz w:val="15"/>
          <w:szCs w:val="15"/>
          <w:color w:val="auto"/>
        </w:rPr>
        <w:t xml:space="preserve">The trading market for our ordinary shares relies in part on the research and reports that securities analysts publish about us and our business. The analysts’ estimates are based upon their own opinions and are often different from our estimates or expectations. If our revenues, our results of operations, or our financial condition are </w:t>
      </w:r>
      <w:r>
        <w:rPr>
          <w:rFonts w:ascii="Arial" w:cs="Arial" w:eastAsia="Arial" w:hAnsi="Arial"/>
          <w:sz w:val="15"/>
          <w:szCs w:val="15"/>
          <w:i w:val="1"/>
          <w:iCs w:val="1"/>
          <w:color w:val="auto"/>
        </w:rPr>
        <w:t>below</w:t>
      </w:r>
      <w:r>
        <w:rPr>
          <w:rFonts w:ascii="Arial" w:cs="Arial" w:eastAsia="Arial" w:hAnsi="Arial"/>
          <w:sz w:val="15"/>
          <w:szCs w:val="15"/>
          <w:color w:val="auto"/>
        </w:rPr>
        <w:t xml:space="preserve"> the estimates or expectations of public market analysts and investors, the price of our ordinary shares could decline. Moreover, the price of our ordinary shares could decline if one or more securities analysts issue unfavorable commentary or cease publishing reports about us or our business.</w:t>
      </w:r>
    </w:p>
    <w:p>
      <w:pPr>
        <w:spacing w:after="0" w:line="148"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b w:val="1"/>
          <w:bCs w:val="1"/>
          <w:i w:val="1"/>
          <w:iCs w:val="1"/>
          <w:color w:val="auto"/>
        </w:rPr>
        <w:t>We are an “emerging growth company,” as defined in the JOBS Act, and we cannot be certain if the reduced disclosure requirements applicable to emerging growth companies will make our ordinary shares less attractive to investors.</w:t>
      </w:r>
    </w:p>
    <w:p>
      <w:pPr>
        <w:spacing w:after="0" w:line="166" w:lineRule="exact"/>
        <w:rPr>
          <w:sz w:val="20"/>
          <w:szCs w:val="20"/>
          <w:color w:val="auto"/>
        </w:rPr>
      </w:pPr>
    </w:p>
    <w:p>
      <w:pPr>
        <w:ind w:firstLine="410"/>
        <w:spacing w:after="0" w:line="249" w:lineRule="auto"/>
        <w:rPr>
          <w:sz w:val="20"/>
          <w:szCs w:val="20"/>
          <w:color w:val="auto"/>
        </w:rPr>
      </w:pPr>
      <w:r>
        <w:rPr>
          <w:rFonts w:ascii="Arial" w:cs="Arial" w:eastAsia="Arial" w:hAnsi="Arial"/>
          <w:sz w:val="17"/>
          <w:szCs w:val="17"/>
          <w:color w:val="auto"/>
        </w:rPr>
        <w:t>We are an “emerging growth company,” as defined in the JOBS Act, and we are eligible to take advantage of specified reduced disclosure and other requirements that are applicable to public companies that are not emerging growth companies. These provisions include, among others, not being required to comply with the auditor attestation requirements of Section 404 of the Sarbanes-Oxley Act of 2002 (“Section 404”); and not being required to comply with any requirement that may be adopted by the PCAOB regarding mandatory audit firm rotation or a supplement to the auditor’s report providing additional information about the audit and the financial statements (i.e., an auditor discussion and analysis). In addition, while we are an emerging growth company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take advantage of this extended transition period and, as a result, our operating results and financial statements may not be comparable to the operating results and financial statements of companies who have adopted the new or revised accounting standards.</w:t>
      </w:r>
    </w:p>
    <w:p>
      <w:pPr>
        <w:spacing w:after="0" w:line="183" w:lineRule="exact"/>
        <w:rPr>
          <w:sz w:val="20"/>
          <w:szCs w:val="20"/>
          <w:color w:val="auto"/>
        </w:rPr>
      </w:pPr>
    </w:p>
    <w:p>
      <w:pPr>
        <w:ind w:right="20" w:firstLine="410"/>
        <w:spacing w:after="0" w:line="251" w:lineRule="auto"/>
        <w:rPr>
          <w:sz w:val="20"/>
          <w:szCs w:val="20"/>
          <w:color w:val="auto"/>
        </w:rPr>
      </w:pPr>
      <w:r>
        <w:rPr>
          <w:rFonts w:ascii="Arial" w:cs="Arial" w:eastAsia="Arial" w:hAnsi="Arial"/>
          <w:sz w:val="17"/>
          <w:szCs w:val="17"/>
          <w:color w:val="auto"/>
        </w:rPr>
        <w:t>We may remain an emerging growth company until the earliest to occur of: (i) the last day of the first fiscal year in which our annual gross revenue equals or exceeds $1.07 billion; (ii) the date that we become a “large accelerated filer,” as defined in Rule 12b-2 under the Exchange Act, which will occur if the market value of our common equity securities held by non-affiliates is at least $700 million as of the last business day of our most recently completed second fiscal quarter; (iii) the date on which we have issued, during the preceding three-year period, more than $1.0 billion in non-convertible debt securities; and (iv) December 31, 2026, which is the last day of the fiscal year ending after the fifth anniversary of the IPO.</w:t>
      </w:r>
    </w:p>
    <w:p>
      <w:pPr>
        <w:spacing w:after="0" w:line="183" w:lineRule="exact"/>
        <w:rPr>
          <w:sz w:val="20"/>
          <w:szCs w:val="20"/>
          <w:color w:val="auto"/>
        </w:rPr>
      </w:pPr>
    </w:p>
    <w:p>
      <w:pPr>
        <w:ind w:right="120" w:firstLine="410"/>
        <w:spacing w:after="0" w:line="257" w:lineRule="auto"/>
        <w:rPr>
          <w:sz w:val="20"/>
          <w:szCs w:val="20"/>
          <w:color w:val="auto"/>
        </w:rPr>
      </w:pPr>
      <w:r>
        <w:rPr>
          <w:rFonts w:ascii="Arial" w:cs="Arial" w:eastAsia="Arial" w:hAnsi="Arial"/>
          <w:sz w:val="17"/>
          <w:szCs w:val="17"/>
          <w:color w:val="auto"/>
        </w:rPr>
        <w:t>Investors may find our ordinary shares less attractive to the extent we rely on the exemptions and relief granted by the JOBS Act. If some investors find our ordinary shares less attractive as a result, there may be a less active trading market for our ordinary shares and the price of our ordinary shares may decline or become more volatile.</w:t>
      </w:r>
    </w:p>
    <w:p>
      <w:pPr>
        <w:spacing w:after="0" w:line="175" w:lineRule="exact"/>
        <w:rPr>
          <w:sz w:val="20"/>
          <w:szCs w:val="20"/>
          <w:color w:val="auto"/>
        </w:rPr>
      </w:pPr>
    </w:p>
    <w:p>
      <w:pPr>
        <w:ind w:right="440"/>
        <w:spacing w:after="0" w:line="268" w:lineRule="auto"/>
        <w:rPr>
          <w:sz w:val="20"/>
          <w:szCs w:val="20"/>
          <w:color w:val="auto"/>
        </w:rPr>
      </w:pPr>
      <w:r>
        <w:rPr>
          <w:rFonts w:ascii="Arial" w:cs="Arial" w:eastAsia="Arial" w:hAnsi="Arial"/>
          <w:sz w:val="17"/>
          <w:szCs w:val="17"/>
          <w:b w:val="1"/>
          <w:bCs w:val="1"/>
          <w:i w:val="1"/>
          <w:iCs w:val="1"/>
          <w:color w:val="auto"/>
        </w:rPr>
        <w:t>We are a foreign private issuer and, as a result, we are not subject to U.S. proxy rules and will be subject to Exchange Act reporting obligations that, to some extent, are more lenient and less frequent than those of a U.S. domestic public company.</w:t>
      </w:r>
    </w:p>
    <w:p>
      <w:pPr>
        <w:spacing w:after="0" w:line="166"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We report under the Exchange Act as a non-U.S. company with foreign private issuer status. Because we qualify as a foreign private issuer, we take advantage of certain provisions under the Nasdaq corporate governance rules that allow us to follow Israeli law for certain corporate governance matters. As long as we qualify as a foreign private issuer under the Exchange Act, we are exempt from certain provisions of the Exchange Act that are applicable to U.S. domestic public companies, including:</w:t>
      </w:r>
    </w:p>
    <w:p>
      <w:pPr>
        <w:spacing w:after="0" w:line="180" w:lineRule="exact"/>
        <w:rPr>
          <w:sz w:val="20"/>
          <w:szCs w:val="20"/>
          <w:color w:val="auto"/>
        </w:rPr>
      </w:pPr>
    </w:p>
    <w:p>
      <w:pPr>
        <w:ind w:left="5540" w:right="20" w:hanging="5125"/>
        <w:spacing w:after="0" w:line="715" w:lineRule="auto"/>
        <w:tabs>
          <w:tab w:leader="none" w:pos="74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sections of the Exchange Act regulating the solicitation of proxies, consents or authorizations in respect of a security registered under the Exchange Act;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-212725</wp:posOffset>
            </wp:positionV>
            <wp:extent cx="714184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5" w:name="page46"/>
    <w:bookmarkEnd w:id="45"/>
    <w:p>
      <w:pPr>
        <w:ind w:left="740" w:right="160" w:hanging="325"/>
        <w:spacing w:after="0" w:line="268"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sections of the Exchange Act requiring insiders to file public reports of their share ownership and trading activities and liability for insiders who profit from trades made in a short period of time;</w:t>
      </w:r>
    </w:p>
    <w:p>
      <w:pPr>
        <w:spacing w:after="0" w:line="165" w:lineRule="exact"/>
        <w:rPr>
          <w:rFonts w:ascii="Arial" w:cs="Arial" w:eastAsia="Arial" w:hAnsi="Arial"/>
          <w:sz w:val="17"/>
          <w:szCs w:val="17"/>
          <w:color w:val="auto"/>
        </w:rPr>
      </w:pPr>
    </w:p>
    <w:p>
      <w:pPr>
        <w:ind w:left="740" w:right="300" w:hanging="325"/>
        <w:spacing w:after="0" w:line="268" w:lineRule="auto"/>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containing unaudited financial and other specified information, or current reports on Form 8-K, upon the occurrence of specified significant events; and</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Regulation Fair Disclosure (“Regulation FD”), which regulates selective disclosures of material information by issuers.</w:t>
      </w:r>
    </w:p>
    <w:p>
      <w:pPr>
        <w:spacing w:after="0" w:line="206" w:lineRule="exact"/>
        <w:rPr>
          <w:sz w:val="20"/>
          <w:szCs w:val="20"/>
          <w:color w:val="auto"/>
        </w:rPr>
      </w:pPr>
    </w:p>
    <w:p>
      <w:pPr>
        <w:ind w:right="20" w:firstLine="410"/>
        <w:spacing w:after="0" w:line="271" w:lineRule="auto"/>
        <w:rPr>
          <w:sz w:val="20"/>
          <w:szCs w:val="20"/>
          <w:color w:val="auto"/>
        </w:rPr>
      </w:pPr>
      <w:r>
        <w:rPr>
          <w:rFonts w:ascii="Arial" w:cs="Arial" w:eastAsia="Arial" w:hAnsi="Arial"/>
          <w:sz w:val="16"/>
          <w:szCs w:val="16"/>
          <w:color w:val="auto"/>
        </w:rPr>
        <w:t>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like emerging growth companies, also are exempt from certain more stringent executive compensation disclosure rules. As a result of all of the above, you may not have the same protections afforded to shareholders of a company that is not a foreign private issuer.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lose our foreign private issuer status in the future, which could result in significant additional costs and expenses.</w:t>
      </w:r>
    </w:p>
    <w:p>
      <w:pPr>
        <w:spacing w:after="0" w:line="206" w:lineRule="exact"/>
        <w:rPr>
          <w:sz w:val="20"/>
          <w:szCs w:val="20"/>
          <w:color w:val="auto"/>
        </w:rPr>
      </w:pPr>
    </w:p>
    <w:p>
      <w:pPr>
        <w:ind w:firstLine="410"/>
        <w:spacing w:after="0" w:line="285" w:lineRule="auto"/>
        <w:rPr>
          <w:sz w:val="20"/>
          <w:szCs w:val="20"/>
          <w:color w:val="auto"/>
        </w:rPr>
      </w:pPr>
      <w:r>
        <w:rPr>
          <w:rFonts w:ascii="Arial" w:cs="Arial" w:eastAsia="Arial" w:hAnsi="Arial"/>
          <w:sz w:val="15"/>
          <w:szCs w:val="15"/>
          <w:color w:val="auto"/>
        </w:rPr>
        <w:t>As discussed above, we are a foreign private issuer, and therefore, we are not required to comply with all of the periodic disclosure and current reporting requirements of the Exchange Act that are applicable to U.S. domestic public companies. The determination of foreign private issuer status is made annually on the last business day of an issuer’s most recently completed second fiscal quarter, and, accordingly, the next determination will be made with respect to us on June 30, 2022. In the future, we would lose our foreign private issuer status if more than 50% of our outstanding voting securities are owned by U.S. residents and any of the following three circumstances applies: (1) the majority of our directors or executive officers are U.S. citizens or residents, (2) more than 50% of our assets are located in the United States, or (3) our business is administered principally in the United States. If we lose our foreign private issuer status,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Nasdaq listing rules. As a U.S. listed public company that is not a foreign private issuer, we will incur significant additional legal, accounting and other expenses that we will not incur as a foreign private issuer.</w:t>
      </w:r>
    </w:p>
    <w:p>
      <w:pPr>
        <w:spacing w:after="0" w:line="15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b w:val="1"/>
          <w:bCs w:val="1"/>
          <w:i w:val="1"/>
          <w:iCs w:val="1"/>
          <w:color w:val="auto"/>
        </w:rPr>
        <w:t>As we are a foreign private issuer and intend to follow certain home country corporate governance practices, our shareholders may not have the same protections afforded to shareholders of companies that are subject to all corporate governance requirements.</w:t>
      </w:r>
    </w:p>
    <w:p>
      <w:pPr>
        <w:spacing w:after="0" w:line="166" w:lineRule="exact"/>
        <w:rPr>
          <w:sz w:val="20"/>
          <w:szCs w:val="20"/>
          <w:color w:val="auto"/>
        </w:rPr>
      </w:pPr>
    </w:p>
    <w:p>
      <w:pPr>
        <w:ind w:right="20" w:firstLine="410"/>
        <w:spacing w:after="0" w:line="251" w:lineRule="auto"/>
        <w:rPr>
          <w:sz w:val="20"/>
          <w:szCs w:val="20"/>
          <w:color w:val="auto"/>
        </w:rPr>
      </w:pPr>
      <w:r>
        <w:rPr>
          <w:rFonts w:ascii="Arial" w:cs="Arial" w:eastAsia="Arial" w:hAnsi="Arial"/>
          <w:sz w:val="17"/>
          <w:szCs w:val="17"/>
          <w:color w:val="auto"/>
        </w:rPr>
        <w:t>As a foreign private issuer, we have the option to follow certain home country corporate governance practices rather than the Nasdaq corporate governance rules, provided that we disclose and describe the requirements we are not following and the Israeli practices we are following. We intend to rely on this “foreign private issuer exemption” with respect to the quorum requirement for shareholder meetings, and may in the future elect to follow home country practices with regard to other matters. As a result, our shareholders may not have the same protections afforded to shareholders of companies that are subject to all Nasdaq corporate governance requirements.</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i w:val="1"/>
          <w:iCs w:val="1"/>
          <w:color w:val="auto"/>
        </w:rPr>
        <w:t>The market price of our ordinary shares could be negatively affected by future issuances and sales of our ordinary shares.</w:t>
      </w:r>
    </w:p>
    <w:p>
      <w:pPr>
        <w:spacing w:after="0" w:line="206" w:lineRule="exact"/>
        <w:rPr>
          <w:sz w:val="20"/>
          <w:szCs w:val="20"/>
          <w:color w:val="auto"/>
        </w:rPr>
      </w:pPr>
    </w:p>
    <w:p>
      <w:pPr>
        <w:jc w:val="both"/>
        <w:ind w:right="260" w:firstLine="410"/>
        <w:spacing w:after="0" w:line="377" w:lineRule="auto"/>
        <w:rPr>
          <w:sz w:val="20"/>
          <w:szCs w:val="20"/>
          <w:color w:val="auto"/>
        </w:rPr>
      </w:pPr>
      <w:r>
        <w:rPr>
          <w:rFonts w:ascii="Arial" w:cs="Arial" w:eastAsia="Arial" w:hAnsi="Arial"/>
          <w:sz w:val="14"/>
          <w:szCs w:val="14"/>
          <w:color w:val="auto"/>
        </w:rPr>
        <w:t>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w:t>
      </w:r>
    </w:p>
    <w:p>
      <w:pPr>
        <w:spacing w:after="0" w:line="97" w:lineRule="exact"/>
        <w:rPr>
          <w:sz w:val="20"/>
          <w:szCs w:val="20"/>
          <w:color w:val="auto"/>
        </w:rPr>
      </w:pPr>
    </w:p>
    <w:p>
      <w:pPr>
        <w:ind w:right="120" w:firstLine="410"/>
        <w:spacing w:after="0" w:line="307" w:lineRule="auto"/>
        <w:rPr>
          <w:sz w:val="20"/>
          <w:szCs w:val="20"/>
          <w:color w:val="auto"/>
        </w:rPr>
      </w:pPr>
      <w:r>
        <w:rPr>
          <w:rFonts w:ascii="Arial" w:cs="Arial" w:eastAsia="Arial" w:hAnsi="Arial"/>
          <w:sz w:val="15"/>
          <w:szCs w:val="15"/>
          <w:color w:val="auto"/>
        </w:rPr>
        <w:t>As of December 31, 2021, we are authorized to issue up to 900,000,000 ordinary shares. Subject to compliance with applicable rules and regulations, we may issue ordinary shares or securities convertible into ordinary shares from time to time in connection with a financing, acquisition, investment, our share incentive plans or otherwise. Any such issuance could result in substantial dilution to our existing shareholders and cause the market price of our ordinary shares to decline.</w:t>
      </w:r>
    </w:p>
    <w:p>
      <w:pPr>
        <w:spacing w:after="0" w:line="141"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We may be classified as a passive foreign investment company, which could result in adverse U.S. federal income tax consequences to U.S. Holders of our ordinary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 would be classified as a passive foreign investment company (“PFIC”) for any taxable year if, after the application of certain look-through rules, either:</w:t>
      </w:r>
    </w:p>
    <w:p>
      <w:pPr>
        <w:spacing w:after="0" w:line="29" w:lineRule="exact"/>
        <w:rPr>
          <w:sz w:val="20"/>
          <w:szCs w:val="20"/>
          <w:color w:val="auto"/>
        </w:rPr>
      </w:pPr>
    </w:p>
    <w:p>
      <w:pPr>
        <w:ind w:left="200" w:hanging="200"/>
        <w:spacing w:after="0"/>
        <w:tabs>
          <w:tab w:leader="none" w:pos="2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75% or more of our gross income for such year is “passive income” (as defined in the relevant provisions of the Internal Revenue Code of 1986, as amended), or</w:t>
      </w:r>
    </w:p>
    <w:p>
      <w:pPr>
        <w:spacing w:after="0" w:line="28" w:lineRule="exact"/>
        <w:rPr>
          <w:rFonts w:ascii="Arial" w:cs="Arial" w:eastAsia="Arial" w:hAnsi="Arial"/>
          <w:sz w:val="15"/>
          <w:szCs w:val="15"/>
          <w:color w:val="auto"/>
        </w:rPr>
      </w:pPr>
    </w:p>
    <w:p>
      <w:pPr>
        <w:ind w:right="20"/>
        <w:spacing w:after="0" w:line="283" w:lineRule="auto"/>
        <w:tabs>
          <w:tab w:leader="none" w:pos="246" w:val="left"/>
        </w:tabs>
        <w:numPr>
          <w:ilvl w:val="0"/>
          <w:numId w:val="24"/>
        </w:numPr>
        <w:rPr>
          <w:rFonts w:ascii="Arial" w:cs="Arial" w:eastAsia="Arial" w:hAnsi="Arial"/>
          <w:sz w:val="15"/>
          <w:szCs w:val="15"/>
          <w:color w:val="auto"/>
        </w:rPr>
      </w:pPr>
      <w:r>
        <w:rPr>
          <w:rFonts w:ascii="Arial" w:cs="Arial" w:eastAsia="Arial" w:hAnsi="Arial"/>
          <w:sz w:val="15"/>
          <w:szCs w:val="15"/>
          <w:color w:val="auto"/>
        </w:rPr>
        <w:t>50% or more of the value of our gross assets (determined on the basis of a quarterly average) during such year is attributable to assets that produce or are held for the production of passive income (the “asset test”). For these purposes, cash and other assets readily convertible into cash are categorized as passive assets, and the company’s goodwill and other unbooked intangibles are generally taken into account.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more than 25% (by value) of the stock. Based on the composition of our income, assets and operations, we do not believe that we were a PFIC for the taxable year ending December 31, 2021. However, our status as a PFIC requires a factual determination that depends on, among other things, our income, assets and operations in each year. Fluctuations in the market price of our ordinary shares may cause our classification as a PFIC for the current or future taxable years to change because the value of our assets for purposes of the asset test, including the value of our goodwill and unbooked intangibles, may be determined by reference to the market price of our shares from time to time (which may be volatile). Among other matters, if our market capitalization subsequently declines, it may make our classification as a PFIC more likely for the current or future taxable years. The composition of our income and assets may also be affected by how, and how quickly, we use our liquid assets. Therefore, there can be no assurance that we will not be treated as a PFIC for our current taxable year or any future taxable year.</w:t>
      </w:r>
    </w:p>
    <w:p>
      <w:pPr>
        <w:spacing w:after="0" w:line="158" w:lineRule="exact"/>
        <w:rPr>
          <w:sz w:val="20"/>
          <w:szCs w:val="20"/>
          <w:color w:val="auto"/>
        </w:rPr>
      </w:pPr>
    </w:p>
    <w:p>
      <w:pPr>
        <w:ind w:right="140" w:firstLine="410"/>
        <w:spacing w:after="0" w:line="253" w:lineRule="auto"/>
        <w:rPr>
          <w:sz w:val="20"/>
          <w:szCs w:val="20"/>
          <w:color w:val="auto"/>
        </w:rPr>
      </w:pPr>
      <w:r>
        <w:rPr>
          <w:rFonts w:ascii="Arial" w:cs="Arial" w:eastAsia="Arial" w:hAnsi="Arial"/>
          <w:sz w:val="17"/>
          <w:szCs w:val="17"/>
          <w:color w:val="auto"/>
        </w:rPr>
        <w:t>Certain adverse U.S. federal income tax consequences could apply to a U.S. Holder (as defined in “Item 10.E. “Tax Considerations - U.S. Federal Income Tax Considerations”) if we are treated as a PFIC for any taxable year during which such U.S. Holder holds our ordinary shares. U.S. Holders should consult their tax advisors regarding the application of PFIC rules to an investment in our ordinary shares. For further discussion, see Item 10.E. “Tax Considerations - Material United States Tax Considerations.”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a United States person is treated as owning at least 10% of our ordinary shares, such holder may be subject to adverse U.S. federal income tax consequences.</w:t>
      </w:r>
    </w:p>
    <w:p>
      <w:pPr>
        <w:spacing w:after="0" w:line="241" w:lineRule="exact"/>
        <w:rPr>
          <w:sz w:val="20"/>
          <w:szCs w:val="20"/>
          <w:color w:val="auto"/>
        </w:rPr>
      </w:pPr>
    </w:p>
    <w:p>
      <w:pPr>
        <w:ind w:firstLine="410"/>
        <w:spacing w:after="0" w:line="284" w:lineRule="auto"/>
        <w:rPr>
          <w:sz w:val="20"/>
          <w:szCs w:val="20"/>
          <w:color w:val="auto"/>
        </w:rPr>
      </w:pPr>
      <w:r>
        <w:rPr>
          <w:rFonts w:ascii="Arial" w:cs="Arial" w:eastAsia="Arial" w:hAnsi="Arial"/>
          <w:sz w:val="15"/>
          <w:szCs w:val="15"/>
          <w:color w:val="auto"/>
        </w:rPr>
        <w:t>If a United States person is treated as owning (directly, indirectly, or constructively) at least 10% of the value or voting power of our ordinary shares, such person may be treated as a “United States shareholder” with respect to each “controlled foreign corporation” (“CFC”) in our group (if any). Because our group includes a U.S. subsidiary, certain of our non-U.S. subsidiaries will be treated as CFCs (regardless of whether or not we are treated as a CFC). A United States shareholder of a CFC may be required to report annually and include in its U.S. taxable income its pro rata share of “Subpart F income,” “global intangible low-taxed income,” and investments in U.S. property by CFC, regardless of whether we make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or any of our non-U.S. subsidiaries is treated as a CFC or whether any investor is treated as a United States shareholder with respect to any such CFC or furnish to any United States shareholders information that may be necessary to comply with the aforementioned reporting and tax paying obligations. The United States Internal Revenue Service has provided limited guidance on situations in which investors may rely on publicly available information to comply with their reporting and taxpaying obligations with respect to foreign-controlled CFCs. A United States investor should consult its advisors regarding the potential application of these rules to an investment in our ordinary shares.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7" w:name="page48"/>
    <w:bookmarkEnd w:id="47"/>
    <w:p>
      <w:pPr>
        <w:ind w:right="380"/>
        <w:spacing w:after="0" w:line="268" w:lineRule="auto"/>
        <w:rPr>
          <w:sz w:val="20"/>
          <w:szCs w:val="20"/>
          <w:color w:val="auto"/>
        </w:rPr>
      </w:pPr>
      <w:r>
        <w:rPr>
          <w:rFonts w:ascii="Arial" w:cs="Arial" w:eastAsia="Arial" w:hAnsi="Arial"/>
          <w:sz w:val="17"/>
          <w:szCs w:val="17"/>
          <w:b w:val="1"/>
          <w:bCs w:val="1"/>
          <w:i w:val="1"/>
          <w:iCs w:val="1"/>
          <w:color w:val="auto"/>
        </w:rPr>
        <w:t>Provisions of Israeli law and our Articles of Association may delay, prevent or make undesirable an acquisition of all or a significant portion of our shares or assets.</w:t>
      </w:r>
    </w:p>
    <w:p>
      <w:pPr>
        <w:spacing w:after="0" w:line="166" w:lineRule="exact"/>
        <w:rPr>
          <w:sz w:val="20"/>
          <w:szCs w:val="20"/>
          <w:color w:val="auto"/>
        </w:rPr>
      </w:pPr>
    </w:p>
    <w:p>
      <w:pPr>
        <w:ind w:right="120" w:firstLine="410"/>
        <w:spacing w:after="0" w:line="253" w:lineRule="auto"/>
        <w:rPr>
          <w:sz w:val="20"/>
          <w:szCs w:val="20"/>
          <w:color w:val="auto"/>
        </w:rPr>
      </w:pPr>
      <w:r>
        <w:rPr>
          <w:rFonts w:ascii="Arial" w:cs="Arial" w:eastAsia="Arial" w:hAnsi="Arial"/>
          <w:sz w:val="17"/>
          <w:szCs w:val="17"/>
          <w:color w:val="auto"/>
        </w:rPr>
        <w:t>Provisions of Israeli law, including the Israeli Companies Law, 5759-1999 (the “Companies Law”), and our amended and restates Articles of Association could have the effect of delaying or preventing a change in control and may make it more difficult for a third-party to acquire us or our shareholders to elect different individuals to our board of directors, even if doing so would be considered to be beneficial by some of our shareholders, and may limit the price that investors may be willing to pay in the future for our ordinary shares. Among other things:</w:t>
      </w:r>
    </w:p>
    <w:p>
      <w:pPr>
        <w:spacing w:after="0" w:line="180" w:lineRule="exact"/>
        <w:rPr>
          <w:sz w:val="20"/>
          <w:szCs w:val="20"/>
          <w:color w:val="auto"/>
        </w:rPr>
      </w:pPr>
    </w:p>
    <w:p>
      <w:pPr>
        <w:ind w:left="740" w:right="560" w:hanging="325"/>
        <w:spacing w:after="0" w:line="268"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Companies Law regulates mergers and requires that a tender offer be effected when more than a specified percentage of shares in a company are purchased;</w:t>
      </w:r>
    </w:p>
    <w:p>
      <w:pPr>
        <w:spacing w:after="0" w:line="165" w:lineRule="exact"/>
        <w:rPr>
          <w:rFonts w:ascii="Arial" w:cs="Arial" w:eastAsia="Arial" w:hAnsi="Arial"/>
          <w:sz w:val="17"/>
          <w:szCs w:val="17"/>
          <w:color w:val="auto"/>
        </w:rPr>
      </w:pPr>
    </w:p>
    <w:p>
      <w:pPr>
        <w:ind w:left="740" w:right="260" w:hanging="325"/>
        <w:spacing w:after="0" w:line="268"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Companies Law requires special approvals for certain transactions involving directors, officers or certain significant shareholders and regulates other matters that may be relevant to these types of transactions;</w:t>
      </w:r>
    </w:p>
    <w:p>
      <w:pPr>
        <w:spacing w:after="0" w:line="165" w:lineRule="exact"/>
        <w:rPr>
          <w:rFonts w:ascii="Arial" w:cs="Arial" w:eastAsia="Arial" w:hAnsi="Arial"/>
          <w:sz w:val="17"/>
          <w:szCs w:val="17"/>
          <w:color w:val="auto"/>
        </w:rPr>
      </w:pPr>
    </w:p>
    <w:p>
      <w:pPr>
        <w:ind w:left="740" w:right="20" w:hanging="325"/>
        <w:spacing w:after="0" w:line="268" w:lineRule="auto"/>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Companies Law does not provide for shareholder action by written consent for public companies, thereby requiring all shareholder actions to be taken at a general meeting of shareholders;</w:t>
      </w:r>
    </w:p>
    <w:p>
      <w:pPr>
        <w:spacing w:after="0" w:line="165" w:lineRule="exact"/>
        <w:rPr>
          <w:rFonts w:ascii="Arial" w:cs="Arial" w:eastAsia="Arial" w:hAnsi="Arial"/>
          <w:sz w:val="17"/>
          <w:szCs w:val="17"/>
          <w:color w:val="auto"/>
        </w:rPr>
      </w:pPr>
    </w:p>
    <w:p>
      <w:pPr>
        <w:ind w:left="740" w:right="240" w:hanging="325"/>
        <w:spacing w:after="0" w:line="335" w:lineRule="auto"/>
        <w:tabs>
          <w:tab w:leader="none" w:pos="7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amended and restates Articles of Association divide our directors into three classes, each of which is elected once every three years, and accordingly, each of our directors serves until the third annual general meeting following his or her election or re-election or until he or she is removed;</w:t>
      </w:r>
    </w:p>
    <w:p>
      <w:pPr>
        <w:spacing w:after="0" w:line="121" w:lineRule="exact"/>
        <w:rPr>
          <w:rFonts w:ascii="Arial" w:cs="Arial" w:eastAsia="Arial" w:hAnsi="Arial"/>
          <w:sz w:val="15"/>
          <w:szCs w:val="15"/>
          <w:color w:val="auto"/>
        </w:rPr>
      </w:pPr>
    </w:p>
    <w:p>
      <w:pPr>
        <w:jc w:val="both"/>
        <w:ind w:left="740" w:right="80" w:hanging="325"/>
        <w:spacing w:after="0" w:line="274" w:lineRule="auto"/>
        <w:tabs>
          <w:tab w:leader="none" w:pos="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amendment to our amended and restates Articles of Association will generally require, in addition to the approval of our board of directors, a vote of the holders of a majority of our outstanding ordinary shares entitled to vote and present and voting on the matter at a general meeting of shareholders (referred to as simple majority), and the amendment of a limited number of provisions, such as the provision dividing our directors into three classes, requires a vote of the holders of at least 65% of the total voting power of our shareholders;</w:t>
      </w:r>
    </w:p>
    <w:p>
      <w:pPr>
        <w:spacing w:after="0" w:line="164" w:lineRule="exact"/>
        <w:rPr>
          <w:rFonts w:ascii="Arial" w:cs="Arial" w:eastAsia="Arial" w:hAnsi="Arial"/>
          <w:sz w:val="16"/>
          <w:szCs w:val="16"/>
          <w:color w:val="auto"/>
        </w:rPr>
      </w:pPr>
    </w:p>
    <w:p>
      <w:pPr>
        <w:ind w:left="740" w:hanging="325"/>
        <w:spacing w:after="0" w:line="335" w:lineRule="auto"/>
        <w:tabs>
          <w:tab w:leader="none" w:pos="7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amended and restates Articles of Association do not permit a director to be removed except by a vote of the holders of at least 65% of the total voting power of our shareholders and any amendment to such provision shall require the approval of at least 65% of the total voting power of our shareholders; and</w:t>
      </w:r>
    </w:p>
    <w:p>
      <w:pPr>
        <w:spacing w:after="0" w:line="121" w:lineRule="exact"/>
        <w:rPr>
          <w:rFonts w:ascii="Arial" w:cs="Arial" w:eastAsia="Arial" w:hAnsi="Arial"/>
          <w:sz w:val="15"/>
          <w:szCs w:val="15"/>
          <w:color w:val="auto"/>
        </w:rPr>
      </w:pPr>
    </w:p>
    <w:p>
      <w:pPr>
        <w:ind w:left="740" w:hanging="325"/>
        <w:spacing w:after="0"/>
        <w:tabs>
          <w:tab w:leader="none" w:pos="7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amended and restates Articles of Association provide that director vacancies may be filled by our board of directors.</w:t>
      </w:r>
    </w:p>
    <w:p>
      <w:pPr>
        <w:spacing w:after="0" w:line="206" w:lineRule="exact"/>
        <w:rPr>
          <w:sz w:val="20"/>
          <w:szCs w:val="20"/>
          <w:color w:val="auto"/>
        </w:rPr>
      </w:pPr>
    </w:p>
    <w:p>
      <w:pPr>
        <w:ind w:right="160" w:firstLine="410"/>
        <w:spacing w:after="0" w:line="271" w:lineRule="auto"/>
        <w:rPr>
          <w:sz w:val="20"/>
          <w:szCs w:val="20"/>
          <w:color w:val="auto"/>
        </w:rPr>
      </w:pPr>
      <w:r>
        <w:rPr>
          <w:rFonts w:ascii="Arial" w:cs="Arial" w:eastAsia="Arial" w:hAnsi="Arial"/>
          <w:sz w:val="16"/>
          <w:szCs w:val="16"/>
          <w:color w:val="auto"/>
        </w:rPr>
        <w:t>Israeli tax considerations may also make potential transactions undesirable to us or to some of our shareholders whose country of residence does not have a tax treaty with Israel granting tax relief to such shareholders from Israeli tax. With respect to mergers, Israeli tax law allows for tax deferral in certain circumstances but makes the deferral contingent on the fulfillment of numerous conditions, including a holding period of up to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disposition of the shares has occurred.</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8" w:name="page49"/>
    <w:bookmarkEnd w:id="48"/>
    <w:p>
      <w:pPr>
        <w:ind w:firstLine="410"/>
        <w:spacing w:after="0" w:line="250" w:lineRule="auto"/>
        <w:rPr>
          <w:sz w:val="20"/>
          <w:szCs w:val="20"/>
          <w:color w:val="auto"/>
        </w:rPr>
      </w:pPr>
      <w:r>
        <w:rPr>
          <w:rFonts w:ascii="Arial" w:cs="Arial" w:eastAsia="Arial" w:hAnsi="Arial"/>
          <w:sz w:val="17"/>
          <w:szCs w:val="17"/>
          <w:color w:val="auto"/>
        </w:rPr>
        <w:t>Furthermore, under the Encouragement of Research, Development and Technological Innovation in the Industry Law, 5744-1984, and the regulations, guidelines, rules, procedures, and benefit tracks thereunder (collectively, the “Innovation Law”), to which we are subject due to our receipt of grants from the Israeli National Authority for Technological Innovation, or the Israeli Innovation Authority (the “IIA”), a recipient of IIA grants such as our Company must report to the IIA regarding any change in the holding of means of control of our Company which transforms any non-Israeli citizen or resident into an “interested party,” as defined in the Israeli Securities Law, 5728-1968 (the “Israeli Securities Law”), and such non-Israeli citizen or resident shall execute an undertaking in favor of IIA, in a form prescribed by IIA.</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in the foreseeable future.</w:t>
      </w:r>
    </w:p>
    <w:p>
      <w:pPr>
        <w:spacing w:after="0" w:line="206" w:lineRule="exact"/>
        <w:rPr>
          <w:sz w:val="20"/>
          <w:szCs w:val="20"/>
          <w:color w:val="auto"/>
        </w:rPr>
      </w:pPr>
    </w:p>
    <w:p>
      <w:pPr>
        <w:ind w:right="20" w:firstLine="410"/>
        <w:spacing w:after="0" w:line="307" w:lineRule="auto"/>
        <w:rPr>
          <w:sz w:val="20"/>
          <w:szCs w:val="20"/>
          <w:color w:val="auto"/>
        </w:rPr>
      </w:pPr>
      <w:r>
        <w:rPr>
          <w:rFonts w:ascii="Arial" w:cs="Arial" w:eastAsia="Arial" w:hAnsi="Arial"/>
          <w:sz w:val="15"/>
          <w:szCs w:val="15"/>
          <w:color w:val="auto"/>
        </w:rPr>
        <w:t>We have never declared or paid any cash dividends on our ordinary shares. We currently intend to retain all available funds and any future earnings to finance the operation and expansion of our business and do not anticipate paying any dividends on our ordinary shares in the foreseeable future. Consequently, investors who purchase ordinary shares may be unable to realize a gain on their investment except by selling such shares after price appreciation, which may never occur.</w:t>
      </w:r>
    </w:p>
    <w:p>
      <w:pPr>
        <w:spacing w:after="0" w:line="141" w:lineRule="exact"/>
        <w:rPr>
          <w:sz w:val="20"/>
          <w:szCs w:val="20"/>
          <w:color w:val="auto"/>
        </w:rPr>
      </w:pPr>
    </w:p>
    <w:p>
      <w:pPr>
        <w:ind w:right="40" w:firstLine="410"/>
        <w:spacing w:after="0" w:line="280" w:lineRule="auto"/>
        <w:rPr>
          <w:sz w:val="20"/>
          <w:szCs w:val="20"/>
          <w:color w:val="auto"/>
        </w:rPr>
      </w:pPr>
      <w:r>
        <w:rPr>
          <w:rFonts w:ascii="Arial" w:cs="Arial" w:eastAsia="Arial" w:hAnsi="Arial"/>
          <w:sz w:val="16"/>
          <w:szCs w:val="16"/>
          <w:color w:val="auto"/>
        </w:rPr>
        <w:t>Our board of directors has sole discretion regarding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w:t>
      </w:r>
    </w:p>
    <w:p>
      <w:pPr>
        <w:spacing w:after="0" w:line="159"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b w:val="1"/>
          <w:bCs w:val="1"/>
          <w:i w:val="1"/>
          <w:iCs w:val="1"/>
          <w:color w:val="auto"/>
        </w:rPr>
        <w:t>We will continue to incur increased costs as a result of operating as a public company, and our executive leadership team and other employees are required to devote substantial time to new compliance initiatives and corporate governance practices.</w:t>
      </w:r>
    </w:p>
    <w:p>
      <w:pPr>
        <w:spacing w:after="0" w:line="166" w:lineRule="exact"/>
        <w:rPr>
          <w:sz w:val="20"/>
          <w:szCs w:val="20"/>
          <w:color w:val="auto"/>
        </w:rPr>
      </w:pPr>
    </w:p>
    <w:p>
      <w:pPr>
        <w:ind w:firstLine="410"/>
        <w:spacing w:after="0" w:line="288" w:lineRule="auto"/>
        <w:rPr>
          <w:sz w:val="20"/>
          <w:szCs w:val="20"/>
          <w:color w:val="auto"/>
        </w:rPr>
      </w:pPr>
      <w:r>
        <w:rPr>
          <w:rFonts w:ascii="Arial" w:cs="Arial" w:eastAsia="Arial" w:hAnsi="Arial"/>
          <w:sz w:val="15"/>
          <w:szCs w:val="15"/>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and other applicable securities rules and regulations impose various requirements on public companies, including the establishment and maintenance of effective disclosure and financial controls and corporate governance practices. Our executive leadership team and other personnel continue to devote a substantial amount of time to these compliance initiatives. Moreover, these rules and regulations will continue to increase our legal and financial compliance costs and will make some activities more time-consuming and costly. For example, we expect that these rules and regulations may make it more difficult and more expensive for us to obtain director and officer liability insurance, and could also make it more difficult for us to attract and retain qualified members of our board.</w:t>
      </w:r>
    </w:p>
    <w:p>
      <w:pPr>
        <w:spacing w:after="0" w:line="158"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0" w:lineRule="exact"/>
        <w:rPr>
          <w:sz w:val="20"/>
          <w:szCs w:val="20"/>
          <w:color w:val="auto"/>
        </w:rPr>
      </w:pPr>
    </w:p>
    <w:p>
      <w:pPr>
        <w:ind w:right="440" w:firstLine="410"/>
        <w:spacing w:after="0" w:line="268"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66" w:lineRule="exact"/>
        <w:rPr>
          <w:sz w:val="20"/>
          <w:szCs w:val="20"/>
          <w:color w:val="auto"/>
        </w:rPr>
      </w:pPr>
    </w:p>
    <w:p>
      <w:pPr>
        <w:ind w:firstLine="410"/>
        <w:spacing w:after="0" w:line="287" w:lineRule="auto"/>
        <w:rPr>
          <w:sz w:val="20"/>
          <w:szCs w:val="20"/>
          <w:color w:val="auto"/>
        </w:rPr>
      </w:pPr>
      <w:r>
        <w:rPr>
          <w:rFonts w:ascii="Arial" w:cs="Arial" w:eastAsia="Arial" w:hAnsi="Arial"/>
          <w:sz w:val="15"/>
          <w:szCs w:val="15"/>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ind w:firstLine="410"/>
        <w:spacing w:after="0" w:line="253" w:lineRule="auto"/>
        <w:rPr>
          <w:sz w:val="20"/>
          <w:szCs w:val="20"/>
          <w:color w:val="auto"/>
        </w:rPr>
      </w:pPr>
      <w:r>
        <w:rPr>
          <w:rFonts w:ascii="Arial" w:cs="Arial" w:eastAsia="Arial" w:hAnsi="Arial"/>
          <w:sz w:val="17"/>
          <w:szCs w:val="17"/>
          <w:color w:val="auto"/>
        </w:rPr>
        <w:t>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w:t>
      </w:r>
    </w:p>
    <w:p>
      <w:pPr>
        <w:spacing w:after="0" w:line="180" w:lineRule="exact"/>
        <w:rPr>
          <w:sz w:val="20"/>
          <w:szCs w:val="20"/>
          <w:color w:val="auto"/>
        </w:rPr>
      </w:pPr>
    </w:p>
    <w:p>
      <w:pPr>
        <w:ind w:firstLine="410"/>
        <w:spacing w:after="0" w:line="251" w:lineRule="auto"/>
        <w:rPr>
          <w:sz w:val="20"/>
          <w:szCs w:val="20"/>
          <w:color w:val="auto"/>
        </w:rPr>
      </w:pPr>
      <w:r>
        <w:rPr>
          <w:rFonts w:ascii="Arial" w:cs="Arial" w:eastAsia="Arial" w:hAnsi="Arial"/>
          <w:sz w:val="17"/>
          <w:szCs w:val="17"/>
          <w:color w:val="auto"/>
        </w:rPr>
        <w:t>In addition to our results determined in accordance with U.S. GAAP, we believe certain non-GAAP measures and key metrics may be useful in evaluating our operating performance. We present certain non-GAAP financial measures and key performance metrics in this Annual Report and intend to continue to present certain non-GAAP financial measures and key performance metrics in future filings with the SEC and other public statements. Any failure to accurately report and present our non-GAAP financial measures and key performance metrics could cause investors to lose confidence in our reported financial and other information, which would likely have a negative effect on the trading price of our ordinary shares.</w:t>
      </w:r>
    </w:p>
    <w:p>
      <w:pPr>
        <w:spacing w:after="0" w:line="183" w:lineRule="exact"/>
        <w:rPr>
          <w:sz w:val="20"/>
          <w:szCs w:val="20"/>
          <w:color w:val="auto"/>
        </w:rPr>
      </w:pPr>
    </w:p>
    <w:p>
      <w:pPr>
        <w:ind w:firstLine="410"/>
        <w:spacing w:after="0" w:line="285" w:lineRule="auto"/>
        <w:rPr>
          <w:sz w:val="20"/>
          <w:szCs w:val="20"/>
          <w:color w:val="auto"/>
        </w:rPr>
      </w:pPr>
      <w:r>
        <w:rPr>
          <w:rFonts w:ascii="Arial" w:cs="Arial" w:eastAsia="Arial" w:hAnsi="Arial"/>
          <w:sz w:val="15"/>
          <w:szCs w:val="15"/>
          <w:color w:val="auto"/>
        </w:rPr>
        <w:t>Our current controls and any new controls that we develop may become inadequate because of changes in conditions in our business, as a result of our growth and expansion, changes to or additions of new products or otherwise. Further, weaknesses in our disclosure controls and internal control over financial reporting may be discovered in the future. Any failure to develop or maintain effective controls or any difficulties encountered in their implementation or improvement could harm our business, financial condition, and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that we will be required to include in our second annual report that we file with the SEC and annual independent registered public accounting firm attestation reports regarding the effectiveness of our internal control over financial reporting that we will be required to include in our annual reports after we lose our status as an “emerging growth company.” Ineffective disclosure controls and procedures and internal control over financial reporting could also cause investors to lose confidence in our reported financial and other information, which would likely have a negative effect on the trading price of our ordinary shares. In addition, if we are unable to continue to meet these requirements, we may not be able to remain listed on Nasdaq.</w:t>
      </w:r>
    </w:p>
    <w:p>
      <w:pPr>
        <w:spacing w:after="0" w:line="161" w:lineRule="exact"/>
        <w:rPr>
          <w:sz w:val="20"/>
          <w:szCs w:val="20"/>
          <w:color w:val="auto"/>
        </w:rPr>
      </w:pPr>
    </w:p>
    <w:p>
      <w:pPr>
        <w:ind w:right="20" w:firstLine="410"/>
        <w:spacing w:after="0" w:line="283" w:lineRule="auto"/>
        <w:rPr>
          <w:sz w:val="20"/>
          <w:szCs w:val="20"/>
          <w:color w:val="auto"/>
        </w:rPr>
      </w:pPr>
      <w:r>
        <w:rPr>
          <w:rFonts w:ascii="Arial" w:cs="Arial" w:eastAsia="Arial" w:hAnsi="Arial"/>
          <w:sz w:val="15"/>
          <w:szCs w:val="15"/>
          <w:color w:val="auto"/>
        </w:rPr>
        <w:t>We will be required to furnish a report by management on, among other things, the effectiveness of our internal control over financial reporting pursuant to Section 404(a) in the second annual report following the completion of the IPO.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Additionally, when we are no longer an “emerging growth company,” our independent registered public accounting firm will be required to formally attest to the effectiveness of our internal control over financial reporting pursuant to Section 404(b). At such time, our independent registered public accounting firm may issue a report that is adverse in the event it is not satisfied with the level at which our internal control over financial reporting is documented, designed or operating. To achieve compliance with Section 404,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 As a result, the market price of our ordinary shares could be negatively affected, and we could become subject to investigations by the SEC or other regulatory authorities, which could require additional financial and management resources.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50" w:name="page51"/>
    <w:bookmarkEnd w:id="50"/>
    <w:p>
      <w:pPr>
        <w:ind w:right="300" w:firstLine="410"/>
        <w:spacing w:after="0" w:line="268" w:lineRule="auto"/>
        <w:rPr>
          <w:sz w:val="20"/>
          <w:szCs w:val="20"/>
          <w:color w:val="auto"/>
        </w:rPr>
      </w:pPr>
      <w:r>
        <w:rPr>
          <w:rFonts w:ascii="Arial" w:cs="Arial" w:eastAsia="Arial" w:hAnsi="Arial"/>
          <w:sz w:val="17"/>
          <w:szCs w:val="17"/>
          <w:color w:val="auto"/>
        </w:rPr>
        <w:t>Any failure to maintain effective disclosure controls and internal control over financial reporting could adversely affect our business, financial condition, and results of operations and could cause a decline in the price of our ordinary shares.</w:t>
      </w:r>
    </w:p>
    <w:p>
      <w:pPr>
        <w:spacing w:after="0" w:line="166"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b w:val="1"/>
          <w:bCs w:val="1"/>
          <w:i w:val="1"/>
          <w:iCs w:val="1"/>
          <w:color w:val="auto"/>
        </w:rPr>
        <w:t>Our Articles of Association designate the federal district courts of the United States as the sole and exclusive forum for certain types of actions and proceedings that may be initiated by our shareholders.</w:t>
      </w:r>
    </w:p>
    <w:p>
      <w:pPr>
        <w:spacing w:after="0" w:line="166" w:lineRule="exact"/>
        <w:rPr>
          <w:sz w:val="20"/>
          <w:szCs w:val="20"/>
          <w:color w:val="auto"/>
        </w:rPr>
      </w:pPr>
    </w:p>
    <w:p>
      <w:pPr>
        <w:ind w:right="20" w:firstLine="410"/>
        <w:spacing w:after="0" w:line="265" w:lineRule="auto"/>
        <w:rPr>
          <w:sz w:val="20"/>
          <w:szCs w:val="20"/>
          <w:color w:val="auto"/>
        </w:rPr>
      </w:pPr>
      <w:r>
        <w:rPr>
          <w:rFonts w:ascii="Arial" w:cs="Arial" w:eastAsia="Arial" w:hAnsi="Arial"/>
          <w:sz w:val="16"/>
          <w:szCs w:val="16"/>
          <w:color w:val="auto"/>
        </w:rPr>
        <w:t>Our Articles of Association provide that, unless we consent in writing to the selection of an alternative forum, the U.S. federal district courts shall be the sole and exclusive forum for any claim asserting a cause of action arising under the Securities Act. Section 22 of the Securities Act creates concurrent jurisdiction for federal and state courts over all such Securities Act actions. Accordingly, both state and federal courts have jurisdiction to entertain such claims. We note that investors cannot waive compliance with U.S. federal securities laws and the rules and regulations thereunder. This choice of forum provision may limit a shareholder’s ability to bring a claim in a judicial forum that it finds favorable for disputes with us or our directors, officers or other employees and may increase the costs associated with such lawsuits, which may discourage such lawsuits against us and our directors, officers and employees. Alternatively, if a court were to find these provisions of our amended and restates Articles of Association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our share capital shall be deemed to have notice of and to have consented to the choice of forum provisions of our Articles of Association described above. This provision would not apply to suits brought to enforce a duty or liability created by the Exchange Act or any other claim for which the U.S. federal courts have exclusive jurisdiction.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Incorporation and Location in Israel</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Conditions in Israel could materially and adversely affect our business.</w:t>
      </w:r>
    </w:p>
    <w:p>
      <w:pPr>
        <w:spacing w:after="0" w:line="206" w:lineRule="exact"/>
        <w:rPr>
          <w:sz w:val="20"/>
          <w:szCs w:val="20"/>
          <w:color w:val="auto"/>
        </w:rPr>
      </w:pPr>
    </w:p>
    <w:p>
      <w:pPr>
        <w:ind w:firstLine="410"/>
        <w:spacing w:after="0" w:line="288" w:lineRule="auto"/>
        <w:rPr>
          <w:sz w:val="20"/>
          <w:szCs w:val="20"/>
          <w:color w:val="auto"/>
        </w:rPr>
      </w:pPr>
      <w:r>
        <w:rPr>
          <w:rFonts w:ascii="Arial" w:cs="Arial" w:eastAsia="Arial" w:hAnsi="Arial"/>
          <w:sz w:val="15"/>
          <w:szCs w:val="15"/>
          <w:color w:val="auto"/>
        </w:rPr>
        <w:t>Many of our employees, including certain members of our executive leadership team, operate from our offices that are located in Tel Aviv, Israel. In addition, a number of our officers and directors are residents of Israel. Accordingly, political, economic, and military conditions in Israel and the surrounding region may directly affect our business and operations.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Some of these hostilities were accompanied by missiles being fired from the Gaza Strip against civilian targets in various parts of Israel, including areas in which some employees and consultants are located, and negatively affected business conditions in Israel. Any hostilities involving Israel or the interruption or curtailment of trade between Israel and its trading partners could adversely affect our operations and results of operations.</w:t>
      </w:r>
    </w:p>
    <w:p>
      <w:pPr>
        <w:spacing w:after="0" w:line="158" w:lineRule="exact"/>
        <w:rPr>
          <w:sz w:val="20"/>
          <w:szCs w:val="20"/>
          <w:color w:val="auto"/>
        </w:rPr>
      </w:pPr>
    </w:p>
    <w:p>
      <w:pPr>
        <w:ind w:right="120" w:firstLine="410"/>
        <w:spacing w:after="0" w:line="298" w:lineRule="auto"/>
        <w:rPr>
          <w:sz w:val="20"/>
          <w:szCs w:val="20"/>
          <w:color w:val="auto"/>
        </w:rPr>
      </w:pPr>
      <w:r>
        <w:rPr>
          <w:rFonts w:ascii="Arial" w:cs="Arial" w:eastAsia="Arial" w:hAnsi="Arial"/>
          <w:sz w:val="15"/>
          <w:szCs w:val="15"/>
          <w:color w:val="auto"/>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results of operations.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ind w:right="20" w:firstLine="410"/>
        <w:spacing w:after="0" w:line="307" w:lineRule="auto"/>
        <w:rPr>
          <w:sz w:val="20"/>
          <w:szCs w:val="20"/>
          <w:color w:val="auto"/>
        </w:rPr>
      </w:pPr>
      <w:r>
        <w:rPr>
          <w:rFonts w:ascii="Arial" w:cs="Arial" w:eastAsia="Arial" w:hAnsi="Arial"/>
          <w:sz w:val="15"/>
          <w:szCs w:val="15"/>
          <w:color w:val="auto"/>
        </w:rPr>
        <w:t>Further the State of Israel and Israeli companies have been from time to time subjected to economic boycotts. Several countries still restrict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w:t>
      </w:r>
    </w:p>
    <w:p>
      <w:pPr>
        <w:spacing w:after="0" w:line="141" w:lineRule="exact"/>
        <w:rPr>
          <w:sz w:val="20"/>
          <w:szCs w:val="20"/>
          <w:color w:val="auto"/>
        </w:rPr>
      </w:pPr>
    </w:p>
    <w:p>
      <w:pPr>
        <w:ind w:firstLine="410"/>
        <w:spacing w:after="0" w:line="251" w:lineRule="auto"/>
        <w:rPr>
          <w:sz w:val="20"/>
          <w:szCs w:val="20"/>
          <w:color w:val="auto"/>
        </w:rPr>
      </w:pPr>
      <w:r>
        <w:rPr>
          <w:rFonts w:ascii="Arial" w:cs="Arial" w:eastAsia="Arial" w:hAnsi="Arial"/>
          <w:sz w:val="17"/>
          <w:szCs w:val="17"/>
          <w:color w:val="auto"/>
        </w:rPr>
        <w:t>In addition, many Israeli citizens are obligated to perform several days, and in some cases more, of annual military reserve duty each year until they reach the age of 40 (or older, for reservists who are military officers or who have certain occupations) and, in the event of a military conflict, may be called to active duty. In response to increases in terrorist activity, there have been periods of significant call-ups of military reservists. It is possible that there will be military reserve duty call-ups in the future. Our operations could be disrupted by such call-ups. Such disruption could materially adversely affect our business, prospects, financial condition and results of operations.</w:t>
      </w:r>
    </w:p>
    <w:p>
      <w:pPr>
        <w:spacing w:after="0" w:line="183"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b w:val="1"/>
          <w:bCs w:val="1"/>
          <w:i w:val="1"/>
          <w:iCs w:val="1"/>
          <w:color w:val="auto"/>
        </w:rPr>
        <w:t>It may be difficult to enforce a U.S. judgment against us, and our officers and directors named in this Annual Report, in Israel or the United States, or to assert U.S. securities laws claims in Israel or serve process on our officers and directors.</w:t>
      </w:r>
    </w:p>
    <w:p>
      <w:pPr>
        <w:spacing w:after="0" w:line="166" w:lineRule="exact"/>
        <w:rPr>
          <w:sz w:val="20"/>
          <w:szCs w:val="20"/>
          <w:color w:val="auto"/>
        </w:rPr>
      </w:pPr>
    </w:p>
    <w:p>
      <w:pPr>
        <w:ind w:right="40" w:firstLine="410"/>
        <w:spacing w:after="0" w:line="266" w:lineRule="auto"/>
        <w:rPr>
          <w:sz w:val="20"/>
          <w:szCs w:val="20"/>
          <w:color w:val="auto"/>
        </w:rPr>
      </w:pPr>
      <w:r>
        <w:rPr>
          <w:rFonts w:ascii="Arial" w:cs="Arial" w:eastAsia="Arial" w:hAnsi="Arial"/>
          <w:sz w:val="16"/>
          <w:szCs w:val="16"/>
          <w:color w:val="auto"/>
        </w:rPr>
        <w:t>Not all of our directors or officers are residents of the United States and most of their and our assets are located outside the United States. Service of process upon us or our non-U.S. resident directors and officers and enforcement of judgments obtained in the United States against us or our non-U.S. our directors and executive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Under certain circumstances, Israeli courts might not enforce judgments rendered outside Israel, which may make it difficult to collect on judgments rendered against us or our non-U.S. officers and directors.</w:t>
      </w:r>
    </w:p>
    <w:p>
      <w:pPr>
        <w:spacing w:after="0" w:line="170" w:lineRule="exact"/>
        <w:rPr>
          <w:sz w:val="20"/>
          <w:szCs w:val="20"/>
          <w:color w:val="auto"/>
        </w:rPr>
      </w:pPr>
    </w:p>
    <w:p>
      <w:pPr>
        <w:ind w:right="900"/>
        <w:spacing w:after="0" w:line="268" w:lineRule="auto"/>
        <w:rPr>
          <w:sz w:val="20"/>
          <w:szCs w:val="20"/>
          <w:color w:val="auto"/>
        </w:rPr>
      </w:pPr>
      <w:r>
        <w:rPr>
          <w:rFonts w:ascii="Arial" w:cs="Arial" w:eastAsia="Arial" w:hAnsi="Arial"/>
          <w:sz w:val="17"/>
          <w:szCs w:val="17"/>
          <w:b w:val="1"/>
          <w:bCs w:val="1"/>
          <w:i w:val="1"/>
          <w:iCs w:val="1"/>
          <w:color w:val="auto"/>
        </w:rPr>
        <w:t>Your rights and responsibilities as our shareholder will be governed by Israeli law, which differ in some respects from the rights and responsibilities of shareholders of U.S. corporations.</w:t>
      </w:r>
    </w:p>
    <w:p>
      <w:pPr>
        <w:spacing w:after="0" w:line="166" w:lineRule="exact"/>
        <w:rPr>
          <w:sz w:val="20"/>
          <w:szCs w:val="20"/>
          <w:color w:val="auto"/>
        </w:rPr>
      </w:pPr>
    </w:p>
    <w:p>
      <w:pPr>
        <w:ind w:right="80" w:firstLine="410"/>
        <w:spacing w:after="0" w:line="286" w:lineRule="auto"/>
        <w:rPr>
          <w:sz w:val="20"/>
          <w:szCs w:val="20"/>
          <w:color w:val="auto"/>
        </w:rPr>
      </w:pPr>
      <w:r>
        <w:rPr>
          <w:rFonts w:ascii="Arial" w:cs="Arial" w:eastAsia="Arial" w:hAnsi="Arial"/>
          <w:sz w:val="15"/>
          <w:szCs w:val="15"/>
          <w:color w:val="auto"/>
        </w:rPr>
        <w:t>We are incorporated under Israeli law. The rights and responsibilities of holders of our ordinary shares are governed by our Articles of Association and the Companies Law. These rights and responsibilities differ in some respects from the rights and responsibilities of shareholders in typical U.S. corporations. In particular, pursuant to the Companies Law, each shareholder of an Israeli company has to act in good faith and in a customary manner in exercising his or her rights and fulfilling his or her obligations toward the Company and other shareholders and to refrain from abusing his or her power in the Company, including, among other things, in voting at the general meeting of shareholders on amendments to a company’s articles of association, and with regard to increases in a company’s authorized share capital, mergers and certain transactions requiring shareholders’ approval under the Companies Law. In addition, a controlling shareholder of an Israeli company or a shareholder who knows that it possesses the power to determine the outcome of a shareholder vote or who has the power to appoint or prevent the appointment of a director or officer in the company or has other powers toward the Company has a duty of fairness toward the Company. However, Israeli law does not define the substance of this duty of fairness. There is little case law available to assist in understanding the implications of these provisions that govern shareholder behavior.</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ind w:right="480"/>
        <w:spacing w:after="0" w:line="257" w:lineRule="auto"/>
        <w:rPr>
          <w:sz w:val="20"/>
          <w:szCs w:val="20"/>
          <w:color w:val="auto"/>
        </w:rPr>
      </w:pPr>
      <w:r>
        <w:rPr>
          <w:rFonts w:ascii="Arial" w:cs="Arial" w:eastAsia="Arial" w:hAnsi="Arial"/>
          <w:sz w:val="17"/>
          <w:szCs w:val="17"/>
          <w:b w:val="1"/>
          <w:bCs w:val="1"/>
          <w:i w:val="1"/>
          <w:iCs w:val="1"/>
          <w:color w:val="auto"/>
        </w:rPr>
        <w:t>We (or companies we have acquired) have received Israeli government grants for certain research and development activities. The terms of these grants may require us to satisfy specified conditions in order to develop and transfer technologies supported by such grants outside of Israel. In addition, in some circumstances, we may be required to pay penalties in addition to repaying the grants.</w:t>
      </w:r>
    </w:p>
    <w:p>
      <w:pPr>
        <w:spacing w:after="0" w:line="175" w:lineRule="exact"/>
        <w:rPr>
          <w:sz w:val="20"/>
          <w:szCs w:val="20"/>
          <w:color w:val="auto"/>
        </w:rPr>
      </w:pPr>
    </w:p>
    <w:p>
      <w:pPr>
        <w:jc w:val="both"/>
        <w:ind w:right="400" w:firstLine="410"/>
        <w:spacing w:after="0" w:line="257" w:lineRule="auto"/>
        <w:rPr>
          <w:sz w:val="20"/>
          <w:szCs w:val="20"/>
          <w:color w:val="auto"/>
        </w:rPr>
      </w:pPr>
      <w:r>
        <w:rPr>
          <w:rFonts w:ascii="Arial" w:cs="Arial" w:eastAsia="Arial" w:hAnsi="Arial"/>
          <w:sz w:val="17"/>
          <w:szCs w:val="17"/>
          <w:color w:val="auto"/>
        </w:rPr>
        <w:t>A company we acquired in 2017 was previously financed, in part, through grants from the IIA. As part of the acquisition transaction, we assumed all rights, restrictions and obligation towards the IIA in respect of such grants. From its inception through 2017, that company conducted projects with the IIA’s support and received grants totaling $0.3 million from the IIA, which have been fully repaid.</w:t>
      </w:r>
    </w:p>
    <w:p>
      <w:pPr>
        <w:spacing w:after="0" w:line="175" w:lineRule="exact"/>
        <w:rPr>
          <w:sz w:val="20"/>
          <w:szCs w:val="20"/>
          <w:color w:val="auto"/>
        </w:rPr>
      </w:pPr>
    </w:p>
    <w:p>
      <w:pPr>
        <w:ind w:right="200" w:firstLine="410"/>
        <w:spacing w:after="0" w:line="268" w:lineRule="auto"/>
        <w:rPr>
          <w:sz w:val="20"/>
          <w:szCs w:val="20"/>
          <w:color w:val="auto"/>
        </w:rPr>
      </w:pPr>
      <w:r>
        <w:rPr>
          <w:rFonts w:ascii="Arial" w:cs="Arial" w:eastAsia="Arial" w:hAnsi="Arial"/>
          <w:sz w:val="16"/>
          <w:szCs w:val="16"/>
          <w:color w:val="auto"/>
        </w:rPr>
        <w:t>The Innovation Law requires, inter alia, that the products developed as part of the programs under which the grants were given be manufactured in Israel and restricts the ability to transfer know-how funded by IIA outside of Israel. Transfer of IIA-funded know-how outside of Israel requires prior approval and is subject to payment of a redemption fee to the IIA calculated according to a formula provided under the Innovation Law. A transfer for the purpose of the Innovation Law is generally interpreted very broadly and includes, inter alia, any actual sale of the IIA-funded know-how, any license to develop the IIA-funded know-how or the products resulting from such IIA-funded know-how or any other transaction, which, in essence, constitutes a transfer of IIA-funded know-how. We cannot be certain that any approval of the IIA will be obtained on terms that are acceptable to us, or at all. We may not receive the required approvals should we wish to transfer IIA-funded know-how and/or development outside of Israel in the future.</w:t>
      </w:r>
    </w:p>
    <w:p>
      <w:pPr>
        <w:spacing w:after="0" w:line="169"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Subject to prior approval of the IIA, we may transfer the IIA-funded know-how to another Israeli company. If the IIA-funded know-how is transferred to another Israeli entity, the transfer would still require IIA approval but will not be subject to the payment of the redemption fee. In such case, the acquiring company would have to assume all of the applicable restrictions and obligations towards the IIA (including the restrictions on the transfer of know-how and manufacturing capacity, to the extent applicable, outside of Israel) as a condition to IIA approval.</w:t>
      </w:r>
    </w:p>
    <w:p>
      <w:pPr>
        <w:spacing w:after="0" w:line="180" w:lineRule="exact"/>
        <w:rPr>
          <w:sz w:val="20"/>
          <w:szCs w:val="20"/>
          <w:color w:val="auto"/>
        </w:rPr>
      </w:pPr>
    </w:p>
    <w:p>
      <w:pPr>
        <w:ind w:right="620"/>
        <w:spacing w:after="0" w:line="268" w:lineRule="auto"/>
        <w:rPr>
          <w:sz w:val="20"/>
          <w:szCs w:val="20"/>
          <w:color w:val="auto"/>
        </w:rPr>
      </w:pPr>
      <w:r>
        <w:rPr>
          <w:rFonts w:ascii="Arial" w:cs="Arial" w:eastAsia="Arial" w:hAnsi="Arial"/>
          <w:sz w:val="17"/>
          <w:szCs w:val="17"/>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66" w:lineRule="exact"/>
        <w:rPr>
          <w:sz w:val="20"/>
          <w:szCs w:val="20"/>
          <w:color w:val="auto"/>
        </w:rPr>
      </w:pPr>
    </w:p>
    <w:p>
      <w:pPr>
        <w:ind w:firstLine="410"/>
        <w:spacing w:after="0" w:line="281" w:lineRule="auto"/>
        <w:rPr>
          <w:sz w:val="20"/>
          <w:szCs w:val="20"/>
          <w:color w:val="auto"/>
        </w:rPr>
      </w:pPr>
      <w:r>
        <w:rPr>
          <w:rFonts w:ascii="Arial" w:cs="Arial" w:eastAsia="Arial" w:hAnsi="Arial"/>
          <w:sz w:val="15"/>
          <w:szCs w:val="15"/>
          <w:color w:val="auto"/>
        </w:rPr>
        <w:t>A significant portion of our intellectual property has been developed by our employees in the course of their employment for us. Under the Israeli Patent Law, 5727-1967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(the “Committee”), a body constituted under the Patent Law, shall determine whether the employee is entitled to remuneration for his or her inventions. Case law clarifies that the right to receive consideration for “service inventions” can be waived by the employee. The Committee will examine, on a case-by-case basis, the general contractual framework between the parties, using interpretation rules of the general Israeli contract laws. Further, the Committee has not yet determined one specific formula for calculating this remuneration, but rather uses the criteria specified in the Patent Law. Although we generally enter into assignment-of-</w:t>
      </w:r>
    </w:p>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invention agreements with our employees pursuant to which such individuals waive their right to remuneration for service inventions, we may face claims demanding remuneration in consideration for assigned inventions. As a consequence of such claims, we could be required to pay additional remuneration or royalties to our current and/or former employees, or be forced to litigate such claims, which could negatively affect our business.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3" w:name="page54"/>
    <w:bookmarkEnd w:id="53"/>
    <w:p>
      <w:pPr>
        <w:jc w:val="both"/>
        <w:spacing w:after="0" w:line="338" w:lineRule="auto"/>
        <w:rPr>
          <w:sz w:val="20"/>
          <w:szCs w:val="20"/>
          <w:color w:val="auto"/>
        </w:rPr>
      </w:pPr>
      <w:r>
        <w:rPr>
          <w:rFonts w:ascii="Arial" w:cs="Arial" w:eastAsia="Arial" w:hAnsi="Arial"/>
          <w:sz w:val="14"/>
          <w:szCs w:val="14"/>
          <w:b w:val="1"/>
          <w:bCs w:val="1"/>
          <w:i w:val="1"/>
          <w:iCs w:val="1"/>
          <w:color w:val="auto"/>
        </w:rPr>
        <w:t>Our Articles of Association provide that unless we consent otherwise, the competent courts of Tel Aviv, Israel shall be the sole and exclusive forum for substantially all disputes between us and our shareholders under the Companies Law and the Israeli Securities Law, which could limit our shareholders’ ability to bring claims and proceedings against, as well as obtain a favorable judicial forum for disputes with, us and our directors, officers and other employees.</w:t>
      </w:r>
    </w:p>
    <w:p>
      <w:pPr>
        <w:spacing w:after="0" w:line="123" w:lineRule="exact"/>
        <w:rPr>
          <w:sz w:val="20"/>
          <w:szCs w:val="20"/>
          <w:color w:val="auto"/>
        </w:rPr>
      </w:pPr>
    </w:p>
    <w:p>
      <w:pPr>
        <w:ind w:right="80" w:firstLine="410"/>
        <w:spacing w:after="0" w:line="287" w:lineRule="auto"/>
        <w:rPr>
          <w:sz w:val="20"/>
          <w:szCs w:val="20"/>
          <w:color w:val="auto"/>
        </w:rPr>
      </w:pPr>
      <w:r>
        <w:rPr>
          <w:rFonts w:ascii="Arial" w:cs="Arial" w:eastAsia="Arial" w:hAnsi="Arial"/>
          <w:sz w:val="15"/>
          <w:szCs w:val="15"/>
          <w:color w:val="auto"/>
        </w:rPr>
        <w:t>Unless we consent in writing to the selection of an alternative forum, the competent courts of Tel Aviv, Israel shall be the exclusive forum for (i) any derivative action or proceeding brought on our behalf, (ii) any action asserting a claim of breach of fiduciary duty owed by any of our directors, officers or other employees to us or our shareholders, or (iii) any action asserting a claim arising pursuant to any provision of the Companies Law or the Israeli Securities Law. This exclusive forum provision is intended to apply to claims arising under Israeli Law and would not apply to claims brought pursuant to the Securities Act or the Exchange Act or any other claim for which U.S. federal courts would have exclusive jurisdiction. Such exclusive forum provision in our Articles of Association will not relieve us of our duties to comply with U.S. federal securities laws and the rules and regulations thereunder, and shareholders will not be deemed to have waived our compliance with these laws, rules and regulations. This exclusive forum provision may limit a shareholder’s ability to bring a claim in a judicial forum of its choosing for disputes with us or our directors, officers or other employees, which may discourage lawsuits against us and our directors, officers and other employees.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210"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b w:val="1"/>
          <w:bCs w:val="1"/>
          <w:i w:val="1"/>
          <w:iCs w:val="1"/>
          <w:color w:val="auto"/>
        </w:rPr>
        <w:t>If we are unable to consummate acquisitions at acceptable prices, and to enter into other strategic transactions and relationships that support our long-term strategy, our growth rate and our business, financial condition and results of operations could be negatively affected. These transactions and relationships also subject us to certain risks.</w:t>
      </w:r>
    </w:p>
    <w:p>
      <w:pPr>
        <w:spacing w:after="0" w:line="175" w:lineRule="exact"/>
        <w:rPr>
          <w:sz w:val="20"/>
          <w:szCs w:val="20"/>
          <w:color w:val="auto"/>
        </w:rPr>
      </w:pPr>
    </w:p>
    <w:p>
      <w:pPr>
        <w:ind w:firstLine="410"/>
        <w:spacing w:after="0" w:line="286" w:lineRule="auto"/>
        <w:rPr>
          <w:sz w:val="20"/>
          <w:szCs w:val="20"/>
          <w:color w:val="auto"/>
        </w:rPr>
      </w:pPr>
      <w:r>
        <w:rPr>
          <w:rFonts w:ascii="Arial" w:cs="Arial" w:eastAsia="Arial" w:hAnsi="Arial"/>
          <w:sz w:val="15"/>
          <w:szCs w:val="15"/>
          <w:color w:val="auto"/>
        </w:rPr>
        <w:t>As part of our business strategy, we may acquire or make investments in complementary companies, products or technologies, and enter into other strategic transactions and relationships in the ordinary course. Our ability to grow our revenues,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the past, which could adversely impact our growth rate and our business, financial condition and results of operations. Promising acquisitions, investments and other strategic transactions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acceptable terms. In addition, competition for acquisitions, investments and other strategic transactions may result in higher purchase prices or other terms less economically favorable to us. Changes in accounting or regulatory requirements or instability in the credit markets could also adversely impact our ability to consummate these transactions on acceptable terms or at all.</w:t>
      </w:r>
    </w:p>
    <w:p>
      <w:pPr>
        <w:spacing w:after="0" w:line="159"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In addition, even if we are able to consummate acquisitions and enter into other strategic transactions and relationships, these transactions and relationships involve a number of financial, accounting, managerial, operational, legal, compliance and other risks and challenges, including the following, any of which could negatively affect our growth rate and the trading price of our ordinary shares, and may have a material adverse effect on our business, financial condition and results of operations:</w:t>
      </w:r>
    </w:p>
    <w:p>
      <w:pPr>
        <w:spacing w:after="0" w:line="180" w:lineRule="exact"/>
        <w:rPr>
          <w:sz w:val="20"/>
          <w:szCs w:val="20"/>
          <w:color w:val="auto"/>
        </w:rPr>
      </w:pPr>
    </w:p>
    <w:p>
      <w:pPr>
        <w:ind w:left="740" w:right="60" w:hanging="325"/>
        <w:spacing w:after="0" w:line="257"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business, technology, product or solution that we acquire or invest in could under-perform relative to our expectations and the price that we paid or not perform in accordance with our anticipated timetable, or we could fail to operate any such business or deploy any such technology, product or solution profitably.</w:t>
      </w:r>
    </w:p>
    <w:p>
      <w:pPr>
        <w:spacing w:after="0" w:line="175" w:lineRule="exact"/>
        <w:rPr>
          <w:rFonts w:ascii="Arial" w:cs="Arial" w:eastAsia="Arial" w:hAnsi="Arial"/>
          <w:sz w:val="17"/>
          <w:szCs w:val="17"/>
          <w:color w:val="auto"/>
        </w:rPr>
      </w:pPr>
    </w:p>
    <w:p>
      <w:pPr>
        <w:ind w:left="740" w:right="320" w:hanging="325"/>
        <w:spacing w:after="0" w:line="335" w:lineRule="auto"/>
        <w:tabs>
          <w:tab w:leader="none" w:pos="7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may incur or assume significant debt in connection with our acquisitions and other strategic transactions and relationships, which could also cause a deterioration of our credit ratings, result in increased borrowing costs and interest expense and diminish our future access to the capital markets.</w:t>
      </w:r>
    </w:p>
    <w:p>
      <w:pPr>
        <w:spacing w:after="0" w:line="121" w:lineRule="exact"/>
        <w:rPr>
          <w:rFonts w:ascii="Arial" w:cs="Arial" w:eastAsia="Arial" w:hAnsi="Arial"/>
          <w:sz w:val="15"/>
          <w:szCs w:val="15"/>
          <w:color w:val="auto"/>
        </w:rPr>
      </w:pPr>
    </w:p>
    <w:p>
      <w:pPr>
        <w:ind w:left="740" w:right="480" w:hanging="325"/>
        <w:spacing w:after="0" w:line="268"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Acquisitions and other strategic transactions and relationships could cause our financial results to differ from our own or the investment community’s expectations in any given period, or over the long-term.</w:t>
      </w:r>
    </w:p>
    <w:p>
      <w:pPr>
        <w:spacing w:after="0" w:line="165" w:lineRule="exact"/>
        <w:rPr>
          <w:rFonts w:ascii="Arial" w:cs="Arial" w:eastAsia="Arial" w:hAnsi="Arial"/>
          <w:sz w:val="17"/>
          <w:szCs w:val="17"/>
          <w:color w:val="auto"/>
        </w:rPr>
      </w:pPr>
    </w:p>
    <w:p>
      <w:pPr>
        <w:ind w:left="740" w:right="240" w:hanging="325"/>
        <w:spacing w:after="0" w:line="268"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Pre-closing and post-closing earnings charges could adversely impact operating results in any given period, and the impact may be substantially different from period to period.</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4" w:name="page55"/>
    <w:bookmarkEnd w:id="54"/>
    <w:p>
      <w:pPr>
        <w:ind w:left="740" w:right="240" w:hanging="325"/>
        <w:spacing w:after="0" w:line="268"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Acquisitions and other strategic transactions and relationships could create demands on our management, operational resources and financial and internal control systems that we are unable to effectively address.</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could experience difficulty in integrating personnel, operations and financial and other controls and systems and retaining key employees and customers.</w:t>
      </w:r>
    </w:p>
    <w:p>
      <w:pPr>
        <w:spacing w:after="0" w:line="229" w:lineRule="exact"/>
        <w:rPr>
          <w:rFonts w:ascii="Arial" w:cs="Arial" w:eastAsia="Arial" w:hAnsi="Arial"/>
          <w:sz w:val="15"/>
          <w:szCs w:val="15"/>
          <w:color w:val="auto"/>
        </w:rPr>
      </w:pPr>
    </w:p>
    <w:p>
      <w:pPr>
        <w:ind w:left="740" w:hanging="325"/>
        <w:spacing w:after="0"/>
        <w:tabs>
          <w:tab w:leader="none" w:pos="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may be unable to achieve cost savings or other synergies anticipated in connection with an acquisition or other strategic transaction or relationship.</w:t>
      </w:r>
    </w:p>
    <w:p>
      <w:pPr>
        <w:spacing w:after="0" w:line="229" w:lineRule="exact"/>
        <w:rPr>
          <w:rFonts w:ascii="Arial" w:cs="Arial" w:eastAsia="Arial" w:hAnsi="Arial"/>
          <w:sz w:val="15"/>
          <w:szCs w:val="15"/>
          <w:color w:val="auto"/>
        </w:rPr>
      </w:pPr>
    </w:p>
    <w:p>
      <w:pPr>
        <w:ind w:left="740" w:hanging="325"/>
        <w:spacing w:after="0" w:line="307" w:lineRule="auto"/>
        <w:tabs>
          <w:tab w:leader="none" w:pos="7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spacing w:after="0" w:line="141" w:lineRule="exact"/>
        <w:rPr>
          <w:rFonts w:ascii="Arial" w:cs="Arial" w:eastAsia="Arial" w:hAnsi="Arial"/>
          <w:sz w:val="15"/>
          <w:szCs w:val="15"/>
          <w:color w:val="auto"/>
        </w:rPr>
      </w:pPr>
    </w:p>
    <w:p>
      <w:pPr>
        <w:ind w:left="740" w:right="160" w:hanging="325"/>
        <w:spacing w:after="0" w:line="268"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connection with acquisitions and other strategic transactions and relationships, we often enter into post-closing financial arrangements such as purchase price adjustments, earn-out obligations and indemnification obligations, which may have unpredictable financial results.</w:t>
      </w:r>
    </w:p>
    <w:p>
      <w:pPr>
        <w:spacing w:after="0" w:line="165" w:lineRule="exact"/>
        <w:rPr>
          <w:rFonts w:ascii="Arial" w:cs="Arial" w:eastAsia="Arial" w:hAnsi="Arial"/>
          <w:sz w:val="17"/>
          <w:szCs w:val="17"/>
          <w:color w:val="auto"/>
        </w:rPr>
      </w:pPr>
    </w:p>
    <w:p>
      <w:pPr>
        <w:ind w:left="740" w:right="360" w:hanging="325"/>
        <w:spacing w:after="0" w:line="268"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 a result of our acquisitions, we have recorded significant goodwill and other assets on our balance sheet and if we are not able to realize the value of these assets, or if the fair value of our investments declines, we may be required to incur impairment charges.</w:t>
      </w:r>
    </w:p>
    <w:p>
      <w:pPr>
        <w:spacing w:after="0" w:line="165" w:lineRule="exact"/>
        <w:rPr>
          <w:rFonts w:ascii="Arial" w:cs="Arial" w:eastAsia="Arial" w:hAnsi="Arial"/>
          <w:sz w:val="17"/>
          <w:szCs w:val="17"/>
          <w:color w:val="auto"/>
        </w:rPr>
      </w:pPr>
    </w:p>
    <w:p>
      <w:pPr>
        <w:ind w:left="740" w:right="340" w:hanging="325"/>
        <w:spacing w:after="0" w:line="268"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have interests that diverge from those of our strategic partners and we may not be able to direct the management and operations of the strategic relationship in the manner we believe is most appropriate, exposing us to additional risk.</w:t>
      </w:r>
    </w:p>
    <w:p>
      <w:pPr>
        <w:spacing w:after="0" w:line="166" w:lineRule="exact"/>
        <w:rPr>
          <w:sz w:val="20"/>
          <w:szCs w:val="20"/>
          <w:color w:val="auto"/>
        </w:rPr>
      </w:pPr>
    </w:p>
    <w:p>
      <w:pPr>
        <w:ind w:right="60" w:firstLine="410"/>
        <w:spacing w:after="0" w:line="335" w:lineRule="auto"/>
        <w:rPr>
          <w:sz w:val="20"/>
          <w:szCs w:val="20"/>
          <w:color w:val="auto"/>
        </w:rPr>
      </w:pPr>
      <w:r>
        <w:rPr>
          <w:rFonts w:ascii="Arial" w:cs="Arial" w:eastAsia="Arial" w:hAnsi="Arial"/>
          <w:sz w:val="15"/>
          <w:szCs w:val="15"/>
          <w:color w:val="auto"/>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spacing w:after="0" w:line="121"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66" w:lineRule="exact"/>
        <w:rPr>
          <w:sz w:val="20"/>
          <w:szCs w:val="20"/>
          <w:color w:val="auto"/>
        </w:rPr>
      </w:pPr>
    </w:p>
    <w:p>
      <w:pPr>
        <w:ind w:right="80" w:firstLine="410"/>
        <w:spacing w:after="0" w:line="265" w:lineRule="auto"/>
        <w:rPr>
          <w:sz w:val="20"/>
          <w:szCs w:val="20"/>
          <w:color w:val="auto"/>
        </w:rPr>
      </w:pPr>
      <w:r>
        <w:rPr>
          <w:rFonts w:ascii="Arial" w:cs="Arial" w:eastAsia="Arial" w:hAnsi="Arial"/>
          <w:sz w:val="16"/>
          <w:szCs w:val="16"/>
          <w:color w:val="auto"/>
        </w:rPr>
        <w:t>Our results of operations may vary based on the impact of changes in our industry or the global economy on us or our customers. Current or future economic uncertainties or downturns could adversely affect our business and results of operations. Negative conditions in the general economy both in the United States and abroad, including conditions resulting from changes in gross domestic product growth, financial, and credit market fluctuations, rising inflation or interest rates, political turmoil, natural catastrophes, the ongoing COVID-19 pandemic, any other pandemic, epidemic or outbreak of infectious disease, warfare, protests and riots, and terrorist attacks on the United States, Europe, the Middle East, the Asia Pacific region, or elsewhere, could cause a decrease in business investments by our customers and potential customers, including spending on information technology, and negatively affect the growth of our business. To the extent our products are perceived by customers and potential customers as discretionary, our revenue may be disproportionately affected by delays or reductions in general information technology spending. Also, customers may choose to develop in-house software as an alternative to using our products. Moreover, competitors may respond to market conditions by lowering prices. We cannot predict the timing, strength or duration of any economic slowdown, instability or recovery, generally or within any particular industry. If the economic conditions of the general economy or markets in which we operate do not improve, or worsen from present levels, our business, results of operations, and financial condition could be adversely affected.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ind w:right="140"/>
        <w:spacing w:after="0" w:line="26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growth included in this Annual Report may prove to be inaccurate, and even if the markets in which we compete achieve the forecasted growth, our business could fail to grow at similar rates, or at all.</w:t>
      </w:r>
    </w:p>
    <w:p>
      <w:pPr>
        <w:spacing w:after="0" w:line="166"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The estimates of market opportunity and forecasts of market growth included in this Annual Report may prove to be inaccurate. Market opportunity estimates and growth forecasts are subject to significant uncertainty and are based on assumptions and estimates that may not prove to be accurate, including as a result of any of the risks described in this Annual Report.</w:t>
      </w:r>
    </w:p>
    <w:p>
      <w:pPr>
        <w:spacing w:after="0" w:line="175" w:lineRule="exact"/>
        <w:rPr>
          <w:sz w:val="20"/>
          <w:szCs w:val="20"/>
          <w:color w:val="auto"/>
        </w:rPr>
      </w:pPr>
    </w:p>
    <w:p>
      <w:pPr>
        <w:ind w:right="80" w:firstLine="410"/>
        <w:spacing w:after="0" w:line="288" w:lineRule="auto"/>
        <w:rPr>
          <w:sz w:val="20"/>
          <w:szCs w:val="20"/>
          <w:color w:val="auto"/>
        </w:rPr>
      </w:pPr>
      <w:r>
        <w:rPr>
          <w:rFonts w:ascii="Arial" w:cs="Arial" w:eastAsia="Arial" w:hAnsi="Arial"/>
          <w:sz w:val="15"/>
          <w:szCs w:val="15"/>
          <w:color w:val="auto"/>
        </w:rPr>
        <w:t>The variables that go into the calculation of our market opportunity are subject to change over time, and there is no guarantee that any particular number or percentage of addressable users or companies covered by our market opportunity estimates will purchase our products at all or generate any particular level of revenue for us. In addition, our ability to expand in any of our target markets depends on a number of factors, including the widespread awareness among key organizational decision makers of, and the cost, performance, and perceived value associated with, our platform and products and those of our competitors. Even if the markets in which we compete meet the size estimates and growth forecasted in this Annual Report, our business could fail to grow at similar rates, or at all. Our growth is subject to many factors, including our success in implementing our business strategy, which is subject to many risks and uncertainties. Accordingly, the forecasts of market growth included in this Annual Report should not be taken as indicative of our future growth.</w:t>
      </w:r>
    </w:p>
    <w:p>
      <w:pPr>
        <w:spacing w:after="0" w:line="158"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are based on assumptions that change or prove to be incorrect, our results of operations could fall below the expectations of securities analysts and investors, resulting in a decline in the trading price of our ordinary shares.</w:t>
      </w:r>
    </w:p>
    <w:p>
      <w:pPr>
        <w:spacing w:after="0" w:line="121" w:lineRule="exact"/>
        <w:rPr>
          <w:sz w:val="20"/>
          <w:szCs w:val="20"/>
          <w:color w:val="auto"/>
        </w:rPr>
      </w:pPr>
    </w:p>
    <w:p>
      <w:pPr>
        <w:ind w:right="60" w:firstLine="410"/>
        <w:spacing w:after="0" w:line="268"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“Operating and Financial Review and Prospects’” included elsewhere in this Annual Report, the results of which form the basis for making judgments about the carrying values of assets, liabilities, equity, revenue, and expenses that are not readily apparent from other sources. Our results of operations may be adversely affected if our assumptions change or if actual circumstances differ from those in our assumptions, which could cause our results of operations to fall below our publicly announced guidance or the expectations of securities analysts and investors, resulting in a decline in the market price of our ordinary shares.</w:t>
      </w:r>
    </w:p>
    <w:p>
      <w:pPr>
        <w:spacing w:after="0" w:line="16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b w:val="1"/>
          <w:bCs w:val="1"/>
          <w:i w:val="1"/>
          <w:iCs w:val="1"/>
          <w:color w:val="auto"/>
        </w:rPr>
        <w:t>Our business activities subject us to litigation risk that could materially and adversely affect us by subjecting us to significant money damages and other remedies, causing unfavorable publicity or increasing our litigation expense.</w:t>
      </w:r>
    </w:p>
    <w:p>
      <w:pPr>
        <w:spacing w:after="0" w:line="166" w:lineRule="exact"/>
        <w:rPr>
          <w:sz w:val="20"/>
          <w:szCs w:val="20"/>
          <w:color w:val="auto"/>
        </w:rPr>
      </w:pPr>
    </w:p>
    <w:p>
      <w:pPr>
        <w:ind w:firstLine="410"/>
        <w:spacing w:after="0" w:line="290" w:lineRule="auto"/>
        <w:rPr>
          <w:sz w:val="20"/>
          <w:szCs w:val="20"/>
          <w:color w:val="auto"/>
        </w:rPr>
      </w:pPr>
      <w:r>
        <w:rPr>
          <w:rFonts w:ascii="Arial" w:cs="Arial" w:eastAsia="Arial" w:hAnsi="Arial"/>
          <w:sz w:val="15"/>
          <w:szCs w:val="15"/>
          <w:color w:val="auto"/>
        </w:rPr>
        <w:t>We are, from time to time, the subject of complaints or litigation, including user claims, contract claims, employee allegations of improper termination and discrimination and claims related to violations of applicable government laws regarding religious freedom, advertising and intellectual property. The number and significance of these potential claims and disputes may increase as our business expands. Any such claim could be expensive to defend and, regardless of its merit, may divert time, money, management’s attention and other valuable resources away from our operations, harm our reputation, and, thereby, adversely affect our business. Further, our insurance may not cover all potential claims made against us or be sufficient to indemnify us for all liability that may be imposed. Additionally, a substantial judgment against us could materially and adversely affect our business, financial condition, results of operations and prospects.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insurance may not provide adequate levels of coverage against claims.</w:t>
      </w:r>
    </w:p>
    <w:p>
      <w:pPr>
        <w:spacing w:after="0" w:line="206" w:lineRule="exact"/>
        <w:rPr>
          <w:sz w:val="20"/>
          <w:szCs w:val="20"/>
          <w:color w:val="auto"/>
        </w:rPr>
      </w:pPr>
    </w:p>
    <w:p>
      <w:pPr>
        <w:ind w:right="160" w:firstLine="410"/>
        <w:spacing w:after="0" w:line="257" w:lineRule="auto"/>
        <w:rPr>
          <w:sz w:val="20"/>
          <w:szCs w:val="20"/>
          <w:color w:val="auto"/>
        </w:rPr>
      </w:pPr>
      <w:r>
        <w:rPr>
          <w:rFonts w:ascii="Arial" w:cs="Arial" w:eastAsia="Arial" w:hAnsi="Arial"/>
          <w:sz w:val="17"/>
          <w:szCs w:val="17"/>
          <w:color w:val="auto"/>
        </w:rPr>
        <w:t>We believe that we maintain insurance customary for businesses of our size and type. However, there are types of losses we may incur that cannot be insured against or that we believe are not economically reasonable to insure. Moreover, any loss incurred could exceed policy limits and policy payments made to us may not be made on a timely basis.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Item 4. Information on the Company</w:t>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A.  History and Development of the Company</w:t>
      </w:r>
    </w:p>
    <w:p>
      <w:pPr>
        <w:spacing w:after="0" w:line="210" w:lineRule="exact"/>
        <w:rPr>
          <w:sz w:val="20"/>
          <w:szCs w:val="20"/>
          <w:color w:val="auto"/>
        </w:rPr>
      </w:pPr>
    </w:p>
    <w:p>
      <w:pPr>
        <w:jc w:val="both"/>
        <w:ind w:right="40" w:firstLine="410"/>
        <w:spacing w:after="0" w:line="253" w:lineRule="auto"/>
        <w:rPr>
          <w:sz w:val="20"/>
          <w:szCs w:val="20"/>
          <w:color w:val="auto"/>
        </w:rPr>
      </w:pPr>
      <w:r>
        <w:rPr>
          <w:rFonts w:ascii="Arial" w:cs="Arial" w:eastAsia="Arial" w:hAnsi="Arial"/>
          <w:sz w:val="17"/>
          <w:szCs w:val="17"/>
          <w:color w:val="auto"/>
        </w:rPr>
        <w:t>WalkMe Ltd. was founded in October 2011 under the name Make Tutorial Ltd. and changed its legal name to WalkMe Ltd. in March of 2012. Our commercial name is WalkMe. In June 2021, we listed our shares on the Nasdaq Global Select Market under the symbol “WKME.” We are a company limited by shares organized under the laws of the State of Israel. We are registered with the Israeli Registrar of Companies. Our registration number is 51-4682269. Our principal executive offices are located at 1 Walter Moses St., Tel Aviv, 6789903, Israel.</w:t>
      </w:r>
    </w:p>
    <w:p>
      <w:pPr>
        <w:spacing w:after="0" w:line="180" w:lineRule="exact"/>
        <w:rPr>
          <w:sz w:val="20"/>
          <w:szCs w:val="20"/>
          <w:color w:val="auto"/>
        </w:rPr>
      </w:pPr>
    </w:p>
    <w:p>
      <w:pPr>
        <w:ind w:firstLine="410"/>
        <w:spacing w:after="0" w:line="290" w:lineRule="auto"/>
        <w:rPr>
          <w:sz w:val="20"/>
          <w:szCs w:val="20"/>
          <w:color w:val="auto"/>
        </w:rPr>
      </w:pPr>
      <w:r>
        <w:rPr>
          <w:rFonts w:ascii="Arial" w:cs="Arial" w:eastAsia="Arial" w:hAnsi="Arial"/>
          <w:sz w:val="15"/>
          <w:szCs w:val="15"/>
          <w:color w:val="auto"/>
        </w:rPr>
        <w:t>Our website address is www.walkme.com, and our telephone number is +972-3-763-0333. We use our website as a means of disclosing material non-public information. Such disclosures will be included on our website in the “Investor Relations” sections. Accordingly, investors should monitor such sections of our website, in addition to following our press releases, SEC filings and public conference calls and webcasts. Information contained on, or that can be accessed through, our website does not constitute a part of this Annual Report and is not incorporated by reference herein. We have included our website address in this Annual Report solely for informational purposes. Our SEC filings are available to you on the SEC’s website at http://www.sec.gov. This site contains reports and other information regarding issuers that file electronically with the SEC. The information on that website is not part of this Annual Report and is not incorporated by reference herein.</w:t>
      </w:r>
    </w:p>
    <w:p>
      <w:pPr>
        <w:spacing w:after="0" w:line="155" w:lineRule="exact"/>
        <w:rPr>
          <w:sz w:val="20"/>
          <w:szCs w:val="20"/>
          <w:color w:val="auto"/>
        </w:rPr>
      </w:pPr>
    </w:p>
    <w:p>
      <w:pPr>
        <w:ind w:right="140" w:firstLine="410"/>
        <w:spacing w:after="0" w:line="268" w:lineRule="auto"/>
        <w:rPr>
          <w:sz w:val="20"/>
          <w:szCs w:val="20"/>
          <w:color w:val="auto"/>
        </w:rPr>
      </w:pPr>
      <w:r>
        <w:rPr>
          <w:rFonts w:ascii="Arial" w:cs="Arial" w:eastAsia="Arial" w:hAnsi="Arial"/>
          <w:sz w:val="17"/>
          <w:szCs w:val="17"/>
          <w:color w:val="auto"/>
        </w:rPr>
        <w:t>Our agent for service of process in the United States is WalkMe, Inc., which maintains its principal offices at 71 Stevenson Street, Floor 20, San Francisco, CA 94105. Its telephone number is 855-492-5563.</w:t>
      </w:r>
    </w:p>
    <w:p>
      <w:pPr>
        <w:spacing w:after="0" w:line="166" w:lineRule="exact"/>
        <w:rPr>
          <w:sz w:val="20"/>
          <w:szCs w:val="20"/>
          <w:color w:val="auto"/>
        </w:rPr>
      </w:pPr>
    </w:p>
    <w:p>
      <w:pPr>
        <w:ind w:right="420" w:firstLine="410"/>
        <w:spacing w:after="0" w:line="268" w:lineRule="auto"/>
        <w:rPr>
          <w:sz w:val="20"/>
          <w:szCs w:val="20"/>
          <w:color w:val="auto"/>
        </w:rPr>
      </w:pPr>
      <w:r>
        <w:rPr>
          <w:rFonts w:ascii="Arial" w:cs="Arial" w:eastAsia="Arial" w:hAnsi="Arial"/>
          <w:sz w:val="17"/>
          <w:szCs w:val="17"/>
          <w:color w:val="auto"/>
        </w:rPr>
        <w:t>For a description of our principal capital expenditures and divestitures, see Item 5. “Operating and Financial Review and Prospects—Liquidity and Capital Resources.”</w:t>
      </w:r>
    </w:p>
    <w:p>
      <w:pPr>
        <w:spacing w:after="0" w:line="162" w:lineRule="exact"/>
        <w:rPr>
          <w:sz w:val="20"/>
          <w:szCs w:val="20"/>
          <w:color w:val="auto"/>
        </w:rPr>
      </w:pPr>
    </w:p>
    <w:p>
      <w:pPr>
        <w:ind w:right="9420" w:firstLine="138"/>
        <w:spacing w:after="0" w:line="495" w:lineRule="auto"/>
        <w:tabs>
          <w:tab w:leader="none" w:pos="427"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Business Overview Overview</w:t>
      </w:r>
    </w:p>
    <w:p>
      <w:pPr>
        <w:spacing w:after="0" w:line="1" w:lineRule="exact"/>
        <w:rPr>
          <w:sz w:val="20"/>
          <w:szCs w:val="20"/>
          <w:color w:val="auto"/>
        </w:rPr>
      </w:pPr>
    </w:p>
    <w:p>
      <w:pPr>
        <w:ind w:firstLine="410"/>
        <w:spacing w:after="0" w:line="307" w:lineRule="auto"/>
        <w:rPr>
          <w:sz w:val="20"/>
          <w:szCs w:val="20"/>
          <w:color w:val="auto"/>
        </w:rPr>
      </w:pPr>
      <w:r>
        <w:rPr>
          <w:rFonts w:ascii="Arial" w:cs="Arial" w:eastAsia="Arial" w:hAnsi="Arial"/>
          <w:sz w:val="15"/>
          <w:szCs w:val="15"/>
          <w:color w:val="auto"/>
        </w:rPr>
        <w:t>WalkMe is a platform which enables organizations to better realize the value of their software investments. Using our cloud-based Digital Adoption Platform, users—employees and customers of organizations—can navigate websites, SaaS applications, or mobile apps through a digital, GPS-like experience to accomplish any task from simple, online transactions, to complex cross-application software processes, to fully autonomous experiences that require no manual clicks or entries.</w:t>
      </w:r>
    </w:p>
    <w:p>
      <w:pPr>
        <w:spacing w:after="0" w:line="141" w:lineRule="exact"/>
        <w:rPr>
          <w:sz w:val="20"/>
          <w:szCs w:val="20"/>
          <w:color w:val="auto"/>
        </w:rPr>
      </w:pPr>
    </w:p>
    <w:p>
      <w:pPr>
        <w:ind w:right="200" w:firstLine="410"/>
        <w:spacing w:after="0" w:line="251" w:lineRule="auto"/>
        <w:rPr>
          <w:sz w:val="20"/>
          <w:szCs w:val="20"/>
          <w:color w:val="auto"/>
        </w:rPr>
      </w:pPr>
      <w:r>
        <w:rPr>
          <w:rFonts w:ascii="Arial" w:cs="Arial" w:eastAsia="Arial" w:hAnsi="Arial"/>
          <w:sz w:val="17"/>
          <w:szCs w:val="17"/>
          <w:color w:val="auto"/>
        </w:rPr>
        <w:t>Using our unique, no code software implementation process, our Digital Adoption Platform overlays upon any application and enables a data first approach to understand the gaps between user interactions and behavior with technology and an organization’s business goals. With actionable insights, we then enable organizations to create and deliver elegant experiences that lead users to success, ensuring digital adoption and ultimately fulfilling the promise of digital transformation. We enable businesses to drive business process adoption by connecting usage data with action for the end user driving a better experience and better business outcomes.</w:t>
      </w:r>
    </w:p>
    <w:p>
      <w:pPr>
        <w:spacing w:after="0" w:line="183" w:lineRule="exact"/>
        <w:rPr>
          <w:sz w:val="20"/>
          <w:szCs w:val="20"/>
          <w:color w:val="auto"/>
        </w:rPr>
      </w:pPr>
    </w:p>
    <w:p>
      <w:pPr>
        <w:ind w:right="340" w:firstLine="410"/>
        <w:spacing w:after="0" w:line="253" w:lineRule="auto"/>
        <w:rPr>
          <w:sz w:val="20"/>
          <w:szCs w:val="20"/>
          <w:color w:val="auto"/>
        </w:rPr>
      </w:pPr>
      <w:r>
        <w:rPr>
          <w:rFonts w:ascii="Arial" w:cs="Arial" w:eastAsia="Arial" w:hAnsi="Arial"/>
          <w:sz w:val="17"/>
          <w:szCs w:val="17"/>
          <w:color w:val="auto"/>
        </w:rPr>
        <w:t>With a digital adoption strategy powered by WalkMe, employees and customers of organizations can benefit from an intuitive and unified technology experiences. Chief information officers (“CIO”) and business leaders gain visibility and insights across the organization’s enterprise technology stack. This allows organizations to become more results driven, agile and innovative, to better compete in today’s ever-changing business environment, to accelerate their digital strategies and to ultimately achieve their objectives.</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57" w:name="page58"/>
    <w:bookmarkEnd w:id="57"/>
    <w:p>
      <w:pPr>
        <w:ind w:firstLine="410"/>
        <w:spacing w:after="0" w:line="266" w:lineRule="auto"/>
        <w:rPr>
          <w:sz w:val="20"/>
          <w:szCs w:val="20"/>
          <w:color w:val="auto"/>
        </w:rPr>
      </w:pPr>
      <w:r>
        <w:rPr>
          <w:rFonts w:ascii="Arial" w:cs="Arial" w:eastAsia="Arial" w:hAnsi="Arial"/>
          <w:sz w:val="16"/>
          <w:szCs w:val="16"/>
          <w:color w:val="auto"/>
        </w:rPr>
        <w:t>The digital revolution has fundamentally shifted the core competencies required of successful companies. According to the U.S. Bureau of Economic Analysis, digital investment, defined as private non-residential fixed investment in software, research and development, and information processing equipment, comprised 56% of all non-residential fixed investment by U.S. businesses as of the fourth quarter of 2020. From remote-first workforces leveraging virtual collaboration for seamless communications to new digitally-enabled business models, technology is impacting every part of people’s lives. Meanwhile, as daily usage of technology has increased over time, expectations for digital interactions have evolved, resulting in the consumerization of software and increased demand for frictionless user experiences. To compete in an increasingly digital world, organizations continue to acquire new technologies, investing billions of dollars a year in software applications that promise specific business outcomes to elevate and exceed their key business metrics. These software applications, increasingly delivered over the cloud, cover every business process and department within an organization. According to Gartner, enterprise software spend is expected to increase from $506 billion in 2021 to $715 billion by 2024, as enterprises invest in software to transform their businesses.</w:t>
      </w:r>
    </w:p>
    <w:p>
      <w:pPr>
        <w:spacing w:after="0" w:line="173" w:lineRule="exact"/>
        <w:rPr>
          <w:sz w:val="20"/>
          <w:szCs w:val="20"/>
          <w:color w:val="auto"/>
        </w:rPr>
      </w:pPr>
    </w:p>
    <w:p>
      <w:pPr>
        <w:ind w:right="100" w:firstLine="410"/>
        <w:spacing w:after="0" w:line="269" w:lineRule="auto"/>
        <w:rPr>
          <w:sz w:val="20"/>
          <w:szCs w:val="20"/>
          <w:color w:val="auto"/>
        </w:rPr>
      </w:pPr>
      <w:r>
        <w:rPr>
          <w:rFonts w:ascii="Arial" w:cs="Arial" w:eastAsia="Arial" w:hAnsi="Arial"/>
          <w:sz w:val="16"/>
          <w:szCs w:val="16"/>
          <w:color w:val="auto"/>
        </w:rPr>
        <w:t>Fully realized, these investments promise increased employee productivity, better customer experiences and improved business insights for CIOs and business leaders. In practice, however, the more software organizations acquire, the more complex their enterprise technology stack is to manage, use and maintain. CIOs and business leaders lack visibility into what or how software is being utilized, which processes can be optimized and whether their technology investments are delivering the expected business value. Similarly, users—both employees and customers—struggle to navigate a growing number of applications with different interfaces to complete business processes. Users must continuously relearn new technology functions that may have vastly different and evolving capabilities while evolving business processes place new demands on the business.</w:t>
      </w:r>
    </w:p>
    <w:p>
      <w:pPr>
        <w:spacing w:after="0" w:line="169" w:lineRule="exact"/>
        <w:rPr>
          <w:sz w:val="20"/>
          <w:szCs w:val="20"/>
          <w:color w:val="auto"/>
        </w:rPr>
      </w:pPr>
    </w:p>
    <w:p>
      <w:pPr>
        <w:ind w:right="240" w:firstLine="410"/>
        <w:spacing w:after="0" w:line="253" w:lineRule="auto"/>
        <w:rPr>
          <w:sz w:val="20"/>
          <w:szCs w:val="20"/>
          <w:color w:val="auto"/>
        </w:rPr>
      </w:pPr>
      <w:r>
        <w:rPr>
          <w:rFonts w:ascii="Arial" w:cs="Arial" w:eastAsia="Arial" w:hAnsi="Arial"/>
          <w:sz w:val="17"/>
          <w:szCs w:val="17"/>
          <w:color w:val="auto"/>
        </w:rPr>
        <w:t>As a result, despite massive investments in technology, the majority of organizations fail to successfully capitalize on their digital transformation initiatives, accomplish their strategic objectives and deliver business value at scale. According to Boston Consulting Group, 70% of digital transformations fall short of their objectives. We believe the principal reason for such failures is the inability of users to overcome deeply rooted behaviors and this resistance to change leads to users never fully adopting the underlying software and processes.</w:t>
      </w:r>
    </w:p>
    <w:p>
      <w:pPr>
        <w:spacing w:after="0" w:line="180" w:lineRule="exact"/>
        <w:rPr>
          <w:sz w:val="20"/>
          <w:szCs w:val="20"/>
          <w:color w:val="auto"/>
        </w:rPr>
      </w:pPr>
    </w:p>
    <w:p>
      <w:pPr>
        <w:jc w:val="both"/>
        <w:ind w:right="180" w:firstLine="410"/>
        <w:spacing w:after="0" w:line="293" w:lineRule="auto"/>
        <w:rPr>
          <w:sz w:val="20"/>
          <w:szCs w:val="20"/>
          <w:color w:val="auto"/>
        </w:rPr>
      </w:pPr>
      <w:r>
        <w:rPr>
          <w:rFonts w:ascii="Arial" w:cs="Arial" w:eastAsia="Arial" w:hAnsi="Arial"/>
          <w:sz w:val="15"/>
          <w:szCs w:val="15"/>
          <w:color w:val="auto"/>
        </w:rPr>
        <w:t>We believe the key to digital adoption is understanding points of failure and bottlenecks through data-based insights, then continually acting on and improving processes to achieve digital transformation more rapidly and strategically. According to a recent Harvard Business Review Analytic Services study we sponsored of over 500 corporate executives, 80% of respondents stated that, in order to increase the chances of digital transformation success, it is important or very important for senior management to have a clear and complete overview of their organization’s digital adoption progress via analytics. Moreover, 81% of those surveyed agreed or strongly agreed that the ability to rapidly adopt new technologies and embed them in their employees’ everyday work is a competitive differentiator in their industry.</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With digital transformation success, we believe CIOs and business leaders:</w:t>
      </w:r>
    </w:p>
    <w:p>
      <w:pPr>
        <w:spacing w:after="0" w:line="206" w:lineRule="exact"/>
        <w:rPr>
          <w:sz w:val="20"/>
          <w:szCs w:val="20"/>
          <w:color w:val="auto"/>
        </w:rPr>
      </w:pPr>
    </w:p>
    <w:p>
      <w:pPr>
        <w:ind w:left="740" w:hanging="325"/>
        <w:spacing w:after="0"/>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gain visibility into the usage of the software applications stack to better understand resource allocation;</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create streamlined digital experiences that meet business goals for the organization;</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have the ability to measure return on investment in technology spend; and</w:t>
      </w:r>
    </w:p>
    <w:p>
      <w:pPr>
        <w:spacing w:after="0" w:line="206" w:lineRule="exact"/>
        <w:rPr>
          <w:rFonts w:ascii="Arial" w:cs="Arial" w:eastAsia="Arial" w:hAnsi="Arial"/>
          <w:sz w:val="17"/>
          <w:szCs w:val="17"/>
          <w:color w:val="auto"/>
        </w:rPr>
      </w:pPr>
    </w:p>
    <w:p>
      <w:pPr>
        <w:ind w:left="420" w:right="3600" w:hanging="5"/>
        <w:spacing w:after="0" w:line="523" w:lineRule="auto"/>
        <w:tabs>
          <w:tab w:leader="none" w:pos="74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track software usage to gain insight into tangible business impact created by manager-led departments. In addition, digital transformation success provides employees and customers with:</w:t>
      </w:r>
    </w:p>
    <w:p>
      <w:pPr>
        <w:spacing w:after="0" w:line="1" w:lineRule="exact"/>
        <w:rPr>
          <w:rFonts w:ascii="Arial" w:cs="Arial" w:eastAsia="Arial" w:hAnsi="Arial"/>
          <w:sz w:val="16"/>
          <w:szCs w:val="16"/>
          <w:color w:val="auto"/>
        </w:rPr>
      </w:pPr>
    </w:p>
    <w:p>
      <w:pPr>
        <w:ind w:left="740" w:hanging="325"/>
        <w:spacing w:after="0"/>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intuitive and improving user experiences with technology;</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simplified learning curves for gaining proficiency on a new application, increasing efficiency and solving the problem of under-utilization of software;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8" w:name="page59"/>
    <w:bookmarkEnd w:id="58"/>
    <w:p>
      <w:pPr>
        <w:ind w:left="740" w:hanging="325"/>
        <w:spacing w:after="0"/>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reduced breadth and variety of applications that they are required to engage with and continuously learn; and</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more frequent engagement with the business process, not just the software, which leads to increased retention.</w:t>
      </w:r>
    </w:p>
    <w:p>
      <w:pPr>
        <w:spacing w:after="0" w:line="206" w:lineRule="exact"/>
        <w:rPr>
          <w:sz w:val="20"/>
          <w:szCs w:val="20"/>
          <w:color w:val="auto"/>
        </w:rPr>
      </w:pPr>
    </w:p>
    <w:p>
      <w:pPr>
        <w:ind w:right="200" w:firstLine="410"/>
        <w:spacing w:after="0" w:line="257" w:lineRule="auto"/>
        <w:rPr>
          <w:sz w:val="20"/>
          <w:szCs w:val="20"/>
          <w:color w:val="auto"/>
        </w:rPr>
      </w:pPr>
      <w:r>
        <w:rPr>
          <w:rFonts w:ascii="Arial" w:cs="Arial" w:eastAsia="Arial" w:hAnsi="Arial"/>
          <w:sz w:val="17"/>
          <w:szCs w:val="17"/>
          <w:color w:val="auto"/>
        </w:rPr>
        <w:t>From new digital transformation programs to optimizing value out of existing technologies, we help organizations tie software adoption to their strategic goals across every level, from CIOs and business leaders, to employees and customers. As of December 31, 2021, through our Digital Adoption Platform, we had approximately 2,000 customers in 42 countries, including 367 of the Global 2000.</w:t>
      </w:r>
    </w:p>
    <w:p>
      <w:pPr>
        <w:spacing w:after="0" w:line="175" w:lineRule="exact"/>
        <w:rPr>
          <w:sz w:val="20"/>
          <w:szCs w:val="20"/>
          <w:color w:val="auto"/>
        </w:rPr>
      </w:pPr>
    </w:p>
    <w:p>
      <w:pPr>
        <w:jc w:val="both"/>
        <w:ind w:firstLine="410"/>
        <w:spacing w:after="0" w:line="253" w:lineRule="auto"/>
        <w:rPr>
          <w:sz w:val="20"/>
          <w:szCs w:val="20"/>
          <w:color w:val="auto"/>
        </w:rPr>
      </w:pPr>
      <w:r>
        <w:rPr>
          <w:rFonts w:ascii="Arial" w:cs="Arial" w:eastAsia="Arial" w:hAnsi="Arial"/>
          <w:sz w:val="17"/>
          <w:szCs w:val="17"/>
          <w:color w:val="auto"/>
        </w:rPr>
        <w:t>Our success in helping customers achieve their digital transformation strategies has allowed us to achieve significant growth. For the years ended December 31, 2020 and 2021, our revenue was $148.3 million and $193.3 million, respectively, representing year-over-year growth of 30%. For the years ended December 31, 2020 and 2021, our net loss was $45.0 million and $80.3 million, respectively, our operating cash flow was ($8.7) million and ($34.2) million, respectively, and our free cash flow was ($11.0) million and ($40.8)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Trends Driving the Need for a Digital Adoption Platform</w:t>
      </w:r>
    </w:p>
    <w:p>
      <w:pPr>
        <w:spacing w:after="0" w:line="210" w:lineRule="exact"/>
        <w:rPr>
          <w:sz w:val="20"/>
          <w:szCs w:val="20"/>
          <w:color w:val="auto"/>
        </w:rPr>
      </w:pPr>
    </w:p>
    <w:p>
      <w:pPr>
        <w:ind w:right="60" w:firstLine="418"/>
        <w:spacing w:after="0" w:line="287" w:lineRule="auto"/>
        <w:rPr>
          <w:sz w:val="20"/>
          <w:szCs w:val="20"/>
          <w:color w:val="auto"/>
        </w:rPr>
      </w:pPr>
      <w:r>
        <w:rPr>
          <w:rFonts w:ascii="Arial" w:cs="Arial" w:eastAsia="Arial" w:hAnsi="Arial"/>
          <w:sz w:val="15"/>
          <w:szCs w:val="15"/>
          <w:b w:val="1"/>
          <w:bCs w:val="1"/>
          <w:i w:val="1"/>
          <w:iCs w:val="1"/>
          <w:color w:val="auto"/>
        </w:rPr>
        <w:t xml:space="preserve">Digital transformation is a priority for enterprise organizations. </w:t>
      </w:r>
      <w:r>
        <w:rPr>
          <w:rFonts w:ascii="Arial" w:cs="Arial" w:eastAsia="Arial" w:hAnsi="Arial"/>
          <w:sz w:val="15"/>
          <w:szCs w:val="15"/>
          <w:color w:val="auto"/>
        </w:rPr>
        <w:t>According to Gartner, enterprise software spend is expected to increase from $506 billion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2021 to $715 billion by 2024, as enterprises invest in technology to increase productivity, better compete and grow their businesses. Moreover, global enterprise spend on digital transformation is projected to reach nearly $2.4 trillion within the next four years, representing over 57% of all business spending on technology, according to IDC. According to research by Accenture, digital leaders, defined as the top 10% of companies leading technology innovation, achieve two to three times greater revenue growth as compared to their competitors—a widening divide that Accenture calls the “Digital Achievement Gap.” As enterprises attempt to drive successful digital transformation, budget allocations to software continue to increase. According to IDC, global enterprise spend on software as a percentage of total global IT spend has grown from 22% in 2016 to 26% in 2020, and is projected to grow to 30% by 2024. Moreover, according to Gartner, by 2025, 70% of organizations will use digital adoption solutions across the entire technology stack to overcome still insufficient application user experiences.</w:t>
      </w:r>
    </w:p>
    <w:p>
      <w:pPr>
        <w:spacing w:after="0" w:line="157" w:lineRule="exact"/>
        <w:rPr>
          <w:sz w:val="20"/>
          <w:szCs w:val="20"/>
          <w:color w:val="auto"/>
        </w:rPr>
      </w:pPr>
    </w:p>
    <w:p>
      <w:pPr>
        <w:ind w:right="160" w:firstLine="418"/>
        <w:spacing w:after="0" w:line="251" w:lineRule="auto"/>
        <w:rPr>
          <w:sz w:val="20"/>
          <w:szCs w:val="20"/>
          <w:color w:val="auto"/>
        </w:rPr>
      </w:pPr>
      <w:r>
        <w:rPr>
          <w:rFonts w:ascii="Arial" w:cs="Arial" w:eastAsia="Arial" w:hAnsi="Arial"/>
          <w:sz w:val="17"/>
          <w:szCs w:val="17"/>
          <w:color w:val="auto"/>
        </w:rPr>
        <w:t>The COVID-19 pandemic has further accelerated this trend, as public health measures force enterprises to accelerate their cloud-migration initiatives, enable virtual work collaboration at scale and transform operations to deliver contactless, digitally-enabled experiences for their employees and customers. According to a KPMG survey, 79% of CEOs say that their companies are accelerating the creation of a seamless digital consumer experience as a result of the COVID-19 pandemic and 63% have increased their digital transformation budget. As technology innovation accelerates in an increasingly online world, companies must become digital or risk being rendered obsolete.</w:t>
      </w:r>
    </w:p>
    <w:p>
      <w:pPr>
        <w:spacing w:after="0" w:line="183" w:lineRule="exact"/>
        <w:rPr>
          <w:sz w:val="20"/>
          <w:szCs w:val="20"/>
          <w:color w:val="auto"/>
        </w:rPr>
      </w:pPr>
    </w:p>
    <w:p>
      <w:pPr>
        <w:ind w:right="20" w:firstLine="418"/>
        <w:spacing w:after="0" w:line="268" w:lineRule="auto"/>
        <w:rPr>
          <w:sz w:val="20"/>
          <w:szCs w:val="20"/>
          <w:color w:val="auto"/>
        </w:rPr>
      </w:pPr>
      <w:r>
        <w:rPr>
          <w:rFonts w:ascii="Arial" w:cs="Arial" w:eastAsia="Arial" w:hAnsi="Arial"/>
          <w:sz w:val="16"/>
          <w:szCs w:val="16"/>
          <w:b w:val="1"/>
          <w:bCs w:val="1"/>
          <w:i w:val="1"/>
          <w:iCs w:val="1"/>
          <w:color w:val="auto"/>
        </w:rPr>
        <w:t xml:space="preserve">Digital transformation is dependent on people adopting new software applications. </w:t>
      </w:r>
      <w:r>
        <w:rPr>
          <w:rFonts w:ascii="Arial" w:cs="Arial" w:eastAsia="Arial" w:hAnsi="Arial"/>
          <w:sz w:val="16"/>
          <w:szCs w:val="16"/>
          <w:color w:val="auto"/>
        </w:rPr>
        <w:t>Based on Blissfully 2020 SaaS trends report, enterprises maintain 288 SaaS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applications, on average, representing approximately 10 applications per employee, with usage of applications growing at an estimated rate of 30% annually. Despite this growth, enterprises are not experiencing the promised returns on their digital transformation investments largely, we believe, because their employees are overwhelmed by the increasing number of software applications they are being asked to learn and utilize, and their customers are confused by new digital interactions that are constantly evolving as applications are updated. Additionally, business processes are constantly evolving to support changing business needs resulting in more confusion and the need to relearn processes and applications. Enterprises require assistance bridging this gap between their digital transformation aspirations and the technical acumen of their internal and external users.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9" w:name="page60"/>
    <w:bookmarkEnd w:id="59"/>
    <w:p>
      <w:pPr>
        <w:ind w:firstLine="418"/>
        <w:spacing w:after="0" w:line="271" w:lineRule="auto"/>
        <w:rPr>
          <w:sz w:val="20"/>
          <w:szCs w:val="20"/>
          <w:color w:val="auto"/>
        </w:rPr>
      </w:pPr>
      <w:r>
        <w:rPr>
          <w:rFonts w:ascii="Arial" w:cs="Arial" w:eastAsia="Arial" w:hAnsi="Arial"/>
          <w:sz w:val="16"/>
          <w:szCs w:val="16"/>
          <w:b w:val="1"/>
          <w:bCs w:val="1"/>
          <w:i w:val="1"/>
          <w:iCs w:val="1"/>
          <w:color w:val="auto"/>
        </w:rPr>
        <w:t>Failure to adopt applications has significant costs for organizations</w:t>
      </w:r>
      <w:r>
        <w:rPr>
          <w:rFonts w:ascii="Arial" w:cs="Arial" w:eastAsia="Arial" w:hAnsi="Arial"/>
          <w:sz w:val="16"/>
          <w:szCs w:val="16"/>
          <w:color w:val="auto"/>
        </w:rPr>
        <w:t>. According to Insight Enterprises, over 20% of licensing spend is on software that is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utilized, which represents $3.0 million a year in wasted investment for most organizations. For employees, underutilization results in additional time required to complete tasks, ultimately leading to lost customers and revenue. For managers, underutilization results in wasted IT spend and resources and reduced employee productivity. As a result, CIOs face difficulty steering their organizations to desired goals. These factors often result in organizations achieving only a small portion of their digital transformation goals while incurring large monetary and operational costs.</w:t>
      </w:r>
    </w:p>
    <w:p>
      <w:pPr>
        <w:spacing w:after="0" w:line="166" w:lineRule="exact"/>
        <w:rPr>
          <w:sz w:val="20"/>
          <w:szCs w:val="20"/>
          <w:color w:val="auto"/>
        </w:rPr>
      </w:pPr>
    </w:p>
    <w:p>
      <w:pPr>
        <w:ind w:firstLine="418"/>
        <w:spacing w:after="0" w:line="269" w:lineRule="auto"/>
        <w:rPr>
          <w:sz w:val="20"/>
          <w:szCs w:val="20"/>
          <w:color w:val="auto"/>
        </w:rPr>
      </w:pPr>
      <w:r>
        <w:rPr>
          <w:rFonts w:ascii="Arial" w:cs="Arial" w:eastAsia="Arial" w:hAnsi="Arial"/>
          <w:sz w:val="16"/>
          <w:szCs w:val="16"/>
          <w:b w:val="1"/>
          <w:bCs w:val="1"/>
          <w:i w:val="1"/>
          <w:iCs w:val="1"/>
          <w:color w:val="auto"/>
        </w:rPr>
        <w:t>Users need a frictionless software application experience</w:t>
      </w:r>
      <w:r>
        <w:rPr>
          <w:rFonts w:ascii="Arial" w:cs="Arial" w:eastAsia="Arial" w:hAnsi="Arial"/>
          <w:sz w:val="16"/>
          <w:szCs w:val="16"/>
          <w:color w:val="auto"/>
        </w:rPr>
        <w:t>. As new advanced digital user interfaces such as wearables, smartphones and AI-powered voice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assistants become more prevalent, enterprise applications appear dated and cumbersome by comparison. This disparity in interfaces affects engagement and heightens expectations for software provided by organizations to their users. Moreover, employees expect frictionless technology experiences, which is in turn critical for employee retention. In the virtual work environment, frictionless onboarding and streamlined workflows have become essential to maintaining an efficient and productive workforce. Meanwhile, customers experience pain points along their digital journeys, such as difficult to navigate websites, which can lead to lost sales. Enterprises must increasingly prioritize frictionless digital experiences for their employees and customers.</w:t>
      </w:r>
    </w:p>
    <w:p>
      <w:pPr>
        <w:spacing w:after="0" w:line="169" w:lineRule="exact"/>
        <w:rPr>
          <w:sz w:val="20"/>
          <w:szCs w:val="20"/>
          <w:color w:val="auto"/>
        </w:rPr>
      </w:pPr>
    </w:p>
    <w:p>
      <w:pPr>
        <w:ind w:right="80" w:firstLine="418"/>
        <w:spacing w:after="0" w:line="268" w:lineRule="auto"/>
        <w:rPr>
          <w:sz w:val="20"/>
          <w:szCs w:val="20"/>
          <w:color w:val="auto"/>
        </w:rPr>
      </w:pPr>
      <w:r>
        <w:rPr>
          <w:rFonts w:ascii="Arial" w:cs="Arial" w:eastAsia="Arial" w:hAnsi="Arial"/>
          <w:sz w:val="17"/>
          <w:szCs w:val="17"/>
          <w:color w:val="auto"/>
        </w:rPr>
        <w:t>In a digital world, delivering experiences that employees value and customers love is key to capturing the benefit of digital transformations and the underlying applications.</w:t>
      </w:r>
    </w:p>
    <w:p>
      <w:pPr>
        <w:spacing w:after="0" w:line="166" w:lineRule="exact"/>
        <w:rPr>
          <w:sz w:val="20"/>
          <w:szCs w:val="20"/>
          <w:color w:val="auto"/>
        </w:rPr>
      </w:pPr>
    </w:p>
    <w:p>
      <w:pPr>
        <w:ind w:right="20" w:firstLine="418"/>
        <w:spacing w:after="0" w:line="288" w:lineRule="auto"/>
        <w:rPr>
          <w:sz w:val="20"/>
          <w:szCs w:val="20"/>
          <w:color w:val="auto"/>
        </w:rPr>
      </w:pPr>
      <w:r>
        <w:rPr>
          <w:rFonts w:ascii="Arial" w:cs="Arial" w:eastAsia="Arial" w:hAnsi="Arial"/>
          <w:sz w:val="15"/>
          <w:szCs w:val="15"/>
          <w:b w:val="1"/>
          <w:bCs w:val="1"/>
          <w:i w:val="1"/>
          <w:iCs w:val="1"/>
          <w:color w:val="auto"/>
        </w:rPr>
        <w:t xml:space="preserve">Business processes span multiple applications across organizational silos. </w:t>
      </w:r>
      <w:r>
        <w:rPr>
          <w:rFonts w:ascii="Arial" w:cs="Arial" w:eastAsia="Arial" w:hAnsi="Arial"/>
          <w:sz w:val="15"/>
          <w:szCs w:val="15"/>
          <w:color w:val="auto"/>
        </w:rPr>
        <w:t>Employees depend on a vast array of enterprise software applications that often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span different departments to perform their job functions. A sales employee may utilize different applications for external purposes such as CRM, quoting and project management, while simultaneously dealing with internal HR, payroll, expense and other back-office tools. According to a recent report by Harvard Business Review Analytic Services, employees find cross-application workflows are on average 42% more difficult to use than single application processes. When multiple workflows exist without sufficient guidance, more potential points of failure arise, as employees can no longer be experts in each application across the organization. A unified and guided user experience becomes critical as the number of applications grows. Finally, for department-level managers and CIOs overseeing entire organizations, multiple applications and workflows without centralization or ML-based analytics do not provide the visibility required for insightful decision-making.</w:t>
      </w:r>
    </w:p>
    <w:p>
      <w:pPr>
        <w:spacing w:after="0" w:line="158" w:lineRule="exact"/>
        <w:rPr>
          <w:sz w:val="20"/>
          <w:szCs w:val="20"/>
          <w:color w:val="auto"/>
        </w:rPr>
      </w:pPr>
    </w:p>
    <w:p>
      <w:pPr>
        <w:ind w:left="80" w:right="60" w:firstLine="335"/>
        <w:spacing w:after="0" w:line="271" w:lineRule="auto"/>
        <w:rPr>
          <w:sz w:val="20"/>
          <w:szCs w:val="20"/>
          <w:color w:val="auto"/>
        </w:rPr>
      </w:pPr>
      <w:r>
        <w:rPr>
          <w:rFonts w:ascii="Arial" w:cs="Arial" w:eastAsia="Arial" w:hAnsi="Arial"/>
          <w:sz w:val="16"/>
          <w:szCs w:val="16"/>
          <w:b w:val="1"/>
          <w:bCs w:val="1"/>
          <w:i w:val="1"/>
          <w:iCs w:val="1"/>
          <w:color w:val="auto"/>
        </w:rPr>
        <w:t xml:space="preserve">The role of the CIO is evolving from traditional to transformational. </w:t>
      </w:r>
      <w:r>
        <w:rPr>
          <w:rFonts w:ascii="Arial" w:cs="Arial" w:eastAsia="Arial" w:hAnsi="Arial"/>
          <w:sz w:val="16"/>
          <w:szCs w:val="16"/>
          <w:color w:val="auto"/>
        </w:rPr>
        <w:t>The CIO has increasingly become a key influencer in most parts of an organization,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customer experience, operations, COVID-19 response and recovery efforts, innovation and overall leadership of the organization. To succeed, CIOs must present themselves in the core business strategy of the organization. They accordingly require the right technology to lead the organization to digital transformation success, by ensuring a robust, resilient and agile infrastructure. This requires access to the right data and visibility into their digital portfolio and the ability to create seamless user experiences for users across the organization and across any platform.</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WalkMe’s Digital Adoption Platform</w:t>
      </w:r>
    </w:p>
    <w:p>
      <w:pPr>
        <w:spacing w:after="0" w:line="210" w:lineRule="exact"/>
        <w:rPr>
          <w:sz w:val="20"/>
          <w:szCs w:val="20"/>
          <w:color w:val="auto"/>
        </w:rPr>
      </w:pPr>
    </w:p>
    <w:p>
      <w:pPr>
        <w:ind w:left="80" w:right="100" w:firstLine="335"/>
        <w:spacing w:after="0" w:line="268" w:lineRule="auto"/>
        <w:rPr>
          <w:sz w:val="20"/>
          <w:szCs w:val="20"/>
          <w:color w:val="auto"/>
        </w:rPr>
      </w:pPr>
      <w:r>
        <w:rPr>
          <w:rFonts w:ascii="Arial" w:cs="Arial" w:eastAsia="Arial" w:hAnsi="Arial"/>
          <w:sz w:val="17"/>
          <w:szCs w:val="17"/>
          <w:color w:val="auto"/>
        </w:rPr>
        <w:t>Our Digital Adoption Platform enables organizations to measure, drive and act to maximize the impact of their digital transformation and accelerate the return on their software investment. Our unified, strategic platform drives value through the following building blocks: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Data</w:t>
      </w:r>
    </w:p>
    <w:p>
      <w:pPr>
        <w:spacing w:after="0" w:line="206" w:lineRule="exact"/>
        <w:rPr>
          <w:sz w:val="20"/>
          <w:szCs w:val="20"/>
          <w:color w:val="auto"/>
        </w:rPr>
      </w:pPr>
    </w:p>
    <w:p>
      <w:pPr>
        <w:ind w:left="80" w:right="500" w:firstLine="335"/>
        <w:spacing w:after="0" w:line="268" w:lineRule="auto"/>
        <w:rPr>
          <w:sz w:val="20"/>
          <w:szCs w:val="20"/>
          <w:color w:val="auto"/>
        </w:rPr>
      </w:pPr>
      <w:r>
        <w:rPr>
          <w:rFonts w:ascii="Arial" w:cs="Arial" w:eastAsia="Arial" w:hAnsi="Arial"/>
          <w:sz w:val="17"/>
          <w:szCs w:val="17"/>
          <w:color w:val="auto"/>
        </w:rPr>
        <w:t>WalkMe Insights and UI Intelligence provides CIOs and business leaders with visibility across the software stack, actionable insights and data needed to measure, drive and act to maximize the impact of their digital transformation strategies.</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60" w:name="page61"/>
    <w:bookmarkEnd w:id="60"/>
    <w:p>
      <w:pPr>
        <w:ind w:left="420"/>
        <w:spacing w:after="0"/>
        <w:rPr>
          <w:sz w:val="20"/>
          <w:szCs w:val="20"/>
          <w:color w:val="auto"/>
        </w:rPr>
      </w:pPr>
      <w:r>
        <w:rPr>
          <w:rFonts w:ascii="Arial" w:cs="Arial" w:eastAsia="Arial" w:hAnsi="Arial"/>
          <w:sz w:val="17"/>
          <w:szCs w:val="17"/>
          <w:b w:val="1"/>
          <w:bCs w:val="1"/>
          <w:i w:val="1"/>
          <w:iCs w:val="1"/>
          <w:color w:val="auto"/>
        </w:rPr>
        <w:t>User Experience</w:t>
      </w:r>
    </w:p>
    <w:p>
      <w:pPr>
        <w:spacing w:after="0" w:line="206" w:lineRule="exact"/>
        <w:rPr>
          <w:sz w:val="20"/>
          <w:szCs w:val="20"/>
          <w:color w:val="auto"/>
        </w:rPr>
      </w:pPr>
    </w:p>
    <w:p>
      <w:pPr>
        <w:ind w:left="80" w:right="60" w:firstLine="335"/>
        <w:spacing w:after="0" w:line="268" w:lineRule="auto"/>
        <w:rPr>
          <w:sz w:val="20"/>
          <w:szCs w:val="20"/>
          <w:color w:val="auto"/>
        </w:rPr>
      </w:pPr>
      <w:r>
        <w:rPr>
          <w:rFonts w:ascii="Arial" w:cs="Arial" w:eastAsia="Arial" w:hAnsi="Arial"/>
          <w:sz w:val="17"/>
          <w:szCs w:val="17"/>
          <w:color w:val="auto"/>
        </w:rPr>
        <w:t>User experience is the foundation of WalkMe. With our software, enterprises can design and overlay contextual and personalized experiences that drive adoption of its digital processes and assets on mobile, web and desktop interfaces.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Data- Driven Action Through User-Centric Technology Applicable Anywhere</w:t>
      </w:r>
    </w:p>
    <w:p>
      <w:pPr>
        <w:spacing w:after="0" w:line="206" w:lineRule="exact"/>
        <w:rPr>
          <w:sz w:val="20"/>
          <w:szCs w:val="20"/>
          <w:color w:val="auto"/>
        </w:rPr>
      </w:pPr>
    </w:p>
    <w:p>
      <w:pPr>
        <w:ind w:right="80" w:firstLine="410"/>
        <w:spacing w:after="0" w:line="307" w:lineRule="auto"/>
        <w:rPr>
          <w:sz w:val="20"/>
          <w:szCs w:val="20"/>
          <w:color w:val="auto"/>
        </w:rPr>
      </w:pPr>
      <w:r>
        <w:rPr>
          <w:rFonts w:ascii="Arial" w:cs="Arial" w:eastAsia="Arial" w:hAnsi="Arial"/>
          <w:sz w:val="15"/>
          <w:szCs w:val="15"/>
          <w:color w:val="auto"/>
        </w:rPr>
        <w:t>Our technology is designed to leverage the application user interface (“UI”) as the primary integration point to deliver our products. Unlike Application Programming Interfaces (“APIs”) which are not consistently available across applications and require developer resources to implement, our UI-focused approach allows us to deploy our Digital Adoption Platform across any application and deliver contextually aware, fully dynamic workflow guidance, automation and analytics.</w:t>
      </w:r>
    </w:p>
    <w:p>
      <w:pPr>
        <w:spacing w:after="0" w:line="141" w:lineRule="exact"/>
        <w:rPr>
          <w:sz w:val="20"/>
          <w:szCs w:val="20"/>
          <w:color w:val="auto"/>
        </w:rPr>
      </w:pPr>
    </w:p>
    <w:p>
      <w:pPr>
        <w:ind w:right="60" w:firstLine="410"/>
        <w:spacing w:after="0" w:line="335" w:lineRule="auto"/>
        <w:rPr>
          <w:sz w:val="20"/>
          <w:szCs w:val="20"/>
          <w:color w:val="auto"/>
        </w:rPr>
      </w:pPr>
      <w:r>
        <w:rPr>
          <w:rFonts w:ascii="Arial" w:cs="Arial" w:eastAsia="Arial" w:hAnsi="Arial"/>
          <w:sz w:val="15"/>
          <w:szCs w:val="15"/>
          <w:color w:val="auto"/>
        </w:rPr>
        <w:t>Our Digital Adoption Platform drives the success of digital transformation initiatives by empowering CIOs and business leaders with critical business insights to enhance business process and increase software adoption by taking data-driven action to improve the user experiences for employees and customers:</w:t>
      </w:r>
    </w:p>
    <w:p>
      <w:pPr>
        <w:spacing w:after="0" w:line="117" w:lineRule="exact"/>
        <w:rPr>
          <w:sz w:val="20"/>
          <w:szCs w:val="20"/>
          <w:color w:val="auto"/>
        </w:rPr>
      </w:pPr>
    </w:p>
    <w:p>
      <w:pPr>
        <w:ind w:left="760" w:right="80" w:hanging="333"/>
        <w:spacing w:after="0" w:line="259" w:lineRule="auto"/>
        <w:tabs>
          <w:tab w:leader="none" w:pos="760"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For CIOs and Business Leaders</w:t>
      </w:r>
      <w:r>
        <w:rPr>
          <w:rFonts w:ascii="Arial" w:cs="Arial" w:eastAsia="Arial" w:hAnsi="Arial"/>
          <w:sz w:val="17"/>
          <w:szCs w:val="17"/>
          <w:color w:val="auto"/>
        </w:rPr>
        <w:t>, our platform provides unified visibility, data and actionable insights across the organization’s software stack, to improve</w:t>
      </w:r>
      <w:r>
        <w:rPr>
          <w:rFonts w:ascii="Arial" w:cs="Arial" w:eastAsia="Arial" w:hAnsi="Arial"/>
          <w:sz w:val="17"/>
          <w:szCs w:val="17"/>
          <w:b w:val="1"/>
          <w:bCs w:val="1"/>
          <w:color w:val="auto"/>
        </w:rPr>
        <w:t xml:space="preserve"> </w:t>
      </w:r>
      <w:r>
        <w:rPr>
          <w:rFonts w:ascii="Arial" w:cs="Arial" w:eastAsia="Arial" w:hAnsi="Arial"/>
          <w:sz w:val="17"/>
          <w:szCs w:val="17"/>
          <w:color w:val="auto"/>
        </w:rPr>
        <w:t>key business processes and drive employees and customers to action. Our data-driven insights offer strategic perspective and provide a competitive advantage to CIOs.</w:t>
      </w:r>
    </w:p>
    <w:p>
      <w:pPr>
        <w:spacing w:after="0" w:line="170" w:lineRule="exact"/>
        <w:rPr>
          <w:rFonts w:ascii="Arial" w:cs="Arial" w:eastAsia="Arial" w:hAnsi="Arial"/>
          <w:sz w:val="17"/>
          <w:szCs w:val="17"/>
          <w:color w:val="auto"/>
        </w:rPr>
      </w:pPr>
    </w:p>
    <w:p>
      <w:pPr>
        <w:ind w:left="1100" w:right="140" w:hanging="334"/>
        <w:spacing w:after="0" w:line="276" w:lineRule="auto"/>
        <w:tabs>
          <w:tab w:leader="none" w:pos="1100" w:val="left"/>
        </w:tabs>
        <w:numPr>
          <w:ilvl w:val="1"/>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A leading food and beverage company </w:t>
      </w:r>
      <w:r>
        <w:rPr>
          <w:rFonts w:ascii="Arial" w:cs="Arial" w:eastAsia="Arial" w:hAnsi="Arial"/>
          <w:sz w:val="16"/>
          <w:szCs w:val="16"/>
          <w:color w:val="auto"/>
        </w:rPr>
        <w:t>uses our Digital Adoption Platform to gain visibility into user behavior across applications and focus</w:t>
      </w:r>
      <w:r>
        <w:rPr>
          <w:rFonts w:ascii="Arial" w:cs="Arial" w:eastAsia="Arial" w:hAnsi="Arial"/>
          <w:sz w:val="16"/>
          <w:szCs w:val="16"/>
          <w:b w:val="1"/>
          <w:bCs w:val="1"/>
          <w:color w:val="auto"/>
        </w:rPr>
        <w:t xml:space="preserve"> </w:t>
      </w:r>
      <w:r>
        <w:rPr>
          <w:rFonts w:ascii="Arial" w:cs="Arial" w:eastAsia="Arial" w:hAnsi="Arial"/>
          <w:sz w:val="16"/>
          <w:szCs w:val="16"/>
          <w:color w:val="auto"/>
        </w:rPr>
        <w:t>resources to target employees at the point in their journey that they need help. By automating common workflow processes and providing targeted support for others, they are realizing improved task completion rates of nearly two times prior levels, in some cases. Importantly, user satisfaction has increased and productivity gains have given employees more time to focus on higher value initiatives.</w:t>
      </w:r>
    </w:p>
    <w:p>
      <w:pPr>
        <w:spacing w:after="0" w:line="157" w:lineRule="exact"/>
        <w:rPr>
          <w:rFonts w:ascii="Arial" w:cs="Arial" w:eastAsia="Arial" w:hAnsi="Arial"/>
          <w:sz w:val="16"/>
          <w:szCs w:val="16"/>
          <w:color w:val="auto"/>
        </w:rPr>
      </w:pPr>
    </w:p>
    <w:p>
      <w:pPr>
        <w:ind w:left="760" w:right="80" w:hanging="333"/>
        <w:spacing w:after="0" w:line="273" w:lineRule="auto"/>
        <w:tabs>
          <w:tab w:leader="none" w:pos="760"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 xml:space="preserve">For Employees, </w:t>
      </w:r>
      <w:r>
        <w:rPr>
          <w:rFonts w:ascii="Arial" w:cs="Arial" w:eastAsia="Arial" w:hAnsi="Arial"/>
          <w:sz w:val="17"/>
          <w:szCs w:val="17"/>
          <w:color w:val="auto"/>
        </w:rPr>
        <w:t>our platform provides a contextual and unified experience that can be seamlessly delivered across any application (third party, proprietary,</w:t>
      </w:r>
      <w:r>
        <w:rPr>
          <w:rFonts w:ascii="Arial" w:cs="Arial" w:eastAsia="Arial" w:hAnsi="Arial"/>
          <w:sz w:val="17"/>
          <w:szCs w:val="17"/>
          <w:b w:val="1"/>
          <w:bCs w:val="1"/>
          <w:color w:val="auto"/>
        </w:rPr>
        <w:t xml:space="preserve"> </w:t>
      </w:r>
      <w:r>
        <w:rPr>
          <w:rFonts w:ascii="Arial" w:cs="Arial" w:eastAsia="Arial" w:hAnsi="Arial"/>
          <w:sz w:val="17"/>
          <w:szCs w:val="17"/>
          <w:color w:val="auto"/>
        </w:rPr>
        <w:t>mobile or desktop) to provide personalized process workflow guidance and automation.</w:t>
      </w:r>
    </w:p>
    <w:p>
      <w:pPr>
        <w:spacing w:after="0" w:line="157" w:lineRule="exact"/>
        <w:rPr>
          <w:rFonts w:ascii="Arial" w:cs="Arial" w:eastAsia="Arial" w:hAnsi="Arial"/>
          <w:sz w:val="17"/>
          <w:szCs w:val="17"/>
          <w:color w:val="auto"/>
        </w:rPr>
      </w:pPr>
    </w:p>
    <w:p>
      <w:pPr>
        <w:ind w:left="1100" w:right="40" w:hanging="334"/>
        <w:spacing w:after="0" w:line="259" w:lineRule="auto"/>
        <w:tabs>
          <w:tab w:leader="none" w:pos="1100" w:val="left"/>
        </w:tabs>
        <w:numPr>
          <w:ilvl w:val="1"/>
          <w:numId w:val="31"/>
        </w:numPr>
        <w:rPr>
          <w:rFonts w:ascii="Arial" w:cs="Arial" w:eastAsia="Arial" w:hAnsi="Arial"/>
          <w:sz w:val="17"/>
          <w:szCs w:val="17"/>
          <w:color w:val="auto"/>
        </w:rPr>
      </w:pPr>
      <w:r>
        <w:rPr>
          <w:rFonts w:ascii="Arial" w:cs="Arial" w:eastAsia="Arial" w:hAnsi="Arial"/>
          <w:sz w:val="17"/>
          <w:szCs w:val="17"/>
          <w:b w:val="1"/>
          <w:bCs w:val="1"/>
          <w:color w:val="auto"/>
        </w:rPr>
        <w:t xml:space="preserve">A global pharmacy store chain </w:t>
      </w:r>
      <w:r>
        <w:rPr>
          <w:rFonts w:ascii="Arial" w:cs="Arial" w:eastAsia="Arial" w:hAnsi="Arial"/>
          <w:sz w:val="17"/>
          <w:szCs w:val="17"/>
          <w:color w:val="auto"/>
        </w:rPr>
        <w:t>utilized our technology to drive digital adoption across multiple apps that are relied upon by more than 220,000</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globally, resulting in an average reduction of 50% in support tickets. During the pandemic, a key driver of WalkMe’s success was its role in standing up new technology with as little friction as possible.</w:t>
      </w:r>
    </w:p>
    <w:p>
      <w:pPr>
        <w:spacing w:after="0" w:line="170" w:lineRule="exact"/>
        <w:rPr>
          <w:rFonts w:ascii="Arial" w:cs="Arial" w:eastAsia="Arial" w:hAnsi="Arial"/>
          <w:sz w:val="17"/>
          <w:szCs w:val="17"/>
          <w:color w:val="auto"/>
        </w:rPr>
      </w:pPr>
    </w:p>
    <w:p>
      <w:pPr>
        <w:ind w:left="1100" w:right="100" w:hanging="334"/>
        <w:spacing w:after="0" w:line="255" w:lineRule="auto"/>
        <w:tabs>
          <w:tab w:leader="none" w:pos="1100" w:val="left"/>
        </w:tabs>
        <w:numPr>
          <w:ilvl w:val="1"/>
          <w:numId w:val="31"/>
        </w:numPr>
        <w:rPr>
          <w:rFonts w:ascii="Arial" w:cs="Arial" w:eastAsia="Arial" w:hAnsi="Arial"/>
          <w:sz w:val="17"/>
          <w:szCs w:val="17"/>
          <w:color w:val="auto"/>
        </w:rPr>
      </w:pPr>
      <w:r>
        <w:rPr>
          <w:rFonts w:ascii="Arial" w:cs="Arial" w:eastAsia="Arial" w:hAnsi="Arial"/>
          <w:sz w:val="17"/>
          <w:szCs w:val="17"/>
          <w:b w:val="1"/>
          <w:bCs w:val="1"/>
          <w:color w:val="auto"/>
        </w:rPr>
        <w:t xml:space="preserve">A leading biotechnology company </w:t>
      </w:r>
      <w:r>
        <w:rPr>
          <w:rFonts w:ascii="Arial" w:cs="Arial" w:eastAsia="Arial" w:hAnsi="Arial"/>
          <w:sz w:val="17"/>
          <w:szCs w:val="17"/>
          <w:color w:val="auto"/>
        </w:rPr>
        <w:t>uses WalkMe across over 45 applications in over 11 languages to empower its workforce to be successful while</w:t>
      </w:r>
      <w:r>
        <w:rPr>
          <w:rFonts w:ascii="Arial" w:cs="Arial" w:eastAsia="Arial" w:hAnsi="Arial"/>
          <w:sz w:val="17"/>
          <w:szCs w:val="17"/>
          <w:b w:val="1"/>
          <w:bCs w:val="1"/>
          <w:color w:val="auto"/>
        </w:rPr>
        <w:t xml:space="preserve"> </w:t>
      </w:r>
      <w:r>
        <w:rPr>
          <w:rFonts w:ascii="Arial" w:cs="Arial" w:eastAsia="Arial" w:hAnsi="Arial"/>
          <w:sz w:val="17"/>
          <w:szCs w:val="17"/>
          <w:color w:val="auto"/>
        </w:rPr>
        <w:t>continuing to deliver on its promises to employees and customers. WalkMe is used as a strategy for adoption of existing apps as well as a method of deploying new pieces of software. With WalkMe, they rolled out an enterprise wide HCM to 90,000+ employees with no formal training methods and user satisfaction ranking at 98% in some cases.</w:t>
      </w:r>
    </w:p>
    <w:p>
      <w:pPr>
        <w:spacing w:after="0" w:line="173" w:lineRule="exact"/>
        <w:rPr>
          <w:rFonts w:ascii="Arial" w:cs="Arial" w:eastAsia="Arial" w:hAnsi="Arial"/>
          <w:sz w:val="17"/>
          <w:szCs w:val="17"/>
          <w:color w:val="auto"/>
        </w:rPr>
      </w:pPr>
    </w:p>
    <w:p>
      <w:pPr>
        <w:ind w:left="760" w:hanging="333"/>
        <w:spacing w:after="0" w:line="273" w:lineRule="auto"/>
        <w:tabs>
          <w:tab w:leader="none" w:pos="760"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 xml:space="preserve">For Customers, </w:t>
      </w:r>
      <w:r>
        <w:rPr>
          <w:rFonts w:ascii="Arial" w:cs="Arial" w:eastAsia="Arial" w:hAnsi="Arial"/>
          <w:sz w:val="17"/>
          <w:szCs w:val="17"/>
          <w:color w:val="auto"/>
        </w:rPr>
        <w:t>our platform can be deployed on any customer facing website or application to power self-service onboarding, feature engagement, support</w:t>
      </w:r>
      <w:r>
        <w:rPr>
          <w:rFonts w:ascii="Arial" w:cs="Arial" w:eastAsia="Arial" w:hAnsi="Arial"/>
          <w:sz w:val="17"/>
          <w:szCs w:val="17"/>
          <w:b w:val="1"/>
          <w:bCs w:val="1"/>
          <w:color w:val="auto"/>
        </w:rPr>
        <w:t xml:space="preserve"> </w:t>
      </w:r>
      <w:r>
        <w:rPr>
          <w:rFonts w:ascii="Arial" w:cs="Arial" w:eastAsia="Arial" w:hAnsi="Arial"/>
          <w:sz w:val="17"/>
          <w:szCs w:val="17"/>
          <w:color w:val="auto"/>
        </w:rPr>
        <w:t>and more.</w:t>
      </w:r>
    </w:p>
    <w:p>
      <w:pPr>
        <w:spacing w:after="0" w:line="157" w:lineRule="exact"/>
        <w:rPr>
          <w:rFonts w:ascii="Arial" w:cs="Arial" w:eastAsia="Arial" w:hAnsi="Arial"/>
          <w:sz w:val="17"/>
          <w:szCs w:val="17"/>
          <w:color w:val="auto"/>
        </w:rPr>
      </w:pPr>
    </w:p>
    <w:p>
      <w:pPr>
        <w:ind w:left="1100" w:right="40" w:hanging="334"/>
        <w:spacing w:after="0" w:line="259" w:lineRule="auto"/>
        <w:tabs>
          <w:tab w:leader="none" w:pos="1100" w:val="left"/>
        </w:tabs>
        <w:numPr>
          <w:ilvl w:val="1"/>
          <w:numId w:val="31"/>
        </w:numPr>
        <w:rPr>
          <w:rFonts w:ascii="Arial" w:cs="Arial" w:eastAsia="Arial" w:hAnsi="Arial"/>
          <w:sz w:val="17"/>
          <w:szCs w:val="17"/>
          <w:color w:val="auto"/>
        </w:rPr>
      </w:pPr>
      <w:r>
        <w:rPr>
          <w:rFonts w:ascii="Arial" w:cs="Arial" w:eastAsia="Arial" w:hAnsi="Arial"/>
          <w:sz w:val="17"/>
          <w:szCs w:val="17"/>
          <w:b w:val="1"/>
          <w:bCs w:val="1"/>
          <w:color w:val="auto"/>
        </w:rPr>
        <w:t xml:space="preserve">One of the world’s largest technology and consulting companies </w:t>
      </w:r>
      <w:r>
        <w:rPr>
          <w:rFonts w:ascii="Arial" w:cs="Arial" w:eastAsia="Arial" w:hAnsi="Arial"/>
          <w:sz w:val="17"/>
          <w:szCs w:val="17"/>
          <w:color w:val="auto"/>
        </w:rPr>
        <w:t>uses WalkMe to support onboarding, mitigate support tickets, and increase success</w:t>
      </w:r>
      <w:r>
        <w:rPr>
          <w:rFonts w:ascii="Arial" w:cs="Arial" w:eastAsia="Arial" w:hAnsi="Arial"/>
          <w:sz w:val="17"/>
          <w:szCs w:val="17"/>
          <w:b w:val="1"/>
          <w:bCs w:val="1"/>
          <w:color w:val="auto"/>
        </w:rPr>
        <w:t xml:space="preserve"> </w:t>
      </w:r>
      <w:r>
        <w:rPr>
          <w:rFonts w:ascii="Arial" w:cs="Arial" w:eastAsia="Arial" w:hAnsi="Arial"/>
          <w:sz w:val="17"/>
          <w:szCs w:val="17"/>
          <w:color w:val="auto"/>
        </w:rPr>
        <w:t>of their customers on over 20 B2B offerings. They’ve seen 6x increase in product adoption, 4x higher conversion rate, 80% revenue growth of digital offerings, and a 300% improvement in product usage consumption, and user retention.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Key Benefits of Our Digital Adoption Platform</w:t>
      </w:r>
    </w:p>
    <w:p>
      <w:pPr>
        <w:spacing w:after="0" w:line="210" w:lineRule="exact"/>
        <w:rPr>
          <w:sz w:val="20"/>
          <w:szCs w:val="20"/>
          <w:color w:val="auto"/>
        </w:rPr>
      </w:pPr>
    </w:p>
    <w:p>
      <w:pPr>
        <w:ind w:left="100" w:right="180" w:firstLine="335"/>
        <w:spacing w:after="0" w:line="268" w:lineRule="auto"/>
        <w:rPr>
          <w:sz w:val="20"/>
          <w:szCs w:val="20"/>
          <w:color w:val="auto"/>
        </w:rPr>
      </w:pPr>
      <w:r>
        <w:rPr>
          <w:rFonts w:ascii="Arial" w:cs="Arial" w:eastAsia="Arial" w:hAnsi="Arial"/>
          <w:sz w:val="17"/>
          <w:szCs w:val="17"/>
          <w:color w:val="auto"/>
        </w:rPr>
        <w:t>By overcoming the digital transformation challenge, organizations are better able to leverage technology to drive key business metrics that focus on mitigating risk for the business, driving efficiency and revenues. Our Digital Adoption Platform:</w:t>
      </w:r>
    </w:p>
    <w:p>
      <w:pPr>
        <w:spacing w:after="0" w:line="162" w:lineRule="exact"/>
        <w:rPr>
          <w:sz w:val="20"/>
          <w:szCs w:val="20"/>
          <w:color w:val="auto"/>
        </w:rPr>
      </w:pPr>
    </w:p>
    <w:p>
      <w:pPr>
        <w:ind w:left="760" w:hanging="333"/>
        <w:spacing w:after="0" w:line="269" w:lineRule="auto"/>
        <w:tabs>
          <w:tab w:leader="none" w:pos="760" w:val="left"/>
        </w:tabs>
        <w:numPr>
          <w:ilvl w:val="1"/>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Provides Insights to Help CIOs and Business Leaders Drive Business Outcomes Horizontally Across the Organization. </w:t>
      </w:r>
      <w:r>
        <w:rPr>
          <w:rFonts w:ascii="Arial" w:cs="Arial" w:eastAsia="Arial" w:hAnsi="Arial"/>
          <w:sz w:val="16"/>
          <w:szCs w:val="16"/>
          <w:color w:val="auto"/>
        </w:rPr>
        <w:t>CIOs and business leaders use</w:t>
      </w:r>
      <w:r>
        <w:rPr>
          <w:rFonts w:ascii="Arial" w:cs="Arial" w:eastAsia="Arial" w:hAnsi="Arial"/>
          <w:sz w:val="16"/>
          <w:szCs w:val="16"/>
          <w:b w:val="1"/>
          <w:bCs w:val="1"/>
          <w:color w:val="auto"/>
        </w:rPr>
        <w:t xml:space="preserve"> </w:t>
      </w:r>
      <w:r>
        <w:rPr>
          <w:rFonts w:ascii="Arial" w:cs="Arial" w:eastAsia="Arial" w:hAnsi="Arial"/>
          <w:sz w:val="16"/>
          <w:szCs w:val="16"/>
          <w:color w:val="auto"/>
        </w:rPr>
        <w:t>our Insights capabilities, UI Intelligence technology and integration- center to gain visibility into the enterprise technology stack, including software usage and user experiences across business processes. This analytics suite delivers metrics horizontally across departmental managers, which include tactical information such as how employees and customers engage with applications (e.g., number of active users and application and feature utilization) as well as higher level, strategic information targeted to CIOs (e.g., enterprise wide technology utilization and process adoption). Our analytics can be leveraged to manage, measure and prioritize digital projects, change user behaviors, and increase digital adoption, which drives business outcomes that align with the strategic goals of the entire organization.</w:t>
      </w:r>
    </w:p>
    <w:p>
      <w:pPr>
        <w:spacing w:after="0" w:line="163" w:lineRule="exact"/>
        <w:rPr>
          <w:rFonts w:ascii="Arial" w:cs="Arial" w:eastAsia="Arial" w:hAnsi="Arial"/>
          <w:sz w:val="16"/>
          <w:szCs w:val="16"/>
          <w:color w:val="auto"/>
        </w:rPr>
      </w:pPr>
    </w:p>
    <w:p>
      <w:pPr>
        <w:ind w:left="720" w:right="40" w:hanging="293"/>
        <w:spacing w:after="0" w:line="291" w:lineRule="auto"/>
        <w:tabs>
          <w:tab w:leader="none" w:pos="720" w:val="left"/>
        </w:tabs>
        <w:numPr>
          <w:ilvl w:val="1"/>
          <w:numId w:val="32"/>
        </w:numPr>
        <w:rPr>
          <w:rFonts w:ascii="Arial" w:cs="Arial" w:eastAsia="Arial" w:hAnsi="Arial"/>
          <w:sz w:val="15"/>
          <w:szCs w:val="15"/>
          <w:color w:val="auto"/>
        </w:rPr>
      </w:pPr>
      <w:r>
        <w:rPr>
          <w:rFonts w:ascii="Arial" w:cs="Arial" w:eastAsia="Arial" w:hAnsi="Arial"/>
          <w:sz w:val="15"/>
          <w:szCs w:val="15"/>
          <w:b w:val="1"/>
          <w:bCs w:val="1"/>
          <w:color w:val="auto"/>
        </w:rPr>
        <w:t xml:space="preserve">Delivers Immediate Value. </w:t>
      </w:r>
      <w:r>
        <w:rPr>
          <w:rFonts w:ascii="Arial" w:cs="Arial" w:eastAsia="Arial" w:hAnsi="Arial"/>
          <w:sz w:val="15"/>
          <w:szCs w:val="15"/>
          <w:color w:val="auto"/>
        </w:rPr>
        <w:t>Our technology provides CIOs and business leaders with immediate visibility into the software stack and business processes,</w:t>
      </w:r>
      <w:r>
        <w:rPr>
          <w:rFonts w:ascii="Arial" w:cs="Arial" w:eastAsia="Arial" w:hAnsi="Arial"/>
          <w:sz w:val="15"/>
          <w:szCs w:val="15"/>
          <w:b w:val="1"/>
          <w:bCs w:val="1"/>
          <w:color w:val="auto"/>
        </w:rPr>
        <w:t xml:space="preserve"> </w:t>
      </w:r>
      <w:r>
        <w:rPr>
          <w:rFonts w:ascii="Arial" w:cs="Arial" w:eastAsia="Arial" w:hAnsi="Arial"/>
          <w:sz w:val="15"/>
          <w:szCs w:val="15"/>
          <w:color w:val="auto"/>
        </w:rPr>
        <w:t>consolidates applications for users to navigate and provides detailed guidance on how to use them effectively. From an employee and customer perspective, time to mastery of new technologies and processes is greatly reduced. In addition, managers do not have to rely on IT resources to facilitate deployment and integration with legacy systems, shortening the wait for useful insights and allowing for quick decisions. Such dynamics enable enterprises to cultivate agile and productive workforces that can rapidly adapt to changing organizational needs. By using our platform, enterprises organically understand the data-based insights and derived solutions to their issues, saving additional learning curve costs and achieving faster and increased ROI on their software spend.</w:t>
      </w:r>
    </w:p>
    <w:p>
      <w:pPr>
        <w:spacing w:after="0" w:line="151" w:lineRule="exact"/>
        <w:rPr>
          <w:rFonts w:ascii="Arial" w:cs="Arial" w:eastAsia="Arial" w:hAnsi="Arial"/>
          <w:sz w:val="15"/>
          <w:szCs w:val="15"/>
          <w:color w:val="auto"/>
        </w:rPr>
      </w:pPr>
    </w:p>
    <w:p>
      <w:pPr>
        <w:ind w:left="740" w:right="40" w:hanging="325"/>
        <w:spacing w:after="0" w:line="272" w:lineRule="auto"/>
        <w:tabs>
          <w:tab w:leader="none" w:pos="74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Optimizes Software Usage and Technology Spend</w:t>
      </w:r>
      <w:r>
        <w:rPr>
          <w:rFonts w:ascii="Arial" w:cs="Arial" w:eastAsia="Arial" w:hAnsi="Arial"/>
          <w:sz w:val="16"/>
          <w:szCs w:val="16"/>
          <w:color w:val="auto"/>
        </w:rPr>
        <w:t>. We enable enterprises to make greater use of software more efficiently. For example, many enterprises</w:t>
      </w:r>
      <w:r>
        <w:rPr>
          <w:rFonts w:ascii="Arial" w:cs="Arial" w:eastAsia="Arial" w:hAnsi="Arial"/>
          <w:sz w:val="16"/>
          <w:szCs w:val="16"/>
          <w:b w:val="1"/>
          <w:bCs w:val="1"/>
          <w:color w:val="auto"/>
        </w:rPr>
        <w:t xml:space="preserve"> </w:t>
      </w:r>
      <w:r>
        <w:rPr>
          <w:rFonts w:ascii="Arial" w:cs="Arial" w:eastAsia="Arial" w:hAnsi="Arial"/>
          <w:sz w:val="16"/>
          <w:szCs w:val="16"/>
          <w:color w:val="auto"/>
        </w:rPr>
        <w:t>utilize their CRM tools solely as a contact database. With our Digital Adoption Platform, organizations can create easy to use business process workflows that facilitate and encourage employees to use the CRM tools as an interactive sales pipeline and forecasting system that provides comprehensive revenue generation benefits. Through our Digital Adoption Platform, organizations are able to capture this additional value from new user behavior formed around the optimal product adoption, by leveraging pre-built best practice templates and solution.</w:t>
      </w:r>
    </w:p>
    <w:p>
      <w:pPr>
        <w:spacing w:after="0" w:line="166" w:lineRule="exact"/>
        <w:rPr>
          <w:rFonts w:ascii="Arial" w:cs="Arial" w:eastAsia="Arial" w:hAnsi="Arial"/>
          <w:sz w:val="16"/>
          <w:szCs w:val="16"/>
          <w:color w:val="auto"/>
        </w:rPr>
      </w:pPr>
    </w:p>
    <w:p>
      <w:pPr>
        <w:ind w:left="760" w:right="120"/>
        <w:spacing w:after="0" w:line="249" w:lineRule="auto"/>
        <w:rPr>
          <w:rFonts w:ascii="Arial" w:cs="Arial" w:eastAsia="Arial" w:hAnsi="Arial"/>
          <w:sz w:val="16"/>
          <w:szCs w:val="16"/>
          <w:color w:val="auto"/>
        </w:rPr>
      </w:pPr>
      <w:r>
        <w:rPr>
          <w:rFonts w:ascii="Arial" w:cs="Arial" w:eastAsia="Arial" w:hAnsi="Arial"/>
          <w:sz w:val="17"/>
          <w:szCs w:val="17"/>
          <w:color w:val="auto"/>
        </w:rPr>
        <w:t xml:space="preserve">These improved usage behaviors also lead to increased return on technology investment for CIOs. According to an October 2020 Forrester Consulting study, </w:t>
      </w:r>
      <w:r>
        <w:rPr>
          <w:rFonts w:ascii="Arial" w:cs="Arial" w:eastAsia="Arial" w:hAnsi="Arial"/>
          <w:sz w:val="17"/>
          <w:szCs w:val="17"/>
          <w:i w:val="1"/>
          <w:iCs w:val="1"/>
          <w:color w:val="auto"/>
        </w:rPr>
        <w:t>The Total Economic Impact™ of WalkMe Digital Adoption Platform</w:t>
      </w:r>
      <w:r>
        <w:rPr>
          <w:rFonts w:ascii="Arial" w:cs="Arial" w:eastAsia="Arial" w:hAnsi="Arial"/>
          <w:sz w:val="17"/>
          <w:szCs w:val="17"/>
          <w:color w:val="auto"/>
        </w:rPr>
        <w:t>, a study WalkMe commissioned (“TEI Study”), our Digital Adoption Platform was estimated to deliver net present value savings of $9.8 million from increased application usage and process efficiency over a three-year period for a modeled composite of representative customers. The TEI study also found that WalkMe can deliver up to a 368% return on investment over three years for customers implementing our Digital Adoption Platform, with a payback period of less than three months. The study further found that WalkMe enabled organizations can realize future license savings of about 20% savings in the third year of implementing our Digital Adoption Platform. Additionally, the study indicated that the value of the benefits customers derive from WalkMe can grow approximately 126% over three years as organizations implement more use cases.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ind w:left="740" w:right="220" w:hanging="325"/>
        <w:spacing w:after="0" w:line="294" w:lineRule="auto"/>
        <w:tabs>
          <w:tab w:leader="none" w:pos="740" w:val="left"/>
        </w:tabs>
        <w:numPr>
          <w:ilvl w:val="0"/>
          <w:numId w:val="33"/>
        </w:numPr>
        <w:rPr>
          <w:rFonts w:ascii="Arial" w:cs="Arial" w:eastAsia="Arial" w:hAnsi="Arial"/>
          <w:sz w:val="15"/>
          <w:szCs w:val="15"/>
          <w:color w:val="auto"/>
        </w:rPr>
      </w:pPr>
      <w:r>
        <w:rPr>
          <w:rFonts w:ascii="Arial" w:cs="Arial" w:eastAsia="Arial" w:hAnsi="Arial"/>
          <w:sz w:val="15"/>
          <w:szCs w:val="15"/>
          <w:b w:val="1"/>
          <w:bCs w:val="1"/>
          <w:color w:val="auto"/>
        </w:rPr>
        <w:t xml:space="preserve">Increases Employee Productivity and Reduces Support Costs. </w:t>
      </w:r>
      <w:r>
        <w:rPr>
          <w:rFonts w:ascii="Arial" w:cs="Arial" w:eastAsia="Arial" w:hAnsi="Arial"/>
          <w:sz w:val="15"/>
          <w:szCs w:val="15"/>
          <w:color w:val="auto"/>
        </w:rPr>
        <w:t>By engaging employees across software applications, employees are able to use more</w:t>
      </w:r>
      <w:r>
        <w:rPr>
          <w:rFonts w:ascii="Arial" w:cs="Arial" w:eastAsia="Arial" w:hAnsi="Arial"/>
          <w:sz w:val="15"/>
          <w:szCs w:val="15"/>
          <w:b w:val="1"/>
          <w:bCs w:val="1"/>
          <w:color w:val="auto"/>
        </w:rPr>
        <w:t xml:space="preserve"> </w:t>
      </w:r>
      <w:r>
        <w:rPr>
          <w:rFonts w:ascii="Arial" w:cs="Arial" w:eastAsia="Arial" w:hAnsi="Arial"/>
          <w:sz w:val="15"/>
          <w:szCs w:val="15"/>
          <w:color w:val="auto"/>
        </w:rPr>
        <w:t>easily the software applications that the enterprise has deployed. This leads to improved productivity, increased data accuracy, reduced support costs and increased employee engagement. Based on the TEI Study, employees observe a 60% reduction in training time on applications and savings of 50% from reduced IT support calls and Help Desk tickets. With WalkMe, employees are able to realize the full capabilities of different applications without friction, driving better performance in their jobs and improving business outcomes for the organization.</w:t>
      </w:r>
    </w:p>
    <w:p>
      <w:pPr>
        <w:spacing w:after="0" w:line="148" w:lineRule="exact"/>
        <w:rPr>
          <w:rFonts w:ascii="Arial" w:cs="Arial" w:eastAsia="Arial" w:hAnsi="Arial"/>
          <w:sz w:val="15"/>
          <w:szCs w:val="15"/>
          <w:color w:val="auto"/>
        </w:rPr>
      </w:pPr>
    </w:p>
    <w:p>
      <w:pPr>
        <w:ind w:left="740" w:right="220" w:hanging="325"/>
        <w:spacing w:after="0" w:line="259" w:lineRule="auto"/>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Improves Customer Engagement. </w:t>
      </w:r>
      <w:r>
        <w:rPr>
          <w:rFonts w:ascii="Arial" w:cs="Arial" w:eastAsia="Arial" w:hAnsi="Arial"/>
          <w:sz w:val="17"/>
          <w:szCs w:val="17"/>
          <w:color w:val="auto"/>
        </w:rPr>
        <w:t>Our Digital Adoption Platform improves customer engagement and retention by simplifying the end user experience.</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the TEI Study, our Digital Adoption Platform resulted in an approximate increase of 35% in customer retention and 10% growth in upsell opportunities from existing customers over three years.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additional details regarding the TEI Study, see “Market and Industry Data.”</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Strengths</w:t>
      </w:r>
    </w:p>
    <w:p>
      <w:pPr>
        <w:spacing w:after="0" w:line="210" w:lineRule="exact"/>
        <w:rPr>
          <w:sz w:val="20"/>
          <w:szCs w:val="20"/>
          <w:color w:val="auto"/>
        </w:rPr>
      </w:pPr>
    </w:p>
    <w:p>
      <w:pPr>
        <w:ind w:right="100" w:firstLine="410"/>
        <w:spacing w:after="0" w:line="293" w:lineRule="auto"/>
        <w:rPr>
          <w:sz w:val="20"/>
          <w:szCs w:val="20"/>
          <w:color w:val="auto"/>
        </w:rPr>
      </w:pPr>
      <w:r>
        <w:rPr>
          <w:rFonts w:ascii="Arial" w:cs="Arial" w:eastAsia="Arial" w:hAnsi="Arial"/>
          <w:sz w:val="15"/>
          <w:szCs w:val="15"/>
          <w:b w:val="1"/>
          <w:bCs w:val="1"/>
          <w:i w:val="1"/>
          <w:iCs w:val="1"/>
          <w:color w:val="auto"/>
        </w:rPr>
        <w:t xml:space="preserve">Category-defining platform powering digital transformation. </w:t>
      </w:r>
      <w:r>
        <w:rPr>
          <w:rFonts w:ascii="Arial" w:cs="Arial" w:eastAsia="Arial" w:hAnsi="Arial"/>
          <w:sz w:val="15"/>
          <w:szCs w:val="15"/>
          <w:color w:val="auto"/>
        </w:rPr>
        <w:t>We pioneered the digital adoption category. We believe that our position as the market leader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strong brand awareness increases our opportunities to win new customers and to expand our offerings within our existing customers. According to a 2021 Everest Group study that observed 18 Digital Adoption Platform vendors, in 2020 WalkMe’s Digital Adoption Platform market share, by license revenue, was greater than 45%. As of December 31, 2021, our customers included 367 of the Global 2000. We believe the adoption of WalkMe by the largest global enterprises is evidence that our platform has the enterprise-grade functionality, scalability, reliability and security required by the world’s most demanding organizations.</w:t>
      </w:r>
    </w:p>
    <w:p>
      <w:pPr>
        <w:spacing w:after="0" w:line="152" w:lineRule="exact"/>
        <w:rPr>
          <w:sz w:val="20"/>
          <w:szCs w:val="20"/>
          <w:color w:val="auto"/>
        </w:rPr>
      </w:pPr>
    </w:p>
    <w:p>
      <w:pPr>
        <w:ind w:right="40" w:firstLine="410"/>
        <w:spacing w:after="0" w:line="290" w:lineRule="auto"/>
        <w:rPr>
          <w:sz w:val="20"/>
          <w:szCs w:val="20"/>
          <w:color w:val="auto"/>
        </w:rPr>
      </w:pPr>
      <w:r>
        <w:rPr>
          <w:rFonts w:ascii="Arial" w:cs="Arial" w:eastAsia="Arial" w:hAnsi="Arial"/>
          <w:sz w:val="15"/>
          <w:szCs w:val="15"/>
          <w:b w:val="1"/>
          <w:bCs w:val="1"/>
          <w:i w:val="1"/>
          <w:iCs w:val="1"/>
          <w:color w:val="auto"/>
        </w:rPr>
        <w:t xml:space="preserve">Broad, rich dataset and AI/ML capabilities provide valuable insights and continuous optimization. </w:t>
      </w:r>
      <w:r>
        <w:rPr>
          <w:rFonts w:ascii="Arial" w:cs="Arial" w:eastAsia="Arial" w:hAnsi="Arial"/>
          <w:sz w:val="15"/>
          <w:szCs w:val="15"/>
          <w:color w:val="auto"/>
        </w:rPr>
        <w:t>The breadth of applications where our software is deployed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has enabled us to build a massive dataset, capturing on average billions of data events per day. We leverage this dataset to power our machine learning algorithms, which proactively identify where users struggle, what users’ intent was in completing an action within an application or workflow, and where opportunities exist for automation of repetitive workflows. The depth of our experience has provided us with deep insights on best practices and industry benchmarking, as well as key performance indicators, all of which we are able to share with our customers. As a result, WalkMe acts as both a platform for discovering and implementing digital transformation initiatives, and enabling customers to rapidly adjust business processes and test impact, driving a cycle of continuous optimization.</w:t>
      </w:r>
    </w:p>
    <w:p>
      <w:pPr>
        <w:spacing w:after="0" w:line="155" w:lineRule="exact"/>
        <w:rPr>
          <w:sz w:val="20"/>
          <w:szCs w:val="20"/>
          <w:color w:val="auto"/>
        </w:rPr>
      </w:pPr>
    </w:p>
    <w:p>
      <w:pPr>
        <w:ind w:firstLine="410"/>
        <w:spacing w:after="0" w:line="266" w:lineRule="auto"/>
        <w:rPr>
          <w:sz w:val="20"/>
          <w:szCs w:val="20"/>
          <w:color w:val="auto"/>
        </w:rPr>
      </w:pPr>
      <w:r>
        <w:rPr>
          <w:rFonts w:ascii="Arial" w:cs="Arial" w:eastAsia="Arial" w:hAnsi="Arial"/>
          <w:sz w:val="16"/>
          <w:szCs w:val="16"/>
          <w:b w:val="1"/>
          <w:bCs w:val="1"/>
          <w:i w:val="1"/>
          <w:iCs w:val="1"/>
          <w:color w:val="auto"/>
        </w:rPr>
        <w:t xml:space="preserve">Proprietary AI technology that recognizes user interfaces. </w:t>
      </w:r>
      <w:r>
        <w:rPr>
          <w:rFonts w:ascii="Arial" w:cs="Arial" w:eastAsia="Arial" w:hAnsi="Arial"/>
          <w:sz w:val="16"/>
          <w:szCs w:val="16"/>
          <w:color w:val="auto"/>
        </w:rPr>
        <w:t>Our technology operates as a layer upon any user interface and leverages artificial intelligence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analyze and identify the underlying elements of the UI. By deploying this patented UI intelligence technology across thousands of software instances, we have developed deep insights into how users interact with software and a powerful understanding of the consistent elements present across many different user interfaces. This core technology ensures that if an application or user interface is updated, the existing collection of our instructional guides and automated workflow processes are automatically updated to support the new version of the underlying application with limited or no input from our customer. For example, if an update to an underlying application changes the location of a field linked to a Walk- Thru, WalkMe will automatically recognize the new location and the workflow for the user will not be disrupted. Similarly, as users customize their UI to their own preferences, the WalkMe automations and guidance layers will adapt to the user by recognizing the relevant underlying elements. This technology enables our customers to scale and advance their digital transformation strategies by significantly reducing maintenance requirements and costs borne from constant changes to the underlying software, continuous process modification and optimization, and the flexibility desired by and unique needs of each user.</w:t>
      </w:r>
    </w:p>
    <w:p>
      <w:pPr>
        <w:spacing w:after="0" w:line="170" w:lineRule="exact"/>
        <w:rPr>
          <w:sz w:val="20"/>
          <w:szCs w:val="20"/>
          <w:color w:val="auto"/>
        </w:rPr>
      </w:pPr>
    </w:p>
    <w:p>
      <w:pPr>
        <w:ind w:right="160" w:firstLine="410"/>
        <w:spacing w:after="0" w:line="251" w:lineRule="auto"/>
        <w:rPr>
          <w:sz w:val="20"/>
          <w:szCs w:val="20"/>
          <w:color w:val="auto"/>
        </w:rPr>
      </w:pPr>
      <w:r>
        <w:rPr>
          <w:rFonts w:ascii="Arial" w:cs="Arial" w:eastAsia="Arial" w:hAnsi="Arial"/>
          <w:sz w:val="17"/>
          <w:szCs w:val="17"/>
          <w:b w:val="1"/>
          <w:bCs w:val="1"/>
          <w:i w:val="1"/>
          <w:iCs w:val="1"/>
          <w:color w:val="auto"/>
        </w:rPr>
        <w:t xml:space="preserve">Growing ecosystem that positions WalkMe at the center of the digital transformation industry. </w:t>
      </w:r>
      <w:r>
        <w:rPr>
          <w:rFonts w:ascii="Arial" w:cs="Arial" w:eastAsia="Arial" w:hAnsi="Arial"/>
          <w:sz w:val="17"/>
          <w:szCs w:val="17"/>
          <w:color w:val="auto"/>
        </w:rPr>
        <w:t>We are investing to continue to grow our brand awareness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build out the WalkMe Beyond brand, an ecosystem of professionals, partners, and collaborators with powerful network effects. We have established WalkMe Beyond as a core strategy that brings together the various industry activities that are shaping our ecosystem, including our research arm, professionals certified by us on our platform, our partners, the Digital Adoption Institute, our customer community portal, Integration center, developer hub and a soon-to-launch services exchange marketplace.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ind w:right="80" w:firstLine="410"/>
        <w:spacing w:after="0" w:line="274" w:lineRule="auto"/>
        <w:rPr>
          <w:sz w:val="20"/>
          <w:szCs w:val="20"/>
          <w:color w:val="auto"/>
        </w:rPr>
      </w:pPr>
      <w:r>
        <w:rPr>
          <w:rFonts w:ascii="Arial" w:cs="Arial" w:eastAsia="Arial" w:hAnsi="Arial"/>
          <w:sz w:val="16"/>
          <w:szCs w:val="16"/>
          <w:b w:val="1"/>
          <w:bCs w:val="1"/>
          <w:i w:val="1"/>
          <w:iCs w:val="1"/>
          <w:color w:val="auto"/>
        </w:rPr>
        <w:t xml:space="preserve">Infrastructure agnostic and extensible technology. </w:t>
      </w:r>
      <w:r>
        <w:rPr>
          <w:rFonts w:ascii="Arial" w:cs="Arial" w:eastAsia="Arial" w:hAnsi="Arial"/>
          <w:sz w:val="16"/>
          <w:szCs w:val="16"/>
          <w:color w:val="auto"/>
        </w:rPr>
        <w:t>Our Digital Adoption Platform can be deployed across any type of application including SaaS cloud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applications, on-premise software on servers, on desktops or on mobile devices and across all operating systems. Because our platform works across all of these systems, our customers are able to automate digital processes across their internally built, third-party application environments from a single platform. Our platform is easy to access and operate from anywhere, which is important for increasingly distributed and remote workforces.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w:t>
      </w:r>
    </w:p>
    <w:p>
      <w:pPr>
        <w:spacing w:after="0" w:line="210" w:lineRule="exact"/>
        <w:rPr>
          <w:sz w:val="20"/>
          <w:szCs w:val="20"/>
          <w:color w:val="auto"/>
        </w:rPr>
      </w:pPr>
    </w:p>
    <w:p>
      <w:pPr>
        <w:ind w:right="520" w:firstLine="410"/>
        <w:spacing w:after="0" w:line="268" w:lineRule="auto"/>
        <w:rPr>
          <w:sz w:val="20"/>
          <w:szCs w:val="20"/>
          <w:color w:val="auto"/>
        </w:rPr>
      </w:pPr>
      <w:r>
        <w:rPr>
          <w:rFonts w:ascii="Arial" w:cs="Arial" w:eastAsia="Arial" w:hAnsi="Arial"/>
          <w:sz w:val="17"/>
          <w:szCs w:val="17"/>
          <w:color w:val="auto"/>
        </w:rPr>
        <w:t>We intend to capitalize on our large market opportunity, first mover advantage and category-defining technology platform by executing the following key elements of our growth strategy:</w:t>
      </w:r>
    </w:p>
    <w:p>
      <w:pPr>
        <w:spacing w:after="0" w:line="166" w:lineRule="exact"/>
        <w:rPr>
          <w:sz w:val="20"/>
          <w:szCs w:val="20"/>
          <w:color w:val="auto"/>
        </w:rPr>
      </w:pPr>
    </w:p>
    <w:p>
      <w:pPr>
        <w:ind w:right="200" w:firstLine="410"/>
        <w:spacing w:after="0" w:line="253" w:lineRule="auto"/>
        <w:rPr>
          <w:sz w:val="20"/>
          <w:szCs w:val="20"/>
          <w:color w:val="auto"/>
        </w:rPr>
      </w:pPr>
      <w:r>
        <w:rPr>
          <w:rFonts w:ascii="Arial" w:cs="Arial" w:eastAsia="Arial" w:hAnsi="Arial"/>
          <w:sz w:val="17"/>
          <w:szCs w:val="17"/>
          <w:b w:val="1"/>
          <w:bCs w:val="1"/>
          <w:i w:val="1"/>
          <w:iCs w:val="1"/>
          <w:color w:val="auto"/>
        </w:rPr>
        <w:t xml:space="preserve">Innovate and advance our platform. </w:t>
      </w:r>
      <w:r>
        <w:rPr>
          <w:rFonts w:ascii="Arial" w:cs="Arial" w:eastAsia="Arial" w:hAnsi="Arial"/>
          <w:sz w:val="17"/>
          <w:szCs w:val="17"/>
          <w:color w:val="auto"/>
        </w:rPr>
        <w:t>Our investments in research and development to build our technology have been a core differentiator for us. We released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WalkMe for mobile applications in 2017, our Insights engine in 2018, and introduced ActionBot in 2019 and our patented UI Intelligence technology in 2019. We intend to continue to invest in technology innovation to enhance our platform, including machine-learning, hyper-automation and process mining/discovery technologies.</w:t>
      </w:r>
    </w:p>
    <w:p>
      <w:pPr>
        <w:spacing w:after="0" w:line="180" w:lineRule="exact"/>
        <w:rPr>
          <w:sz w:val="20"/>
          <w:szCs w:val="20"/>
          <w:color w:val="auto"/>
        </w:rPr>
      </w:pPr>
    </w:p>
    <w:p>
      <w:pPr>
        <w:ind w:right="100" w:firstLine="410"/>
        <w:spacing w:after="0" w:line="298" w:lineRule="auto"/>
        <w:rPr>
          <w:sz w:val="20"/>
          <w:szCs w:val="20"/>
          <w:color w:val="auto"/>
        </w:rPr>
      </w:pPr>
      <w:r>
        <w:rPr>
          <w:rFonts w:ascii="Arial" w:cs="Arial" w:eastAsia="Arial" w:hAnsi="Arial"/>
          <w:sz w:val="15"/>
          <w:szCs w:val="15"/>
          <w:b w:val="1"/>
          <w:bCs w:val="1"/>
          <w:i w:val="1"/>
          <w:iCs w:val="1"/>
          <w:color w:val="auto"/>
        </w:rPr>
        <w:t xml:space="preserve">Acquire new customers. </w:t>
      </w:r>
      <w:r>
        <w:rPr>
          <w:rFonts w:ascii="Arial" w:cs="Arial" w:eastAsia="Arial" w:hAnsi="Arial"/>
          <w:sz w:val="15"/>
          <w:szCs w:val="15"/>
          <w:color w:val="auto"/>
        </w:rPr>
        <w:t>We have achieved significant and broad-based customer adoption, including 367 of the Global 2000. We believe that we have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substantial opportunity to continue to grow our customer base. We intend to accelerate new customer acquisition across the markets that we serve as well as enter into new market segments by scaling our sales and marketing capabilities and channel relationships. As part of this strategy, we intend to increase our capacity, including investing in FedRamp certification for our platform and targeted sales and marketing resources, to increase our U.S. federal government customers.</w:t>
      </w:r>
    </w:p>
    <w:p>
      <w:pPr>
        <w:spacing w:after="0" w:line="148" w:lineRule="exact"/>
        <w:rPr>
          <w:sz w:val="20"/>
          <w:szCs w:val="20"/>
          <w:color w:val="auto"/>
        </w:rPr>
      </w:pPr>
    </w:p>
    <w:p>
      <w:pPr>
        <w:ind w:right="160" w:firstLine="410"/>
        <w:spacing w:after="0" w:line="253" w:lineRule="auto"/>
        <w:rPr>
          <w:sz w:val="20"/>
          <w:szCs w:val="20"/>
          <w:color w:val="auto"/>
        </w:rPr>
      </w:pPr>
      <w:r>
        <w:rPr>
          <w:rFonts w:ascii="Arial" w:cs="Arial" w:eastAsia="Arial" w:hAnsi="Arial"/>
          <w:sz w:val="17"/>
          <w:szCs w:val="17"/>
          <w:b w:val="1"/>
          <w:bCs w:val="1"/>
          <w:i w:val="1"/>
          <w:iCs w:val="1"/>
          <w:color w:val="auto"/>
        </w:rPr>
        <w:t xml:space="preserve">Increase usage and spend from our existing customers. </w:t>
      </w:r>
      <w:r>
        <w:rPr>
          <w:rFonts w:ascii="Arial" w:cs="Arial" w:eastAsia="Arial" w:hAnsi="Arial"/>
          <w:sz w:val="17"/>
          <w:szCs w:val="17"/>
          <w:color w:val="auto"/>
        </w:rPr>
        <w:t>Our customers often initially adopt WalkMe for a specific use case within a single department. After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initial adoption, our customers frequently expand to new users and use cases across additional applications within a department and ultimately to applications across the entire enterprise. We believe that our ease of use, depth, breadth of our platform, and, according to the TEI Study, a pay-back period of less than 3 months, will enable us to increase adoption by our existing customers.</w:t>
      </w:r>
    </w:p>
    <w:p>
      <w:pPr>
        <w:spacing w:after="0" w:line="180"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b w:val="1"/>
          <w:bCs w:val="1"/>
          <w:i w:val="1"/>
          <w:iCs w:val="1"/>
          <w:color w:val="auto"/>
        </w:rPr>
        <w:t xml:space="preserve">Expand internationally. </w:t>
      </w:r>
      <w:r>
        <w:rPr>
          <w:rFonts w:ascii="Arial" w:cs="Arial" w:eastAsia="Arial" w:hAnsi="Arial"/>
          <w:sz w:val="17"/>
          <w:szCs w:val="17"/>
          <w:color w:val="auto"/>
        </w:rPr>
        <w:t>We believe there is a global need for our Digital Adoption Platform. For the year ended December 31, 2021, we had approximately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revenue came from customers outside of the United States. We have made significant investments in expanding our presence in Europe, the Middle East, Africa and Asia, and we believe there is a compelling opportunity to expand our offerings internationally in those markets with minimal additional investment to our technology and infrastructure.</w:t>
      </w:r>
    </w:p>
    <w:p>
      <w:pPr>
        <w:spacing w:after="0" w:line="180" w:lineRule="exact"/>
        <w:rPr>
          <w:sz w:val="20"/>
          <w:szCs w:val="20"/>
          <w:color w:val="auto"/>
        </w:rPr>
      </w:pPr>
    </w:p>
    <w:p>
      <w:pPr>
        <w:ind w:right="60" w:firstLine="410"/>
        <w:spacing w:after="0" w:line="267" w:lineRule="auto"/>
        <w:rPr>
          <w:sz w:val="20"/>
          <w:szCs w:val="20"/>
          <w:color w:val="auto"/>
        </w:rPr>
      </w:pPr>
      <w:r>
        <w:rPr>
          <w:rFonts w:ascii="Arial" w:cs="Arial" w:eastAsia="Arial" w:hAnsi="Arial"/>
          <w:sz w:val="16"/>
          <w:szCs w:val="16"/>
          <w:b w:val="1"/>
          <w:bCs w:val="1"/>
          <w:i w:val="1"/>
          <w:iCs w:val="1"/>
          <w:color w:val="auto"/>
        </w:rPr>
        <w:t xml:space="preserve">Expand our ecosystem and go-to-market partnerships. </w:t>
      </w:r>
      <w:r>
        <w:rPr>
          <w:rFonts w:ascii="Arial" w:cs="Arial" w:eastAsia="Arial" w:hAnsi="Arial"/>
          <w:sz w:val="16"/>
          <w:szCs w:val="16"/>
          <w:color w:val="auto"/>
        </w:rPr>
        <w:t>We intend to continue investing in our ecosystem and partner relationships to extend the functionality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platform, support new use cases and add new go-to-market channels. In 2021, we announced partnerships with Deloitte U.S. and SAP Concur, and, in the first quarter of 2022 we announced a partnership with Accenture, to extend our channels for acquiring new customers. We have built a flexible technology platform with open APIs which third-party developers can use to develop and sell new applications and solutions through our WalkMe Marketplace, which will increase our value to our customers and further embed WalkMe as a strategic platform within the enterprise. We intend to continue to invest in building our partner relationships including our relationships with system integrators to increase our delivery capacity, add new go-to-market channels and increase our sales pipeline. We intend to continue to grow our WalkMe Beyond ecosystem, digital adoption platform (“DAP”) professional as a Profession and our WalkMe Marketplace for independent professionals to offer services supporting WalkMe.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Our Technology</w:t>
      </w:r>
    </w:p>
    <w:p>
      <w:pPr>
        <w:spacing w:after="0" w:line="210" w:lineRule="exact"/>
        <w:rPr>
          <w:sz w:val="20"/>
          <w:szCs w:val="20"/>
          <w:color w:val="auto"/>
        </w:rPr>
      </w:pPr>
    </w:p>
    <w:p>
      <w:pPr>
        <w:ind w:right="20" w:firstLine="410"/>
        <w:spacing w:after="0" w:line="251" w:lineRule="auto"/>
        <w:rPr>
          <w:sz w:val="20"/>
          <w:szCs w:val="20"/>
          <w:color w:val="auto"/>
        </w:rPr>
      </w:pPr>
      <w:r>
        <w:rPr>
          <w:rFonts w:ascii="Arial" w:cs="Arial" w:eastAsia="Arial" w:hAnsi="Arial"/>
          <w:sz w:val="17"/>
          <w:szCs w:val="17"/>
          <w:color w:val="auto"/>
        </w:rPr>
        <w:t>Our technology is designed to autonomously understand user behavior across digital journeys by leveraging the application UI as the primary integration point to deliver our products. Our UI-focused approach enables seamless integration and allows us to deploy our products across any application—including custom built software—to deliver contextually aware, fully dynamic workflow guidance, as well as automation and analytics based on the user needs. Our Digital Adoption Platform does not require any coding or changes to the underlying application to implement the seamless deployment of WalkMe across the applications used by our customers.</w:t>
      </w:r>
    </w:p>
    <w:p>
      <w:pPr>
        <w:spacing w:after="0" w:line="183" w:lineRule="exact"/>
        <w:rPr>
          <w:sz w:val="20"/>
          <w:szCs w:val="20"/>
          <w:color w:val="auto"/>
        </w:rPr>
      </w:pPr>
    </w:p>
    <w:p>
      <w:pPr>
        <w:ind w:firstLine="410"/>
        <w:spacing w:after="0" w:line="335" w:lineRule="auto"/>
        <w:rPr>
          <w:sz w:val="20"/>
          <w:szCs w:val="20"/>
          <w:color w:val="auto"/>
        </w:rPr>
      </w:pPr>
      <w:r>
        <w:rPr>
          <w:rFonts w:ascii="Arial" w:cs="Arial" w:eastAsia="Arial" w:hAnsi="Arial"/>
          <w:sz w:val="15"/>
          <w:szCs w:val="15"/>
          <w:color w:val="auto"/>
        </w:rPr>
        <w:t>At the core of our UI-focused approach is DeepUI, our proprietary UI Intelligence technology. DeepUI leverages patented AI and machine learning algorithms to analyze any software application or website UI in relation to the user’s process flow context, navigation intent and permissions, among many other factors.</w:t>
      </w:r>
    </w:p>
    <w:p>
      <w:pPr>
        <w:spacing w:after="0" w:line="121" w:lineRule="exact"/>
        <w:rPr>
          <w:sz w:val="20"/>
          <w:szCs w:val="20"/>
          <w:color w:val="auto"/>
        </w:rPr>
      </w:pPr>
    </w:p>
    <w:p>
      <w:pPr>
        <w:ind w:right="80" w:firstLine="410"/>
        <w:spacing w:after="0" w:line="250" w:lineRule="auto"/>
        <w:rPr>
          <w:sz w:val="20"/>
          <w:szCs w:val="20"/>
          <w:color w:val="auto"/>
        </w:rPr>
      </w:pPr>
      <w:r>
        <w:rPr>
          <w:rFonts w:ascii="Arial" w:cs="Arial" w:eastAsia="Arial" w:hAnsi="Arial"/>
          <w:sz w:val="17"/>
          <w:szCs w:val="17"/>
          <w:color w:val="auto"/>
        </w:rPr>
        <w:t>By understanding how users interact with the underlying elements of any application’s UI at a granular level, our Digital Adoption Platform is able to automatically adapt as applications are continuously updated. For example, just as a person would know how to recognize a login page because they have seen similar pages countless times before, our DeepUI technology recognizes the underlying elements of an application’s UI and automatically adapts to enable users to successfully navigate through any application process flow, regardless of changes to the underlying UI. In addition, our DeepUI technology drives reductions in operational and maintenance costs by removing the need to support manual updates triggered by version changes to the underlying application. We do this by periodically scanning the applications upon which our software is deployed and collecting user behavior metadata. We do this seamlessly, with no impact on the user.</w:t>
      </w:r>
    </w:p>
    <w:p>
      <w:pPr>
        <w:spacing w:after="0" w:line="181" w:lineRule="exact"/>
        <w:rPr>
          <w:sz w:val="20"/>
          <w:szCs w:val="20"/>
          <w:color w:val="auto"/>
        </w:rPr>
      </w:pPr>
    </w:p>
    <w:p>
      <w:pPr>
        <w:ind w:right="180" w:firstLine="410"/>
        <w:spacing w:after="0" w:line="298" w:lineRule="auto"/>
        <w:rPr>
          <w:sz w:val="20"/>
          <w:szCs w:val="20"/>
          <w:color w:val="auto"/>
        </w:rPr>
      </w:pPr>
      <w:r>
        <w:rPr>
          <w:rFonts w:ascii="Arial" w:cs="Arial" w:eastAsia="Arial" w:hAnsi="Arial"/>
          <w:sz w:val="15"/>
          <w:szCs w:val="15"/>
          <w:color w:val="auto"/>
        </w:rPr>
        <w:t>The data collected by DeepUI is digested by Insights. Insights collects user attributes, session information, WalkMe interactions, location, device, among others, processing on average billions of events every day. Insights’ core technology is a petabyte scale real-time analytics platform that can support data at any scale and in any form. The events are aggregated and accumulated into smart dashboards, which enable our customers to analyze and run ad hoc queries on real time and historical data. This provides our customers with actionable insights to help with their data-driven decisions and maximize their value from our platform.</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Core Principles in Building Our Technology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 prerequisites and frictionless deployment on any digital asset</w:t>
      </w:r>
    </w:p>
    <w:p>
      <w:pPr>
        <w:spacing w:after="0" w:line="206" w:lineRule="exact"/>
        <w:rPr>
          <w:sz w:val="20"/>
          <w:szCs w:val="20"/>
          <w:color w:val="auto"/>
        </w:rPr>
      </w:pPr>
    </w:p>
    <w:p>
      <w:pPr>
        <w:ind w:right="440" w:firstLine="410"/>
        <w:spacing w:after="0" w:line="268" w:lineRule="auto"/>
        <w:rPr>
          <w:sz w:val="20"/>
          <w:szCs w:val="20"/>
          <w:color w:val="auto"/>
        </w:rPr>
      </w:pPr>
      <w:r>
        <w:rPr>
          <w:rFonts w:ascii="Arial" w:cs="Arial" w:eastAsia="Arial" w:hAnsi="Arial"/>
          <w:sz w:val="17"/>
          <w:szCs w:val="17"/>
          <w:color w:val="auto"/>
        </w:rPr>
        <w:t>Our technology is platform agnostic and supports any digital asset that is used by our customers, including all modern web browsers (desktop and mobile), mobile native applications (iOS and Android), and desktop operating systems (Windows and macOS).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Simple and flexible deployment across any enterprise environment</w:t>
      </w:r>
    </w:p>
    <w:p>
      <w:pPr>
        <w:spacing w:after="0" w:line="206" w:lineRule="exact"/>
        <w:rPr>
          <w:sz w:val="20"/>
          <w:szCs w:val="20"/>
          <w:color w:val="auto"/>
        </w:rPr>
      </w:pPr>
    </w:p>
    <w:p>
      <w:pPr>
        <w:ind w:right="360" w:firstLine="410"/>
        <w:spacing w:after="0" w:line="268" w:lineRule="auto"/>
        <w:rPr>
          <w:sz w:val="20"/>
          <w:szCs w:val="20"/>
          <w:color w:val="auto"/>
        </w:rPr>
      </w:pPr>
      <w:r>
        <w:rPr>
          <w:rFonts w:ascii="Arial" w:cs="Arial" w:eastAsia="Arial" w:hAnsi="Arial"/>
          <w:sz w:val="17"/>
          <w:szCs w:val="17"/>
          <w:color w:val="auto"/>
        </w:rPr>
        <w:t>Our platform is easy to deploy across any enterprise, including complex IT environments and custom-built software. We support delivery through a browser extension, code snippet, mobile SDK, desktop agent, or through 3rd party apps.</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5" w:name="page66"/>
    <w:bookmarkEnd w:id="65"/>
    <w:p>
      <w:pPr>
        <w:spacing w:after="0"/>
        <w:rPr>
          <w:sz w:val="20"/>
          <w:szCs w:val="20"/>
          <w:color w:val="auto"/>
        </w:rPr>
      </w:pPr>
      <w:r>
        <w:rPr>
          <w:rFonts w:ascii="Arial" w:cs="Arial" w:eastAsia="Arial" w:hAnsi="Arial"/>
          <w:sz w:val="17"/>
          <w:szCs w:val="17"/>
          <w:i w:val="1"/>
          <w:iCs w:val="1"/>
          <w:color w:val="auto"/>
        </w:rPr>
        <w:t>No-code simplicity, enterprise grade functionality</w:t>
      </w:r>
    </w:p>
    <w:p>
      <w:pPr>
        <w:spacing w:after="0" w:line="20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We designed our platform so that any individual can build complex implementations without the need for coding by leveraging our UI intelligence technology and our robust and easy-to-use editor. Like recording a macro in Office, our editor enables the building of Walkthroughs by recording the steps a user takes. This makes building content simple, fast and easy to maintain, while also supporting enterprise requirements such as collaboration by multiple users building on the same account, testing environments or versioning.</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Data-driven approach</w:t>
      </w:r>
    </w:p>
    <w:p>
      <w:pPr>
        <w:spacing w:after="0" w:line="206"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Our platform is built on a big-data pipeline that collects and processes on average billions of events every day, providing CIOs and business leaders visibility into the software stack and an understanding into digital experiences across applications. In order to monitor business goals, customers are able to leverage data, identify areas of improvement, apply digital adoption capabilities, define success and act upon it.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Deliver extensible, agile and integration-ready platforms</w:t>
      </w:r>
    </w:p>
    <w:p>
      <w:pPr>
        <w:spacing w:after="0" w:line="206"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Our platform achieves extensibility and agility by designing core services such as content management and user behavior analysis to be broadly applicable to any application. This reduces the complexity and the required effort needed to adopt new applications that are built to serve additional use cases. Furthermore, our platform is designed to be easily integrated with software utilized by our customers by exposing an API and set of tools for incoming and outgoing data integrations, in both batch mode as well as online.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Cloud-native architecture for performance, reliability and availability</w:t>
      </w:r>
    </w:p>
    <w:p>
      <w:pPr>
        <w:spacing w:after="0" w:line="206" w:lineRule="exact"/>
        <w:rPr>
          <w:sz w:val="20"/>
          <w:szCs w:val="20"/>
          <w:color w:val="auto"/>
        </w:rPr>
      </w:pPr>
    </w:p>
    <w:p>
      <w:pPr>
        <w:ind w:right="120" w:firstLine="410"/>
        <w:spacing w:after="0" w:line="268" w:lineRule="auto"/>
        <w:rPr>
          <w:sz w:val="20"/>
          <w:szCs w:val="20"/>
          <w:color w:val="auto"/>
        </w:rPr>
      </w:pPr>
      <w:r>
        <w:rPr>
          <w:rFonts w:ascii="Arial" w:cs="Arial" w:eastAsia="Arial" w:hAnsi="Arial"/>
          <w:sz w:val="17"/>
          <w:szCs w:val="17"/>
          <w:color w:val="auto"/>
        </w:rPr>
        <w:t>Our software is built on a microservices-based architecture, leveraging public cloud infrastructure from Amazon Web Services and Google Cloud Platform. Our architecture is designed to be highly scalable and reliable, as it runs on top of business critical systems.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Security and privacy by design</w:t>
      </w:r>
    </w:p>
    <w:p>
      <w:pPr>
        <w:spacing w:after="0" w:line="206" w:lineRule="exact"/>
        <w:rPr>
          <w:sz w:val="20"/>
          <w:szCs w:val="20"/>
          <w:color w:val="auto"/>
        </w:rPr>
      </w:pPr>
    </w:p>
    <w:p>
      <w:pPr>
        <w:ind w:right="120" w:firstLine="410"/>
        <w:spacing w:after="0" w:line="257" w:lineRule="auto"/>
        <w:rPr>
          <w:sz w:val="20"/>
          <w:szCs w:val="20"/>
          <w:color w:val="auto"/>
        </w:rPr>
      </w:pPr>
      <w:r>
        <w:rPr>
          <w:rFonts w:ascii="Arial" w:cs="Arial" w:eastAsia="Arial" w:hAnsi="Arial"/>
          <w:sz w:val="17"/>
          <w:szCs w:val="17"/>
          <w:color w:val="auto"/>
        </w:rPr>
        <w:t>WalkMe is ISO 27001 and SOC 2 Type II certified. In addition, we have developed features that provide our customers with security controls over their use of WalkMe that helps achieve their compliance with regulatory requirements. Additionally, our UI-focused integration approach supports improved security by aligning our Digital Adoption Platform with the user role-based policies already integrated within the application.</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auto"/>
        </w:rPr>
        <w:t>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6886575" cy="29171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86575" cy="291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extended functional capabilities, designed to solve key business challenges, include:</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auto"/>
        </w:rPr>
        <w:t>Experience</w:t>
      </w:r>
    </w:p>
    <w:p>
      <w:pPr>
        <w:spacing w:after="0" w:line="206" w:lineRule="exact"/>
        <w:rPr>
          <w:sz w:val="20"/>
          <w:szCs w:val="20"/>
          <w:color w:val="auto"/>
        </w:rPr>
      </w:pPr>
    </w:p>
    <w:p>
      <w:pPr>
        <w:ind w:firstLine="410"/>
        <w:spacing w:after="0" w:line="268" w:lineRule="auto"/>
        <w:rPr>
          <w:sz w:val="20"/>
          <w:szCs w:val="20"/>
          <w:color w:val="auto"/>
        </w:rPr>
      </w:pPr>
      <w:r>
        <w:rPr>
          <w:rFonts w:ascii="Arial" w:cs="Arial" w:eastAsia="Arial" w:hAnsi="Arial"/>
          <w:sz w:val="17"/>
          <w:szCs w:val="17"/>
          <w:color w:val="auto"/>
        </w:rPr>
        <w:t>User experience is what drives WalkMe. With WalkMe, our customers can design contextual and personalized experiences that engage and drive user adoption of their digital assets on mobile, web and desktop.</w:t>
      </w:r>
    </w:p>
    <w:p>
      <w:pPr>
        <w:spacing w:after="0" w:line="162" w:lineRule="exact"/>
        <w:rPr>
          <w:sz w:val="20"/>
          <w:szCs w:val="20"/>
          <w:color w:val="auto"/>
        </w:rPr>
      </w:pPr>
    </w:p>
    <w:p>
      <w:pPr>
        <w:ind w:left="740" w:hanging="325"/>
        <w:spacing w:after="0"/>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Smart Walk-Thrus. </w:t>
      </w:r>
      <w:r>
        <w:rPr>
          <w:rFonts w:ascii="Arial" w:cs="Arial" w:eastAsia="Arial" w:hAnsi="Arial"/>
          <w:sz w:val="16"/>
          <w:szCs w:val="16"/>
          <w:color w:val="auto"/>
        </w:rPr>
        <w:t>Smart Walk-Thrus are intelligent and context aware, step-by-step instructions delivered to users in real-time as dynamic, in-</w:t>
      </w:r>
    </w:p>
    <w:p>
      <w:pPr>
        <w:spacing w:after="0" w:line="33" w:lineRule="exact"/>
        <w:rPr>
          <w:rFonts w:ascii="Arial" w:cs="Arial" w:eastAsia="Arial" w:hAnsi="Arial"/>
          <w:sz w:val="16"/>
          <w:szCs w:val="16"/>
          <w:color w:val="auto"/>
        </w:rPr>
      </w:pPr>
    </w:p>
    <w:p>
      <w:pPr>
        <w:ind w:left="740" w:right="280"/>
        <w:spacing w:after="0" w:line="267" w:lineRule="auto"/>
        <w:rPr>
          <w:rFonts w:ascii="Arial" w:cs="Arial" w:eastAsia="Arial" w:hAnsi="Arial"/>
          <w:sz w:val="16"/>
          <w:szCs w:val="16"/>
          <w:color w:val="auto"/>
        </w:rPr>
      </w:pPr>
      <w:r>
        <w:rPr>
          <w:rFonts w:ascii="Arial" w:cs="Arial" w:eastAsia="Arial" w:hAnsi="Arial"/>
          <w:sz w:val="16"/>
          <w:szCs w:val="16"/>
          <w:color w:val="auto"/>
        </w:rPr>
        <w:t>app experiences that adjust guidance based on user roles and actions, app navigation orientation, workflow process stage and custom defined conditions. Walk-Thrus simplify the user experience by providing on-screen guidance and automation, helping ensure proper task completion. Examples include guiding employees on how to add a lead or account to a CRM, or helping consumers complete a purchase. Walk-Thrus can also branch into other Walk-Thrus based on contextual rules. They can scroll down pages to a hidden component, commute users in and out of systems (including third-party data sources) and even perform active tasks, such as validating and submitting forms.</w:t>
      </w:r>
    </w:p>
    <w:p>
      <w:pPr>
        <w:spacing w:after="0" w:line="165" w:lineRule="exact"/>
        <w:rPr>
          <w:rFonts w:ascii="Arial" w:cs="Arial" w:eastAsia="Arial" w:hAnsi="Arial"/>
          <w:sz w:val="16"/>
          <w:szCs w:val="16"/>
          <w:color w:val="auto"/>
        </w:rPr>
      </w:pPr>
    </w:p>
    <w:p>
      <w:pPr>
        <w:ind w:left="740" w:right="200" w:hanging="325"/>
        <w:spacing w:after="0" w:line="273" w:lineRule="auto"/>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Flow Steps</w:t>
      </w:r>
      <w:r>
        <w:rPr>
          <w:rFonts w:ascii="Arial" w:cs="Arial" w:eastAsia="Arial" w:hAnsi="Arial"/>
          <w:sz w:val="17"/>
          <w:szCs w:val="17"/>
          <w:color w:val="auto"/>
        </w:rPr>
        <w:t>. Flow Steps function to alter the sequence of the Smart Walk-Thru; for example, they can split the Smart Walk-Thru into different paths, wait</w:t>
      </w:r>
      <w:r>
        <w:rPr>
          <w:rFonts w:ascii="Arial" w:cs="Arial" w:eastAsia="Arial" w:hAnsi="Arial"/>
          <w:sz w:val="17"/>
          <w:szCs w:val="17"/>
          <w:b w:val="1"/>
          <w:bCs w:val="1"/>
          <w:color w:val="auto"/>
        </w:rPr>
        <w:t xml:space="preserve"> </w:t>
      </w:r>
      <w:r>
        <w:rPr>
          <w:rFonts w:ascii="Arial" w:cs="Arial" w:eastAsia="Arial" w:hAnsi="Arial"/>
          <w:sz w:val="17"/>
          <w:szCs w:val="17"/>
          <w:color w:val="auto"/>
        </w:rPr>
        <w:t>for a certain condition before continuing, or handle errors.</w:t>
      </w:r>
    </w:p>
    <w:p>
      <w:pPr>
        <w:spacing w:after="0" w:line="157" w:lineRule="exact"/>
        <w:rPr>
          <w:rFonts w:ascii="Arial" w:cs="Arial" w:eastAsia="Arial" w:hAnsi="Arial"/>
          <w:sz w:val="17"/>
          <w:szCs w:val="17"/>
          <w:color w:val="auto"/>
        </w:rPr>
      </w:pPr>
    </w:p>
    <w:p>
      <w:pPr>
        <w:ind w:left="740" w:right="100" w:hanging="325"/>
        <w:spacing w:after="0" w:line="259" w:lineRule="auto"/>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SmartTips</w:t>
      </w:r>
      <w:r>
        <w:rPr>
          <w:rFonts w:ascii="Arial" w:cs="Arial" w:eastAsia="Arial" w:hAnsi="Arial"/>
          <w:sz w:val="17"/>
          <w:szCs w:val="17"/>
          <w:color w:val="auto"/>
        </w:rPr>
        <w:t>. SmartTips are functional tool tips used for guidance and validation. SmartTips can add remarks that address certain processes that are prone to</w:t>
      </w:r>
      <w:r>
        <w:rPr>
          <w:rFonts w:ascii="Arial" w:cs="Arial" w:eastAsia="Arial" w:hAnsi="Arial"/>
          <w:sz w:val="17"/>
          <w:szCs w:val="17"/>
          <w:b w:val="1"/>
          <w:bCs w:val="1"/>
          <w:color w:val="auto"/>
        </w:rPr>
        <w:t xml:space="preserve"> </w:t>
      </w:r>
      <w:r>
        <w:rPr>
          <w:rFonts w:ascii="Arial" w:cs="Arial" w:eastAsia="Arial" w:hAnsi="Arial"/>
          <w:sz w:val="17"/>
          <w:szCs w:val="17"/>
          <w:color w:val="auto"/>
        </w:rPr>
        <w:t>user error, especially in complicated or vague forms. SmartTips can provide information on what is on the page or in an input field and provide real-time feedback on data before form submission.</w:t>
      </w:r>
    </w:p>
    <w:p>
      <w:pPr>
        <w:spacing w:after="0" w:line="170" w:lineRule="exact"/>
        <w:rPr>
          <w:rFonts w:ascii="Arial" w:cs="Arial" w:eastAsia="Arial" w:hAnsi="Arial"/>
          <w:sz w:val="17"/>
          <w:szCs w:val="17"/>
          <w:color w:val="auto"/>
        </w:rPr>
      </w:pPr>
    </w:p>
    <w:p>
      <w:pPr>
        <w:jc w:val="both"/>
        <w:ind w:left="740" w:right="120" w:hanging="325"/>
        <w:spacing w:after="0" w:line="259" w:lineRule="auto"/>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ShoutOuts</w:t>
      </w:r>
      <w:r>
        <w:rPr>
          <w:rFonts w:ascii="Arial" w:cs="Arial" w:eastAsia="Arial" w:hAnsi="Arial"/>
          <w:sz w:val="17"/>
          <w:szCs w:val="17"/>
          <w:color w:val="auto"/>
        </w:rPr>
        <w:t>. ShoutOuts are notifications that display announcements and encourage interaction. ShoutOuts can be represented by an action button that will</w:t>
      </w:r>
      <w:r>
        <w:rPr>
          <w:rFonts w:ascii="Arial" w:cs="Arial" w:eastAsia="Arial" w:hAnsi="Arial"/>
          <w:sz w:val="17"/>
          <w:szCs w:val="17"/>
          <w:b w:val="1"/>
          <w:bCs w:val="1"/>
          <w:color w:val="auto"/>
        </w:rPr>
        <w:t xml:space="preserve"> </w:t>
      </w:r>
      <w:r>
        <w:rPr>
          <w:rFonts w:ascii="Arial" w:cs="Arial" w:eastAsia="Arial" w:hAnsi="Arial"/>
          <w:sz w:val="17"/>
          <w:szCs w:val="17"/>
          <w:color w:val="auto"/>
        </w:rPr>
        <w:t>launch another WalkMe item. For example, in a CRM setting, ShoutOuts can be used to inform users that the website will be going down for maintenance, or remind employees to log activity.</w:t>
      </w:r>
    </w:p>
    <w:p>
      <w:pPr>
        <w:spacing w:after="0" w:line="170" w:lineRule="exact"/>
        <w:rPr>
          <w:rFonts w:ascii="Arial" w:cs="Arial" w:eastAsia="Arial" w:hAnsi="Arial"/>
          <w:sz w:val="17"/>
          <w:szCs w:val="17"/>
          <w:color w:val="auto"/>
        </w:rPr>
      </w:pPr>
    </w:p>
    <w:p>
      <w:pPr>
        <w:ind w:left="740" w:right="240" w:hanging="325"/>
        <w:spacing w:after="0" w:line="259" w:lineRule="auto"/>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Onboarding</w:t>
      </w:r>
      <w:r>
        <w:rPr>
          <w:rFonts w:ascii="Arial" w:cs="Arial" w:eastAsia="Arial" w:hAnsi="Arial"/>
          <w:sz w:val="17"/>
          <w:szCs w:val="17"/>
          <w:color w:val="auto"/>
        </w:rPr>
        <w:t>. Onboarding is a to-do list for users. Onboarding Tasks enable users to see their progress as they move through the Tasks, gamifying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and pushing them to complete more tasks and engage with WalkMe. Onboarding can be used to train new hires on a series of tasks, or to help inform users of widespread changes in an application or on a website.</w:t>
      </w:r>
    </w:p>
    <w:p>
      <w:pPr>
        <w:spacing w:after="0" w:line="170" w:lineRule="exact"/>
        <w:rPr>
          <w:rFonts w:ascii="Arial" w:cs="Arial" w:eastAsia="Arial" w:hAnsi="Arial"/>
          <w:sz w:val="17"/>
          <w:szCs w:val="17"/>
          <w:color w:val="auto"/>
        </w:rPr>
      </w:pPr>
    </w:p>
    <w:p>
      <w:pPr>
        <w:jc w:val="both"/>
        <w:ind w:left="740" w:right="20" w:hanging="325"/>
        <w:spacing w:after="0" w:line="259" w:lineRule="auto"/>
        <w:tabs>
          <w:tab w:leader="none" w:pos="74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TeachMe</w:t>
      </w:r>
      <w:r>
        <w:rPr>
          <w:rFonts w:ascii="Arial" w:cs="Arial" w:eastAsia="Arial" w:hAnsi="Arial"/>
          <w:sz w:val="17"/>
          <w:szCs w:val="17"/>
          <w:color w:val="auto"/>
        </w:rPr>
        <w:t>. WalkMe’s Micro-LMS suite, TeachMe, allows users to package their WalkMe experiences into learning modules and complete courses. Learning</w:t>
      </w:r>
      <w:r>
        <w:rPr>
          <w:rFonts w:ascii="Arial" w:cs="Arial" w:eastAsia="Arial" w:hAnsi="Arial"/>
          <w:sz w:val="17"/>
          <w:szCs w:val="17"/>
          <w:b w:val="1"/>
          <w:bCs w:val="1"/>
          <w:color w:val="auto"/>
        </w:rPr>
        <w:t xml:space="preserve"> </w:t>
      </w:r>
      <w:r>
        <w:rPr>
          <w:rFonts w:ascii="Arial" w:cs="Arial" w:eastAsia="Arial" w:hAnsi="Arial"/>
          <w:sz w:val="17"/>
          <w:szCs w:val="17"/>
          <w:color w:val="auto"/>
        </w:rPr>
        <w:t>is available to them in the application when it is most relevant to them. Courses will appear in a tab on the left hand side of the screen that can be minimized or maximized. Courses in TeachMe are made using Walk-Thrus, Resource, Articles, Videos and more.</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7" w:name="page68"/>
    <w:bookmarkEnd w:id="67"/>
    <w:p>
      <w:pPr>
        <w:ind w:left="740" w:right="40" w:hanging="325"/>
        <w:spacing w:after="0" w:line="273" w:lineRule="auto"/>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Workstation</w:t>
      </w:r>
      <w:r>
        <w:rPr>
          <w:rFonts w:ascii="Arial" w:cs="Arial" w:eastAsia="Arial" w:hAnsi="Arial"/>
          <w:sz w:val="17"/>
          <w:szCs w:val="17"/>
          <w:color w:val="auto"/>
        </w:rPr>
        <w:t>. Workstation connects employees through a single interface to the applications within an enterprise and simplifies task completion, enterprise</w:t>
      </w:r>
      <w:r>
        <w:rPr>
          <w:rFonts w:ascii="Arial" w:cs="Arial" w:eastAsia="Arial" w:hAnsi="Arial"/>
          <w:sz w:val="17"/>
          <w:szCs w:val="17"/>
          <w:b w:val="1"/>
          <w:bCs w:val="1"/>
          <w:color w:val="auto"/>
        </w:rPr>
        <w:t xml:space="preserve"> </w:t>
      </w:r>
      <w:r>
        <w:rPr>
          <w:rFonts w:ascii="Arial" w:cs="Arial" w:eastAsia="Arial" w:hAnsi="Arial"/>
          <w:sz w:val="17"/>
          <w:szCs w:val="17"/>
          <w:color w:val="auto"/>
        </w:rPr>
        <w:t>search, communication, a natural language conversational interface and automation.</w:t>
      </w:r>
    </w:p>
    <w:p>
      <w:pPr>
        <w:spacing w:after="0" w:line="157" w:lineRule="exact"/>
        <w:rPr>
          <w:rFonts w:ascii="Arial" w:cs="Arial" w:eastAsia="Arial" w:hAnsi="Arial"/>
          <w:sz w:val="17"/>
          <w:szCs w:val="17"/>
          <w:color w:val="auto"/>
        </w:rPr>
      </w:pPr>
    </w:p>
    <w:p>
      <w:pPr>
        <w:ind w:left="740" w:hanging="325"/>
        <w:spacing w:after="0"/>
        <w:tabs>
          <w:tab w:leader="none" w:pos="74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WalkMe Mobile</w:t>
      </w:r>
      <w:r>
        <w:rPr>
          <w:rFonts w:ascii="Arial" w:cs="Arial" w:eastAsia="Arial" w:hAnsi="Arial"/>
          <w:sz w:val="16"/>
          <w:szCs w:val="16"/>
          <w:color w:val="auto"/>
        </w:rPr>
        <w:t>. WalkMe Mobile is a native mobile platform for iOS and Android applications that adds the WalkMe capabilities to mobile apps.</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auto"/>
        </w:rPr>
        <w:t>Action</w:t>
      </w:r>
    </w:p>
    <w:p>
      <w:pPr>
        <w:spacing w:after="0" w:line="202" w:lineRule="exact"/>
        <w:rPr>
          <w:sz w:val="20"/>
          <w:szCs w:val="20"/>
          <w:color w:val="auto"/>
        </w:rPr>
      </w:pPr>
    </w:p>
    <w:p>
      <w:pPr>
        <w:ind w:left="740" w:hanging="325"/>
        <w:spacing w:after="0" w:line="259" w:lineRule="auto"/>
        <w:tabs>
          <w:tab w:leader="none" w:pos="74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No-code editor</w:t>
      </w:r>
      <w:r>
        <w:rPr>
          <w:rFonts w:ascii="Arial" w:cs="Arial" w:eastAsia="Arial" w:hAnsi="Arial"/>
          <w:sz w:val="17"/>
          <w:szCs w:val="17"/>
          <w:color w:val="auto"/>
        </w:rPr>
        <w:t>. Our no-code editor is our main authoring tool through which WalkMe customers can create, design and manage content without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new software code. With key functionalities such as segmentation, conditional logic and branching, our customers can create seamless user experiences that drive users to success.</w:t>
      </w:r>
    </w:p>
    <w:p>
      <w:pPr>
        <w:spacing w:after="0" w:line="170" w:lineRule="exact"/>
        <w:rPr>
          <w:rFonts w:ascii="Arial" w:cs="Arial" w:eastAsia="Arial" w:hAnsi="Arial"/>
          <w:sz w:val="17"/>
          <w:szCs w:val="17"/>
          <w:color w:val="auto"/>
        </w:rPr>
      </w:pPr>
    </w:p>
    <w:p>
      <w:pPr>
        <w:ind w:left="740" w:right="380" w:hanging="325"/>
        <w:spacing w:after="0" w:line="283" w:lineRule="auto"/>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Solution Accelerators</w:t>
      </w:r>
      <w:r>
        <w:rPr>
          <w:rFonts w:ascii="Arial" w:cs="Arial" w:eastAsia="Arial" w:hAnsi="Arial"/>
          <w:sz w:val="16"/>
          <w:szCs w:val="16"/>
          <w:color w:val="auto"/>
        </w:rPr>
        <w:t>. We have built several platform-specific solution templates based on the implementations gathered by WalkMe across the most</w:t>
      </w:r>
      <w:r>
        <w:rPr>
          <w:rFonts w:ascii="Arial" w:cs="Arial" w:eastAsia="Arial" w:hAnsi="Arial"/>
          <w:sz w:val="16"/>
          <w:szCs w:val="16"/>
          <w:b w:val="1"/>
          <w:bCs w:val="1"/>
          <w:color w:val="auto"/>
        </w:rPr>
        <w:t xml:space="preserve"> </w:t>
      </w:r>
      <w:r>
        <w:rPr>
          <w:rFonts w:ascii="Arial" w:cs="Arial" w:eastAsia="Arial" w:hAnsi="Arial"/>
          <w:sz w:val="16"/>
          <w:szCs w:val="16"/>
          <w:color w:val="auto"/>
        </w:rPr>
        <w:t>commonly used applications. These Solution Accelerators drive best practices, reduce customer maintenance efforts and costs and enable faster implementation and time-to-value for frequently used actions such as changing password or updating an address.</w:t>
      </w:r>
    </w:p>
    <w:p>
      <w:pPr>
        <w:spacing w:after="0" w:line="157"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auto"/>
        </w:rPr>
        <w:t>Automation</w:t>
      </w:r>
    </w:p>
    <w:p>
      <w:pPr>
        <w:spacing w:after="0" w:line="202" w:lineRule="exact"/>
        <w:rPr>
          <w:sz w:val="20"/>
          <w:szCs w:val="20"/>
          <w:color w:val="auto"/>
        </w:rPr>
      </w:pPr>
    </w:p>
    <w:p>
      <w:pPr>
        <w:jc w:val="both"/>
        <w:ind w:left="740" w:right="400" w:hanging="325"/>
        <w:spacing w:after="0" w:line="259" w:lineRule="auto"/>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Automated Steps</w:t>
      </w:r>
      <w:r>
        <w:rPr>
          <w:rFonts w:ascii="Arial" w:cs="Arial" w:eastAsia="Arial" w:hAnsi="Arial"/>
          <w:sz w:val="17"/>
          <w:szCs w:val="17"/>
          <w:color w:val="auto"/>
        </w:rPr>
        <w:t>. An Automation process is an automated Smart Walk-Thru that can run simultaneously while a visual Smart Walk-Thru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balloon steps) is also running. For example, an automated process can copy and paste text from one application and into another and close the process without undermining data integrity.</w:t>
      </w:r>
    </w:p>
    <w:p>
      <w:pPr>
        <w:spacing w:after="0" w:line="170" w:lineRule="exact"/>
        <w:rPr>
          <w:rFonts w:ascii="Arial" w:cs="Arial" w:eastAsia="Arial" w:hAnsi="Arial"/>
          <w:sz w:val="17"/>
          <w:szCs w:val="17"/>
          <w:color w:val="auto"/>
        </w:rPr>
      </w:pPr>
    </w:p>
    <w:p>
      <w:pPr>
        <w:jc w:val="both"/>
        <w:ind w:left="740" w:right="60" w:hanging="325"/>
        <w:spacing w:after="0" w:line="283" w:lineRule="auto"/>
        <w:tabs>
          <w:tab w:leader="none" w:pos="74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ActionBot. </w:t>
      </w:r>
      <w:r>
        <w:rPr>
          <w:rFonts w:ascii="Arial" w:cs="Arial" w:eastAsia="Arial" w:hAnsi="Arial"/>
          <w:sz w:val="16"/>
          <w:szCs w:val="16"/>
          <w:color w:val="auto"/>
        </w:rPr>
        <w:t>Our ActionBot is a natural language chatbot interface that allows users to perform entire tasks from a central conversational interface, meaning</w:t>
      </w:r>
      <w:r>
        <w:rPr>
          <w:rFonts w:ascii="Arial" w:cs="Arial" w:eastAsia="Arial" w:hAnsi="Arial"/>
          <w:sz w:val="16"/>
          <w:szCs w:val="16"/>
          <w:b w:val="1"/>
          <w:bCs w:val="1"/>
          <w:color w:val="auto"/>
        </w:rPr>
        <w:t xml:space="preserve"> </w:t>
      </w:r>
      <w:r>
        <w:rPr>
          <w:rFonts w:ascii="Arial" w:cs="Arial" w:eastAsia="Arial" w:hAnsi="Arial"/>
          <w:sz w:val="16"/>
          <w:szCs w:val="16"/>
          <w:color w:val="auto"/>
        </w:rPr>
        <w:t>the user is not required to search, operate and navigate sophisticated enterprise management systems, fill in complex forms or struggle through convoluted flows between disconnected platforms. The ActionBot automation can be performed on top of the UI or by utilizing APIs.</w:t>
      </w:r>
    </w:p>
    <w:p>
      <w:pPr>
        <w:spacing w:after="0" w:line="152" w:lineRule="exact"/>
        <w:rPr>
          <w:rFonts w:ascii="Arial" w:cs="Arial" w:eastAsia="Arial" w:hAnsi="Arial"/>
          <w:sz w:val="16"/>
          <w:szCs w:val="16"/>
          <w:color w:val="auto"/>
        </w:rPr>
      </w:pPr>
    </w:p>
    <w:p>
      <w:pPr>
        <w:ind w:left="740" w:right="60" w:hanging="325"/>
        <w:spacing w:after="0" w:line="305" w:lineRule="auto"/>
        <w:tabs>
          <w:tab w:leader="none" w:pos="74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Shield</w:t>
      </w:r>
      <w:r>
        <w:rPr>
          <w:rFonts w:ascii="Arial" w:cs="Arial" w:eastAsia="Arial" w:hAnsi="Arial"/>
          <w:sz w:val="16"/>
          <w:szCs w:val="16"/>
          <w:color w:val="auto"/>
        </w:rPr>
        <w:t>. WalkMe Shield is an automated testing solution which ensures that the end users’ experience is always up-to-date. Shield records both the WalkMe</w:t>
      </w:r>
      <w:r>
        <w:rPr>
          <w:rFonts w:ascii="Arial" w:cs="Arial" w:eastAsia="Arial" w:hAnsi="Arial"/>
          <w:sz w:val="16"/>
          <w:szCs w:val="16"/>
          <w:b w:val="1"/>
          <w:bCs w:val="1"/>
          <w:color w:val="auto"/>
        </w:rPr>
        <w:t xml:space="preserve"> </w:t>
      </w:r>
      <w:r>
        <w:rPr>
          <w:rFonts w:ascii="Arial" w:cs="Arial" w:eastAsia="Arial" w:hAnsi="Arial"/>
          <w:sz w:val="16"/>
          <w:szCs w:val="16"/>
          <w:color w:val="auto"/>
        </w:rPr>
        <w:t>and user experience to ensure flows are up-to-date with every website change, browser update and platform version release.</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auto"/>
        </w:rPr>
        <w:t>Data</w:t>
      </w:r>
    </w:p>
    <w:p>
      <w:pPr>
        <w:spacing w:after="0" w:line="206" w:lineRule="exact"/>
        <w:rPr>
          <w:sz w:val="20"/>
          <w:szCs w:val="20"/>
          <w:color w:val="auto"/>
        </w:rPr>
      </w:pPr>
    </w:p>
    <w:p>
      <w:pPr>
        <w:ind w:right="320" w:firstLine="410"/>
        <w:spacing w:after="0" w:line="268" w:lineRule="auto"/>
        <w:rPr>
          <w:sz w:val="20"/>
          <w:szCs w:val="20"/>
          <w:color w:val="auto"/>
        </w:rPr>
      </w:pPr>
      <w:r>
        <w:rPr>
          <w:rFonts w:ascii="Arial" w:cs="Arial" w:eastAsia="Arial" w:hAnsi="Arial"/>
          <w:sz w:val="17"/>
          <w:szCs w:val="17"/>
          <w:color w:val="auto"/>
        </w:rPr>
        <w:t>WalkMe’s data provides CIOs and business leaders with insights and visibility across the software stack and the insights needed to measure, drive and act to ultimately maximize the impact of their digital transformation strategy by driving process adoption.</w:t>
      </w:r>
    </w:p>
    <w:p>
      <w:pPr>
        <w:spacing w:after="0" w:line="162" w:lineRule="exact"/>
        <w:rPr>
          <w:sz w:val="20"/>
          <w:szCs w:val="20"/>
          <w:color w:val="auto"/>
        </w:rPr>
      </w:pPr>
    </w:p>
    <w:p>
      <w:pPr>
        <w:ind w:left="740" w:right="420" w:hanging="325"/>
        <w:spacing w:after="0" w:line="273" w:lineRule="auto"/>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Visibility into Software Application Utilization</w:t>
      </w:r>
      <w:r>
        <w:rPr>
          <w:rFonts w:ascii="Arial" w:cs="Arial" w:eastAsia="Arial" w:hAnsi="Arial"/>
          <w:sz w:val="17"/>
          <w:szCs w:val="17"/>
          <w:color w:val="auto"/>
        </w:rPr>
        <w:t>. Provides insight into all applications deployed across an organization, including KPI setting, usage</w:t>
      </w:r>
      <w:r>
        <w:rPr>
          <w:rFonts w:ascii="Arial" w:cs="Arial" w:eastAsia="Arial" w:hAnsi="Arial"/>
          <w:sz w:val="17"/>
          <w:szCs w:val="17"/>
          <w:b w:val="1"/>
          <w:bCs w:val="1"/>
          <w:color w:val="auto"/>
        </w:rPr>
        <w:t xml:space="preserve"> </w:t>
      </w:r>
      <w:r>
        <w:rPr>
          <w:rFonts w:ascii="Arial" w:cs="Arial" w:eastAsia="Arial" w:hAnsi="Arial"/>
          <w:sz w:val="17"/>
          <w:szCs w:val="17"/>
          <w:color w:val="auto"/>
        </w:rPr>
        <w:t>trends, cross-application user journeys, and workflow processes.</w:t>
      </w:r>
    </w:p>
    <w:p>
      <w:pPr>
        <w:spacing w:after="0" w:line="157" w:lineRule="exact"/>
        <w:rPr>
          <w:rFonts w:ascii="Arial" w:cs="Arial" w:eastAsia="Arial" w:hAnsi="Arial"/>
          <w:sz w:val="17"/>
          <w:szCs w:val="17"/>
          <w:color w:val="auto"/>
        </w:rPr>
      </w:pPr>
    </w:p>
    <w:p>
      <w:pPr>
        <w:ind w:left="740" w:right="80" w:hanging="325"/>
        <w:spacing w:after="0" w:line="273" w:lineRule="auto"/>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Real-time Assessment of User Productivity</w:t>
      </w:r>
      <w:r>
        <w:rPr>
          <w:rFonts w:ascii="Arial" w:cs="Arial" w:eastAsia="Arial" w:hAnsi="Arial"/>
          <w:sz w:val="17"/>
          <w:szCs w:val="17"/>
          <w:color w:val="auto"/>
        </w:rPr>
        <w:t>. Provides granular data to identify opportunities to optimize user and business productivity and eliminate the</w:t>
      </w:r>
      <w:r>
        <w:rPr>
          <w:rFonts w:ascii="Arial" w:cs="Arial" w:eastAsia="Arial" w:hAnsi="Arial"/>
          <w:sz w:val="17"/>
          <w:szCs w:val="17"/>
          <w:b w:val="1"/>
          <w:bCs w:val="1"/>
          <w:color w:val="auto"/>
        </w:rPr>
        <w:t xml:space="preserve"> </w:t>
      </w:r>
      <w:r>
        <w:rPr>
          <w:rFonts w:ascii="Arial" w:cs="Arial" w:eastAsia="Arial" w:hAnsi="Arial"/>
          <w:sz w:val="17"/>
          <w:szCs w:val="17"/>
          <w:color w:val="auto"/>
        </w:rPr>
        <w:t>friction from adopting new technologies.</w:t>
      </w:r>
    </w:p>
    <w:p>
      <w:pPr>
        <w:spacing w:after="0" w:line="157" w:lineRule="exact"/>
        <w:rPr>
          <w:rFonts w:ascii="Arial" w:cs="Arial" w:eastAsia="Arial" w:hAnsi="Arial"/>
          <w:sz w:val="17"/>
          <w:szCs w:val="17"/>
          <w:color w:val="auto"/>
        </w:rPr>
      </w:pPr>
    </w:p>
    <w:p>
      <w:pPr>
        <w:ind w:left="740" w:right="100" w:hanging="325"/>
        <w:spacing w:after="0" w:line="305" w:lineRule="auto"/>
        <w:tabs>
          <w:tab w:leader="none" w:pos="740"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Innovative Suite of Digital Experience Analytics</w:t>
      </w:r>
      <w:r>
        <w:rPr>
          <w:rFonts w:ascii="Arial" w:cs="Arial" w:eastAsia="Arial" w:hAnsi="Arial"/>
          <w:sz w:val="16"/>
          <w:szCs w:val="16"/>
          <w:color w:val="auto"/>
        </w:rPr>
        <w:t>. Measures user engagement and usage across the underlying application by capturing every interaction</w:t>
      </w:r>
      <w:r>
        <w:rPr>
          <w:rFonts w:ascii="Arial" w:cs="Arial" w:eastAsia="Arial" w:hAnsi="Arial"/>
          <w:sz w:val="16"/>
          <w:szCs w:val="16"/>
          <w:b w:val="1"/>
          <w:bCs w:val="1"/>
          <w:color w:val="auto"/>
        </w:rPr>
        <w:t xml:space="preserve"> </w:t>
      </w:r>
      <w:r>
        <w:rPr>
          <w:rFonts w:ascii="Arial" w:cs="Arial" w:eastAsia="Arial" w:hAnsi="Arial"/>
          <w:sz w:val="16"/>
          <w:szCs w:val="16"/>
          <w:color w:val="auto"/>
        </w:rPr>
        <w:t>users have with HTML elements on a website to create rich user event data that can be leveraged for analytics.</w:t>
      </w:r>
    </w:p>
    <w:p>
      <w:pPr>
        <w:spacing w:after="0" w:line="134" w:lineRule="exact"/>
        <w:rPr>
          <w:rFonts w:ascii="Arial" w:cs="Arial" w:eastAsia="Arial" w:hAnsi="Arial"/>
          <w:sz w:val="16"/>
          <w:szCs w:val="16"/>
          <w:color w:val="auto"/>
        </w:rPr>
      </w:pPr>
    </w:p>
    <w:p>
      <w:pPr>
        <w:jc w:val="both"/>
        <w:ind w:left="740" w:right="40" w:hanging="325"/>
        <w:spacing w:after="0" w:line="259" w:lineRule="auto"/>
        <w:tabs>
          <w:tab w:leader="none" w:pos="740"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Powerful User Journey Insights through Session Stream and Session Playback</w:t>
      </w:r>
      <w:r>
        <w:rPr>
          <w:rFonts w:ascii="Arial" w:cs="Arial" w:eastAsia="Arial" w:hAnsi="Arial"/>
          <w:sz w:val="17"/>
          <w:szCs w:val="17"/>
          <w:color w:val="auto"/>
        </w:rPr>
        <w:t>. Session Stream delivers analytics for understanding user journeys and</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experiences by displaying the exact sequence of user actions and events in a single session. Session Playback pairs with Session Stream to provide a video-like re-creation of a user’s actual experience.</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68" w:name="page69"/>
    <w:bookmarkEnd w:id="68"/>
    <w:p>
      <w:pPr>
        <w:ind w:left="740" w:hanging="325"/>
        <w:spacing w:after="0" w:line="259"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Unique Business Process Analytics through Funnels</w:t>
      </w:r>
      <w:r>
        <w:rPr>
          <w:rFonts w:ascii="Arial" w:cs="Arial" w:eastAsia="Arial" w:hAnsi="Arial"/>
          <w:sz w:val="17"/>
          <w:szCs w:val="17"/>
          <w:color w:val="auto"/>
        </w:rPr>
        <w:t>. Analyze linear business processes to understand user challenges, path to completion, conversion and</w:t>
      </w:r>
      <w:r>
        <w:rPr>
          <w:rFonts w:ascii="Arial" w:cs="Arial" w:eastAsia="Arial" w:hAnsi="Arial"/>
          <w:sz w:val="17"/>
          <w:szCs w:val="17"/>
          <w:b w:val="1"/>
          <w:bCs w:val="1"/>
          <w:color w:val="auto"/>
        </w:rPr>
        <w:t xml:space="preserve"> </w:t>
      </w:r>
      <w:r>
        <w:rPr>
          <w:rFonts w:ascii="Arial" w:cs="Arial" w:eastAsia="Arial" w:hAnsi="Arial"/>
          <w:sz w:val="17"/>
          <w:szCs w:val="17"/>
          <w:color w:val="auto"/>
        </w:rPr>
        <w:t>logical cohort segmentation. In addition, Funnels provides ability to drill into detailed user-list and session playback analysis and can be used with any WalkMe or application UI interaction.</w:t>
      </w:r>
    </w:p>
    <w:p>
      <w:pPr>
        <w:spacing w:after="0" w:line="170" w:lineRule="exact"/>
        <w:rPr>
          <w:rFonts w:ascii="Arial" w:cs="Arial" w:eastAsia="Arial" w:hAnsi="Arial"/>
          <w:sz w:val="17"/>
          <w:szCs w:val="17"/>
          <w:color w:val="auto"/>
        </w:rPr>
      </w:pPr>
    </w:p>
    <w:p>
      <w:pPr>
        <w:jc w:val="both"/>
        <w:ind w:left="740" w:right="200" w:hanging="325"/>
        <w:spacing w:after="0" w:line="259"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Tracked Events Dashboard to Drive Pattern Recognition</w:t>
      </w:r>
      <w:r>
        <w:rPr>
          <w:rFonts w:ascii="Arial" w:cs="Arial" w:eastAsia="Arial" w:hAnsi="Arial"/>
          <w:sz w:val="17"/>
          <w:szCs w:val="17"/>
          <w:color w:val="auto"/>
        </w:rPr>
        <w:t>. Enables CIOs and business leaders to view customer usage trends through Insight’s Tracked</w:t>
      </w:r>
      <w:r>
        <w:rPr>
          <w:rFonts w:ascii="Arial" w:cs="Arial" w:eastAsia="Arial" w:hAnsi="Arial"/>
          <w:sz w:val="17"/>
          <w:szCs w:val="17"/>
          <w:b w:val="1"/>
          <w:bCs w:val="1"/>
          <w:color w:val="auto"/>
        </w:rPr>
        <w:t xml:space="preserve"> </w:t>
      </w:r>
      <w:r>
        <w:rPr>
          <w:rFonts w:ascii="Arial" w:cs="Arial" w:eastAsia="Arial" w:hAnsi="Arial"/>
          <w:sz w:val="17"/>
          <w:szCs w:val="17"/>
          <w:color w:val="auto"/>
        </w:rPr>
        <w:t>Events and better understand patterns to track what works and what does not. Tracked Events Dashboard can be customized with a set of selected tracked events and can be shown at a user or account level.</w:t>
      </w:r>
    </w:p>
    <w:p>
      <w:pPr>
        <w:spacing w:after="0" w:line="170" w:lineRule="exact"/>
        <w:rPr>
          <w:rFonts w:ascii="Arial" w:cs="Arial" w:eastAsia="Arial" w:hAnsi="Arial"/>
          <w:sz w:val="17"/>
          <w:szCs w:val="17"/>
          <w:color w:val="auto"/>
        </w:rPr>
      </w:pPr>
    </w:p>
    <w:p>
      <w:pPr>
        <w:ind w:left="740" w:right="40" w:hanging="325"/>
        <w:spacing w:after="0" w:line="259"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Custom Reports</w:t>
      </w:r>
      <w:r>
        <w:rPr>
          <w:rFonts w:ascii="Arial" w:cs="Arial" w:eastAsia="Arial" w:hAnsi="Arial"/>
          <w:sz w:val="17"/>
          <w:szCs w:val="17"/>
          <w:color w:val="auto"/>
        </w:rPr>
        <w:t>. In cases where customers are interested in datasets that are not available throughout our dashboards, a custom report can be created and</w:t>
      </w:r>
      <w:r>
        <w:rPr>
          <w:rFonts w:ascii="Arial" w:cs="Arial" w:eastAsia="Arial" w:hAnsi="Arial"/>
          <w:sz w:val="17"/>
          <w:szCs w:val="17"/>
          <w:b w:val="1"/>
          <w:bCs w:val="1"/>
          <w:color w:val="auto"/>
        </w:rPr>
        <w:t xml:space="preserve"> </w:t>
      </w:r>
      <w:r>
        <w:rPr>
          <w:rFonts w:ascii="Arial" w:cs="Arial" w:eastAsia="Arial" w:hAnsi="Arial"/>
          <w:sz w:val="17"/>
          <w:szCs w:val="17"/>
          <w:color w:val="auto"/>
        </w:rPr>
        <w:t>added to the WalkMe Insights dashboard. Custom reports can aggregate data from multiple applications in one place and are flexible to be downloaded, sent periodically via email or integrated with external applications, such as BI and Analytics software.</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auto"/>
        </w:rPr>
        <w:t>Integration Center</w:t>
      </w:r>
    </w:p>
    <w:p>
      <w:pPr>
        <w:spacing w:after="0" w:line="206" w:lineRule="exact"/>
        <w:rPr>
          <w:sz w:val="20"/>
          <w:szCs w:val="20"/>
          <w:color w:val="auto"/>
        </w:rPr>
      </w:pPr>
    </w:p>
    <w:p>
      <w:pPr>
        <w:ind w:right="120" w:firstLine="410"/>
        <w:spacing w:after="0" w:line="257" w:lineRule="auto"/>
        <w:rPr>
          <w:sz w:val="20"/>
          <w:szCs w:val="20"/>
          <w:color w:val="auto"/>
        </w:rPr>
      </w:pPr>
      <w:r>
        <w:rPr>
          <w:rFonts w:ascii="Arial" w:cs="Arial" w:eastAsia="Arial" w:hAnsi="Arial"/>
          <w:sz w:val="17"/>
          <w:szCs w:val="17"/>
          <w:color w:val="auto"/>
        </w:rPr>
        <w:t>Our Integration Center technology supports both incoming and outgoing integrations to strengthen data analysis on the one hand and create segmented and personalized user experiences on the other. Our customers integrate their most business-critical applications to and from WalkMe for better decision making and more impactful user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-7620</wp:posOffset>
            </wp:positionV>
            <wp:extent cx="4822190" cy="3340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822190" cy="3340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color w:val="auto"/>
        </w:rPr>
        <w:t>Customers</w:t>
      </w:r>
    </w:p>
    <w:p>
      <w:pPr>
        <w:spacing w:after="0" w:line="210" w:lineRule="exact"/>
        <w:rPr>
          <w:sz w:val="20"/>
          <w:szCs w:val="20"/>
          <w:color w:val="auto"/>
        </w:rPr>
      </w:pPr>
    </w:p>
    <w:p>
      <w:pPr>
        <w:ind w:right="20" w:firstLine="410"/>
        <w:spacing w:after="0" w:line="298" w:lineRule="auto"/>
        <w:rPr>
          <w:sz w:val="20"/>
          <w:szCs w:val="20"/>
          <w:color w:val="auto"/>
        </w:rPr>
      </w:pPr>
      <w:r>
        <w:rPr>
          <w:rFonts w:ascii="Arial" w:cs="Arial" w:eastAsia="Arial" w:hAnsi="Arial"/>
          <w:sz w:val="15"/>
          <w:szCs w:val="15"/>
          <w:color w:val="auto"/>
        </w:rPr>
        <w:t>We serve a diverse set of customers across all major industries, including some of the world’s largest and most sophisticated enterprises. As of December 31, 2021, we had approximately 2,000 customers including 367 of the Global 2000, as well as 454 customers with ARR greater than $100,000 and 31 customers with ARR greater than $1,000,000. Below is a representative list of customers categorized by industry vertical. No single customer accounted for more than 1.6% and 2.6% of our ARR in the year ended December 31, 2020 and 2021, respectively, which does not take into account certain mergers or acquisitions that occurred during those years.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7"/>
                <w:szCs w:val="17"/>
                <w:b w:val="1"/>
                <w:bCs w:val="1"/>
                <w:color w:val="auto"/>
              </w:rPr>
              <w:t>Energy, Industrial, &amp;</w:t>
            </w:r>
          </w:p>
        </w:tc>
      </w:tr>
      <w:tr>
        <w:trPr>
          <w:trHeight w:val="222"/>
        </w:trPr>
        <w:tc>
          <w:tcPr>
            <w:tcW w:w="27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Consumer &amp; Retail</w:t>
            </w:r>
          </w:p>
        </w:tc>
        <w:tc>
          <w:tcPr>
            <w:tcW w:w="100" w:type="dxa"/>
            <w:vAlign w:val="bottom"/>
          </w:tcPr>
          <w:p>
            <w:pPr>
              <w:spacing w:after="0"/>
              <w:rPr>
                <w:sz w:val="19"/>
                <w:szCs w:val="19"/>
                <w:color w:val="auto"/>
              </w:rPr>
            </w:pPr>
          </w:p>
        </w:tc>
        <w:tc>
          <w:tcPr>
            <w:tcW w:w="27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Technology</w:t>
            </w:r>
          </w:p>
        </w:tc>
        <w:tc>
          <w:tcPr>
            <w:tcW w:w="100" w:type="dxa"/>
            <w:vAlign w:val="bottom"/>
          </w:tcPr>
          <w:p>
            <w:pPr>
              <w:spacing w:after="0"/>
              <w:rPr>
                <w:sz w:val="19"/>
                <w:szCs w:val="19"/>
                <w:color w:val="auto"/>
              </w:rPr>
            </w:pPr>
          </w:p>
        </w:tc>
        <w:tc>
          <w:tcPr>
            <w:tcW w:w="28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Financial Services</w:t>
            </w:r>
          </w:p>
        </w:tc>
        <w:tc>
          <w:tcPr>
            <w:tcW w:w="100" w:type="dxa"/>
            <w:vAlign w:val="bottom"/>
          </w:tcPr>
          <w:p>
            <w:pPr>
              <w:spacing w:after="0"/>
              <w:rPr>
                <w:sz w:val="19"/>
                <w:szCs w:val="19"/>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Transportation</w:t>
            </w:r>
          </w:p>
        </w:tc>
      </w:tr>
      <w:tr>
        <w:trPr>
          <w:trHeight w:val="188"/>
        </w:trPr>
        <w:tc>
          <w:tcPr>
            <w:tcW w:w="2720" w:type="dxa"/>
            <w:vAlign w:val="bottom"/>
          </w:tcPr>
          <w:p>
            <w:pPr>
              <w:spacing w:after="0" w:line="189" w:lineRule="exact"/>
              <w:rPr>
                <w:sz w:val="20"/>
                <w:szCs w:val="20"/>
                <w:color w:val="auto"/>
              </w:rPr>
            </w:pPr>
            <w:r>
              <w:rPr>
                <w:rFonts w:ascii="Arial" w:cs="Arial" w:eastAsia="Arial" w:hAnsi="Arial"/>
                <w:sz w:val="17"/>
                <w:szCs w:val="17"/>
                <w:color w:val="auto"/>
              </w:rPr>
              <w:t>Circle K</w:t>
            </w:r>
          </w:p>
        </w:tc>
        <w:tc>
          <w:tcPr>
            <w:tcW w:w="100" w:type="dxa"/>
            <w:vAlign w:val="bottom"/>
          </w:tcPr>
          <w:p>
            <w:pPr>
              <w:spacing w:after="0"/>
              <w:rPr>
                <w:sz w:val="16"/>
                <w:szCs w:val="16"/>
                <w:color w:val="auto"/>
              </w:rPr>
            </w:pPr>
          </w:p>
        </w:tc>
        <w:tc>
          <w:tcPr>
            <w:tcW w:w="2720" w:type="dxa"/>
            <w:vAlign w:val="bottom"/>
          </w:tcPr>
          <w:p>
            <w:pPr>
              <w:spacing w:after="0" w:line="189" w:lineRule="exact"/>
              <w:rPr>
                <w:sz w:val="20"/>
                <w:szCs w:val="20"/>
                <w:color w:val="auto"/>
              </w:rPr>
            </w:pPr>
            <w:r>
              <w:rPr>
                <w:rFonts w:ascii="Arial" w:cs="Arial" w:eastAsia="Arial" w:hAnsi="Arial"/>
                <w:sz w:val="17"/>
                <w:szCs w:val="17"/>
                <w:color w:val="auto"/>
              </w:rPr>
              <w:t>LinkedIn</w:t>
            </w:r>
          </w:p>
        </w:tc>
        <w:tc>
          <w:tcPr>
            <w:tcW w:w="100" w:type="dxa"/>
            <w:vAlign w:val="bottom"/>
          </w:tcPr>
          <w:p>
            <w:pPr>
              <w:spacing w:after="0"/>
              <w:rPr>
                <w:sz w:val="16"/>
                <w:szCs w:val="16"/>
                <w:color w:val="auto"/>
              </w:rPr>
            </w:pPr>
          </w:p>
        </w:tc>
        <w:tc>
          <w:tcPr>
            <w:tcW w:w="2800" w:type="dxa"/>
            <w:vAlign w:val="bottom"/>
          </w:tcPr>
          <w:p>
            <w:pPr>
              <w:spacing w:after="0" w:line="189" w:lineRule="exact"/>
              <w:rPr>
                <w:sz w:val="20"/>
                <w:szCs w:val="20"/>
                <w:color w:val="auto"/>
              </w:rPr>
            </w:pPr>
            <w:r>
              <w:rPr>
                <w:rFonts w:ascii="Arial" w:cs="Arial" w:eastAsia="Arial" w:hAnsi="Arial"/>
                <w:sz w:val="17"/>
                <w:szCs w:val="17"/>
                <w:color w:val="auto"/>
              </w:rPr>
              <w:t>Bank of the West</w:t>
            </w:r>
          </w:p>
        </w:tc>
        <w:tc>
          <w:tcPr>
            <w:tcW w:w="100" w:type="dxa"/>
            <w:vAlign w:val="bottom"/>
          </w:tcPr>
          <w:p>
            <w:pPr>
              <w:spacing w:after="0"/>
              <w:rPr>
                <w:sz w:val="16"/>
                <w:szCs w:val="16"/>
                <w:color w:val="auto"/>
              </w:rPr>
            </w:pPr>
          </w:p>
        </w:tc>
        <w:tc>
          <w:tcPr>
            <w:tcW w:w="2700" w:type="dxa"/>
            <w:vAlign w:val="bottom"/>
          </w:tcPr>
          <w:p>
            <w:pPr>
              <w:spacing w:after="0" w:line="189" w:lineRule="exact"/>
              <w:rPr>
                <w:sz w:val="20"/>
                <w:szCs w:val="20"/>
                <w:color w:val="auto"/>
              </w:rPr>
            </w:pPr>
            <w:r>
              <w:rPr>
                <w:rFonts w:ascii="Arial" w:cs="Arial" w:eastAsia="Arial" w:hAnsi="Arial"/>
                <w:sz w:val="17"/>
                <w:szCs w:val="17"/>
                <w:color w:val="auto"/>
              </w:rPr>
              <w:t>American Airlines</w:t>
            </w:r>
          </w:p>
        </w:tc>
      </w:tr>
      <w:tr>
        <w:trPr>
          <w:trHeight w:val="201"/>
        </w:trPr>
        <w:tc>
          <w:tcPr>
            <w:tcW w:w="2720" w:type="dxa"/>
            <w:vAlign w:val="bottom"/>
          </w:tcPr>
          <w:p>
            <w:pPr>
              <w:spacing w:after="0"/>
              <w:rPr>
                <w:sz w:val="20"/>
                <w:szCs w:val="20"/>
                <w:color w:val="auto"/>
              </w:rPr>
            </w:pPr>
            <w:r>
              <w:rPr>
                <w:rFonts w:ascii="Arial" w:cs="Arial" w:eastAsia="Arial" w:hAnsi="Arial"/>
                <w:sz w:val="17"/>
                <w:szCs w:val="17"/>
                <w:color w:val="auto"/>
              </w:rPr>
              <w:t>L’Oreal</w:t>
            </w:r>
          </w:p>
        </w:tc>
        <w:tc>
          <w:tcPr>
            <w:tcW w:w="10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Red Hat</w:t>
            </w:r>
          </w:p>
        </w:tc>
        <w:tc>
          <w:tcPr>
            <w:tcW w:w="10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Arial" w:cs="Arial" w:eastAsia="Arial" w:hAnsi="Arial"/>
                <w:sz w:val="17"/>
                <w:szCs w:val="17"/>
                <w:color w:val="auto"/>
              </w:rPr>
              <w:t>Citigroup</w:t>
            </w:r>
          </w:p>
        </w:tc>
        <w:tc>
          <w:tcPr>
            <w:tcW w:w="10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BMW</w:t>
            </w:r>
          </w:p>
        </w:tc>
      </w:tr>
      <w:tr>
        <w:trPr>
          <w:trHeight w:val="201"/>
        </w:trPr>
        <w:tc>
          <w:tcPr>
            <w:tcW w:w="2720" w:type="dxa"/>
            <w:vAlign w:val="bottom"/>
          </w:tcPr>
          <w:p>
            <w:pPr>
              <w:spacing w:after="0"/>
              <w:rPr>
                <w:sz w:val="20"/>
                <w:szCs w:val="20"/>
                <w:color w:val="auto"/>
              </w:rPr>
            </w:pPr>
            <w:r>
              <w:rPr>
                <w:rFonts w:ascii="Arial" w:cs="Arial" w:eastAsia="Arial" w:hAnsi="Arial"/>
                <w:sz w:val="17"/>
                <w:szCs w:val="17"/>
                <w:color w:val="auto"/>
              </w:rPr>
              <w:t>Nestle</w:t>
            </w:r>
          </w:p>
        </w:tc>
        <w:tc>
          <w:tcPr>
            <w:tcW w:w="10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Sprinklr</w:t>
            </w:r>
          </w:p>
        </w:tc>
        <w:tc>
          <w:tcPr>
            <w:tcW w:w="10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Arial" w:cs="Arial" w:eastAsia="Arial" w:hAnsi="Arial"/>
                <w:sz w:val="17"/>
                <w:szCs w:val="17"/>
                <w:color w:val="auto"/>
              </w:rPr>
              <w:t>E*trade</w:t>
            </w:r>
          </w:p>
        </w:tc>
        <w:tc>
          <w:tcPr>
            <w:tcW w:w="10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Chevron</w:t>
            </w:r>
          </w:p>
        </w:tc>
      </w:tr>
      <w:tr>
        <w:trPr>
          <w:trHeight w:val="201"/>
        </w:trPr>
        <w:tc>
          <w:tcPr>
            <w:tcW w:w="2720" w:type="dxa"/>
            <w:vAlign w:val="bottom"/>
          </w:tcPr>
          <w:p>
            <w:pPr>
              <w:spacing w:after="0"/>
              <w:rPr>
                <w:sz w:val="20"/>
                <w:szCs w:val="20"/>
                <w:color w:val="auto"/>
              </w:rPr>
            </w:pPr>
            <w:r>
              <w:rPr>
                <w:rFonts w:ascii="Arial" w:cs="Arial" w:eastAsia="Arial" w:hAnsi="Arial"/>
                <w:sz w:val="17"/>
                <w:szCs w:val="17"/>
                <w:color w:val="auto"/>
              </w:rPr>
              <w:t>Southern Glazers</w:t>
            </w:r>
          </w:p>
        </w:tc>
        <w:tc>
          <w:tcPr>
            <w:tcW w:w="10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7"/>
                <w:szCs w:val="17"/>
                <w:color w:val="auto"/>
              </w:rPr>
              <w:t>Unity Technologies</w:t>
            </w:r>
          </w:p>
        </w:tc>
        <w:tc>
          <w:tcPr>
            <w:tcW w:w="10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Arial" w:cs="Arial" w:eastAsia="Arial" w:hAnsi="Arial"/>
                <w:sz w:val="17"/>
                <w:szCs w:val="17"/>
                <w:color w:val="auto"/>
              </w:rPr>
              <w:t>Goldman Sachs</w:t>
            </w:r>
          </w:p>
        </w:tc>
        <w:tc>
          <w:tcPr>
            <w:tcW w:w="10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Orica</w:t>
            </w:r>
          </w:p>
        </w:tc>
      </w:tr>
      <w:tr>
        <w:trPr>
          <w:trHeight w:val="201"/>
        </w:trPr>
        <w:tc>
          <w:tcPr>
            <w:tcW w:w="2720" w:type="dxa"/>
            <w:vAlign w:val="bottom"/>
          </w:tcPr>
          <w:p>
            <w:pPr>
              <w:spacing w:after="0"/>
              <w:rPr>
                <w:sz w:val="20"/>
                <w:szCs w:val="20"/>
                <w:color w:val="auto"/>
              </w:rPr>
            </w:pPr>
            <w:r>
              <w:rPr>
                <w:rFonts w:ascii="Arial" w:cs="Arial" w:eastAsia="Arial" w:hAnsi="Arial"/>
                <w:sz w:val="17"/>
                <w:szCs w:val="17"/>
                <w:color w:val="auto"/>
              </w:rPr>
              <w:t>Ulta</w:t>
            </w: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Arial" w:cs="Arial" w:eastAsia="Arial" w:hAnsi="Arial"/>
                <w:sz w:val="17"/>
                <w:szCs w:val="17"/>
                <w:color w:val="auto"/>
              </w:rPr>
              <w:t>IGM Financial Services</w:t>
            </w:r>
          </w:p>
        </w:tc>
        <w:tc>
          <w:tcPr>
            <w:tcW w:w="10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Schneider Electric</w:t>
            </w:r>
          </w:p>
        </w:tc>
      </w:tr>
      <w:tr>
        <w:trPr>
          <w:trHeight w:val="201"/>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Arial" w:cs="Arial" w:eastAsia="Arial" w:hAnsi="Arial"/>
                <w:sz w:val="17"/>
                <w:szCs w:val="17"/>
                <w:color w:val="auto"/>
              </w:rPr>
              <w:t>Nasdaq</w:t>
            </w:r>
          </w:p>
        </w:tc>
        <w:tc>
          <w:tcPr>
            <w:tcW w:w="10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Veolia</w:t>
            </w:r>
          </w:p>
        </w:tc>
      </w:tr>
      <w:tr>
        <w:trPr>
          <w:trHeight w:val="201"/>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Arial" w:cs="Arial" w:eastAsia="Arial" w:hAnsi="Arial"/>
                <w:sz w:val="17"/>
                <w:szCs w:val="17"/>
                <w:color w:val="auto"/>
              </w:rPr>
              <w:t>Paychex</w:t>
            </w:r>
          </w:p>
        </w:tc>
        <w:tc>
          <w:tcPr>
            <w:tcW w:w="10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1"/>
        </w:trPr>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Arial" w:cs="Arial" w:eastAsia="Arial" w:hAnsi="Arial"/>
                <w:sz w:val="17"/>
                <w:szCs w:val="17"/>
                <w:color w:val="auto"/>
              </w:rPr>
              <w:t>Sun Life Financial</w:t>
            </w:r>
          </w:p>
        </w:tc>
        <w:tc>
          <w:tcPr>
            <w:tcW w:w="10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13"/>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7"/>
                <w:szCs w:val="17"/>
                <w:color w:val="auto"/>
              </w:rPr>
              <w:t>Zurich Insurance Group</w:t>
            </w: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Healthcare &amp; Life Science</w:t>
            </w:r>
          </w:p>
        </w:tc>
        <w:tc>
          <w:tcPr>
            <w:tcW w:w="120" w:type="dxa"/>
            <w:vAlign w:val="bottom"/>
          </w:tcPr>
          <w:p>
            <w:pPr>
              <w:spacing w:after="0"/>
              <w:rPr>
                <w:sz w:val="19"/>
                <w:szCs w:val="19"/>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Education &amp; Non Profit</w:t>
            </w:r>
          </w:p>
        </w:tc>
        <w:tc>
          <w:tcPr>
            <w:tcW w:w="120" w:type="dxa"/>
            <w:vAlign w:val="bottom"/>
          </w:tcPr>
          <w:p>
            <w:pPr>
              <w:spacing w:after="0"/>
              <w:rPr>
                <w:sz w:val="19"/>
                <w:szCs w:val="19"/>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Communications</w:t>
            </w:r>
          </w:p>
        </w:tc>
      </w:tr>
      <w:tr>
        <w:trPr>
          <w:trHeight w:val="188"/>
        </w:trPr>
        <w:tc>
          <w:tcPr>
            <w:tcW w:w="3820" w:type="dxa"/>
            <w:vAlign w:val="bottom"/>
          </w:tcPr>
          <w:p>
            <w:pPr>
              <w:spacing w:after="0" w:line="189" w:lineRule="exact"/>
              <w:rPr>
                <w:sz w:val="20"/>
                <w:szCs w:val="20"/>
                <w:color w:val="auto"/>
              </w:rPr>
            </w:pPr>
            <w:r>
              <w:rPr>
                <w:rFonts w:ascii="Arial" w:cs="Arial" w:eastAsia="Arial" w:hAnsi="Arial"/>
                <w:sz w:val="17"/>
                <w:szCs w:val="17"/>
                <w:color w:val="auto"/>
              </w:rPr>
              <w:t>AstraZeneca</w:t>
            </w:r>
          </w:p>
        </w:tc>
        <w:tc>
          <w:tcPr>
            <w:tcW w:w="120" w:type="dxa"/>
            <w:vAlign w:val="bottom"/>
          </w:tcPr>
          <w:p>
            <w:pPr>
              <w:spacing w:after="0"/>
              <w:rPr>
                <w:sz w:val="16"/>
                <w:szCs w:val="16"/>
                <w:color w:val="auto"/>
              </w:rPr>
            </w:pPr>
          </w:p>
        </w:tc>
        <w:tc>
          <w:tcPr>
            <w:tcW w:w="3600" w:type="dxa"/>
            <w:vAlign w:val="bottom"/>
          </w:tcPr>
          <w:p>
            <w:pPr>
              <w:spacing w:after="0" w:line="189" w:lineRule="exact"/>
              <w:rPr>
                <w:sz w:val="20"/>
                <w:szCs w:val="20"/>
                <w:color w:val="auto"/>
              </w:rPr>
            </w:pPr>
            <w:r>
              <w:rPr>
                <w:rFonts w:ascii="Arial" w:cs="Arial" w:eastAsia="Arial" w:hAnsi="Arial"/>
                <w:sz w:val="17"/>
                <w:szCs w:val="17"/>
                <w:color w:val="auto"/>
              </w:rPr>
              <w:t>Kaplan</w:t>
            </w:r>
          </w:p>
        </w:tc>
        <w:tc>
          <w:tcPr>
            <w:tcW w:w="120" w:type="dxa"/>
            <w:vAlign w:val="bottom"/>
          </w:tcPr>
          <w:p>
            <w:pPr>
              <w:spacing w:after="0"/>
              <w:rPr>
                <w:sz w:val="16"/>
                <w:szCs w:val="16"/>
                <w:color w:val="auto"/>
              </w:rPr>
            </w:pPr>
          </w:p>
        </w:tc>
        <w:tc>
          <w:tcPr>
            <w:tcW w:w="3580" w:type="dxa"/>
            <w:vAlign w:val="bottom"/>
          </w:tcPr>
          <w:p>
            <w:pPr>
              <w:spacing w:after="0" w:line="189" w:lineRule="exact"/>
              <w:rPr>
                <w:sz w:val="20"/>
                <w:szCs w:val="20"/>
                <w:color w:val="auto"/>
              </w:rPr>
            </w:pPr>
            <w:r>
              <w:rPr>
                <w:rFonts w:ascii="Arial" w:cs="Arial" w:eastAsia="Arial" w:hAnsi="Arial"/>
                <w:sz w:val="17"/>
                <w:szCs w:val="17"/>
                <w:color w:val="auto"/>
              </w:rPr>
              <w:t>British Telecommunications PLC</w:t>
            </w:r>
          </w:p>
        </w:tc>
      </w:tr>
      <w:tr>
        <w:trPr>
          <w:trHeight w:val="201"/>
        </w:trPr>
        <w:tc>
          <w:tcPr>
            <w:tcW w:w="3820" w:type="dxa"/>
            <w:vAlign w:val="bottom"/>
          </w:tcPr>
          <w:p>
            <w:pPr>
              <w:spacing w:after="0"/>
              <w:rPr>
                <w:sz w:val="20"/>
                <w:szCs w:val="20"/>
                <w:color w:val="auto"/>
              </w:rPr>
            </w:pPr>
            <w:r>
              <w:rPr>
                <w:rFonts w:ascii="Arial" w:cs="Arial" w:eastAsia="Arial" w:hAnsi="Arial"/>
                <w:sz w:val="17"/>
                <w:szCs w:val="17"/>
                <w:color w:val="auto"/>
              </w:rPr>
              <w:t>Christus Health</w:t>
            </w:r>
          </w:p>
        </w:tc>
        <w:tc>
          <w:tcPr>
            <w:tcW w:w="1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Make a Wish Foundation</w:t>
            </w:r>
          </w:p>
        </w:tc>
        <w:tc>
          <w:tcPr>
            <w:tcW w:w="1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Cisco</w:t>
            </w:r>
          </w:p>
        </w:tc>
      </w:tr>
      <w:tr>
        <w:trPr>
          <w:trHeight w:val="201"/>
        </w:trPr>
        <w:tc>
          <w:tcPr>
            <w:tcW w:w="3820" w:type="dxa"/>
            <w:vAlign w:val="bottom"/>
          </w:tcPr>
          <w:p>
            <w:pPr>
              <w:spacing w:after="0"/>
              <w:rPr>
                <w:sz w:val="20"/>
                <w:szCs w:val="20"/>
                <w:color w:val="auto"/>
              </w:rPr>
            </w:pPr>
            <w:r>
              <w:rPr>
                <w:rFonts w:ascii="Arial" w:cs="Arial" w:eastAsia="Arial" w:hAnsi="Arial"/>
                <w:sz w:val="17"/>
                <w:szCs w:val="17"/>
                <w:color w:val="auto"/>
              </w:rPr>
              <w:t>Geisinger</w:t>
            </w:r>
          </w:p>
        </w:tc>
        <w:tc>
          <w:tcPr>
            <w:tcW w:w="1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McGraw Hill</w:t>
            </w:r>
          </w:p>
        </w:tc>
        <w:tc>
          <w:tcPr>
            <w:tcW w:w="1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LogMeIn</w:t>
            </w:r>
          </w:p>
        </w:tc>
      </w:tr>
      <w:tr>
        <w:trPr>
          <w:trHeight w:val="201"/>
        </w:trPr>
        <w:tc>
          <w:tcPr>
            <w:tcW w:w="3820" w:type="dxa"/>
            <w:vAlign w:val="bottom"/>
          </w:tcPr>
          <w:p>
            <w:pPr>
              <w:spacing w:after="0"/>
              <w:rPr>
                <w:sz w:val="20"/>
                <w:szCs w:val="20"/>
                <w:color w:val="auto"/>
              </w:rPr>
            </w:pPr>
            <w:r>
              <w:rPr>
                <w:rFonts w:ascii="Arial" w:cs="Arial" w:eastAsia="Arial" w:hAnsi="Arial"/>
                <w:sz w:val="17"/>
                <w:szCs w:val="17"/>
                <w:color w:val="auto"/>
              </w:rPr>
              <w:t>Modernizing Medicine</w:t>
            </w:r>
          </w:p>
        </w:tc>
        <w:tc>
          <w:tcPr>
            <w:tcW w:w="1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Stanford University School of</w:t>
            </w:r>
          </w:p>
        </w:tc>
        <w:tc>
          <w:tcPr>
            <w:tcW w:w="1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7"/>
                <w:szCs w:val="17"/>
                <w:color w:val="auto"/>
              </w:rPr>
              <w:t>Lumen Technologies</w:t>
            </w:r>
          </w:p>
        </w:tc>
      </w:tr>
      <w:tr>
        <w:trPr>
          <w:trHeight w:val="201"/>
        </w:trPr>
        <w:tc>
          <w:tcPr>
            <w:tcW w:w="3820" w:type="dxa"/>
            <w:vAlign w:val="bottom"/>
          </w:tcPr>
          <w:p>
            <w:pPr>
              <w:spacing w:after="0"/>
              <w:rPr>
                <w:sz w:val="20"/>
                <w:szCs w:val="20"/>
                <w:color w:val="auto"/>
              </w:rPr>
            </w:pPr>
            <w:r>
              <w:rPr>
                <w:rFonts w:ascii="Arial" w:cs="Arial" w:eastAsia="Arial" w:hAnsi="Arial"/>
                <w:sz w:val="17"/>
                <w:szCs w:val="17"/>
                <w:color w:val="auto"/>
              </w:rPr>
              <w:t>Parexel</w:t>
            </w:r>
          </w:p>
        </w:tc>
        <w:tc>
          <w:tcPr>
            <w:tcW w:w="1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Medicine</w:t>
            </w:r>
          </w:p>
        </w:tc>
        <w:tc>
          <w:tcPr>
            <w:tcW w:w="12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01"/>
        </w:trPr>
        <w:tc>
          <w:tcPr>
            <w:tcW w:w="3820" w:type="dxa"/>
            <w:vAlign w:val="bottom"/>
          </w:tcPr>
          <w:p>
            <w:pPr>
              <w:spacing w:after="0"/>
              <w:rPr>
                <w:sz w:val="20"/>
                <w:szCs w:val="20"/>
                <w:color w:val="auto"/>
              </w:rPr>
            </w:pPr>
            <w:r>
              <w:rPr>
                <w:rFonts w:ascii="Arial" w:cs="Arial" w:eastAsia="Arial" w:hAnsi="Arial"/>
                <w:sz w:val="17"/>
                <w:szCs w:val="17"/>
                <w:color w:val="auto"/>
              </w:rPr>
              <w:t>Quest Diagnostics</w:t>
            </w:r>
          </w:p>
        </w:tc>
        <w:tc>
          <w:tcPr>
            <w:tcW w:w="1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University of Miami</w:t>
            </w:r>
          </w:p>
        </w:tc>
        <w:tc>
          <w:tcPr>
            <w:tcW w:w="12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01"/>
        </w:trPr>
        <w:tc>
          <w:tcPr>
            <w:tcW w:w="3820" w:type="dxa"/>
            <w:vAlign w:val="bottom"/>
          </w:tcPr>
          <w:p>
            <w:pPr>
              <w:spacing w:after="0"/>
              <w:rPr>
                <w:sz w:val="20"/>
                <w:szCs w:val="20"/>
                <w:color w:val="auto"/>
              </w:rPr>
            </w:pPr>
            <w:r>
              <w:rPr>
                <w:rFonts w:ascii="Arial" w:cs="Arial" w:eastAsia="Arial" w:hAnsi="Arial"/>
                <w:sz w:val="17"/>
                <w:szCs w:val="17"/>
                <w:color w:val="auto"/>
              </w:rPr>
              <w:t>Syneos Health</w:t>
            </w:r>
          </w:p>
        </w:tc>
        <w:tc>
          <w:tcPr>
            <w:tcW w:w="1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University of Virginia</w:t>
            </w:r>
          </w:p>
        </w:tc>
        <w:tc>
          <w:tcPr>
            <w:tcW w:w="12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13"/>
        </w:trPr>
        <w:tc>
          <w:tcPr>
            <w:tcW w:w="3820" w:type="dxa"/>
            <w:vAlign w:val="bottom"/>
          </w:tcPr>
          <w:p>
            <w:pPr>
              <w:spacing w:after="0"/>
              <w:rPr>
                <w:sz w:val="20"/>
                <w:szCs w:val="20"/>
                <w:color w:val="auto"/>
              </w:rPr>
            </w:pPr>
            <w:r>
              <w:rPr>
                <w:rFonts w:ascii="Arial" w:cs="Arial" w:eastAsia="Arial" w:hAnsi="Arial"/>
                <w:sz w:val="17"/>
                <w:szCs w:val="17"/>
                <w:color w:val="auto"/>
              </w:rPr>
              <w:t>Team Health</w:t>
            </w: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402"/>
        </w:trPr>
        <w:tc>
          <w:tcPr>
            <w:tcW w:w="3820" w:type="dxa"/>
            <w:vAlign w:val="bottom"/>
          </w:tcPr>
          <w:p>
            <w:pPr>
              <w:spacing w:after="0"/>
              <w:rPr>
                <w:sz w:val="20"/>
                <w:szCs w:val="20"/>
                <w:color w:val="auto"/>
              </w:rPr>
            </w:pPr>
            <w:r>
              <w:rPr>
                <w:rFonts w:ascii="Arial" w:cs="Arial" w:eastAsia="Arial" w:hAnsi="Arial"/>
                <w:sz w:val="17"/>
                <w:szCs w:val="17"/>
                <w:b w:val="1"/>
                <w:bCs w:val="1"/>
                <w:color w:val="auto"/>
              </w:rPr>
              <w:t>Sales and Marketing</w:t>
            </w:r>
          </w:p>
        </w:tc>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pacing w:after="0" w:line="189" w:lineRule="exact"/>
        <w:rPr>
          <w:sz w:val="20"/>
          <w:szCs w:val="20"/>
          <w:color w:val="auto"/>
        </w:rPr>
      </w:pPr>
    </w:p>
    <w:p>
      <w:pPr>
        <w:ind w:right="20" w:firstLine="410"/>
        <w:spacing w:after="0" w:line="274" w:lineRule="auto"/>
        <w:rPr>
          <w:sz w:val="20"/>
          <w:szCs w:val="20"/>
          <w:color w:val="auto"/>
        </w:rPr>
      </w:pPr>
      <w:r>
        <w:rPr>
          <w:rFonts w:ascii="Arial" w:cs="Arial" w:eastAsia="Arial" w:hAnsi="Arial"/>
          <w:sz w:val="16"/>
          <w:szCs w:val="16"/>
          <w:color w:val="auto"/>
        </w:rPr>
        <w:t>Our sales and marketing teams work together closely to drive awareness and adoption of our platform, accelerate customer acquisition and increase revenue from customers. While we sell to organizations of all sizes across a broad range of industries, our key focus is on larger enterprises that tend to invest more heavily in software application deployment. These organizations have larger workforces and customer bases and therefore a greater need for our Digital Adoption Platform. We plan to continue to invest in our direct sales force to grow our larger enterprise customer base, both in the U.S. and internationally.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w:t>
      </w:r>
    </w:p>
    <w:p>
      <w:pPr>
        <w:spacing w:after="0" w:line="206" w:lineRule="exact"/>
        <w:rPr>
          <w:sz w:val="20"/>
          <w:szCs w:val="20"/>
          <w:color w:val="auto"/>
        </w:rPr>
      </w:pPr>
    </w:p>
    <w:p>
      <w:pPr>
        <w:ind w:right="120" w:firstLine="410"/>
        <w:spacing w:after="0" w:line="253" w:lineRule="auto"/>
        <w:rPr>
          <w:sz w:val="20"/>
          <w:szCs w:val="20"/>
          <w:color w:val="auto"/>
        </w:rPr>
      </w:pPr>
      <w:r>
        <w:rPr>
          <w:rFonts w:ascii="Arial" w:cs="Arial" w:eastAsia="Arial" w:hAnsi="Arial"/>
          <w:sz w:val="17"/>
          <w:szCs w:val="17"/>
          <w:color w:val="auto"/>
        </w:rPr>
        <w:t>To support our sales team in reaching potential customers, our integrated marketing programs are architected to address the specific needs of our diverse market segments. They create qualified sales opportunities, highlight WalkMe’s position as the market pioneer and leader and educate and raise awareness of our Digital Adoption Platform. In addition, we have tailored customer marketing initiatives focusing on driving expansion within existing accounts and virality among Digital Adoption Platform professionals and advocates.</w:t>
      </w:r>
    </w:p>
    <w:p>
      <w:pPr>
        <w:spacing w:after="0" w:line="180" w:lineRule="exact"/>
        <w:rPr>
          <w:sz w:val="20"/>
          <w:szCs w:val="20"/>
          <w:color w:val="auto"/>
        </w:rPr>
      </w:pPr>
    </w:p>
    <w:p>
      <w:pPr>
        <w:ind w:right="60" w:firstLine="410"/>
        <w:spacing w:after="0" w:line="268" w:lineRule="auto"/>
        <w:rPr>
          <w:sz w:val="20"/>
          <w:szCs w:val="20"/>
          <w:color w:val="auto"/>
        </w:rPr>
      </w:pPr>
      <w:r>
        <w:rPr>
          <w:rFonts w:ascii="Arial" w:cs="Arial" w:eastAsia="Arial" w:hAnsi="Arial"/>
          <w:sz w:val="17"/>
          <w:szCs w:val="17"/>
          <w:color w:val="auto"/>
        </w:rPr>
        <w:t>Our marketing department ensures thought leadership and market education for our Digital Adoption Platform. It promotes activity around our growing WalkMe Beyond ecosystem as well as Realize, our customer and user conference.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i w:val="1"/>
          <w:iCs w:val="1"/>
          <w:color w:val="auto"/>
        </w:rPr>
        <w:t>Sales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go-to-market model involves a combination of direct sales and partner-assisted sales.</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Direct Sales:</w:t>
      </w:r>
    </w:p>
    <w:p>
      <w:pPr>
        <w:spacing w:after="0" w:line="206"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color w:val="auto"/>
        </w:rPr>
        <w:t>We sell subscriptions to our platform primarily through our direct sales force which is largely organized by territory and customer size, measured by the number of employees. Our direct sales force is focused on landing new customers, as well as expanding within them as they adopt WalkMe for additional use cases and applications. We typically onboard a new customer with solutions targeting:</w:t>
      </w:r>
    </w:p>
    <w:p>
      <w:pPr>
        <w:spacing w:after="0" w:line="175" w:lineRule="exact"/>
        <w:rPr>
          <w:sz w:val="20"/>
          <w:szCs w:val="20"/>
          <w:color w:val="auto"/>
        </w:rPr>
      </w:pPr>
    </w:p>
    <w:p>
      <w:pPr>
        <w:ind w:left="740" w:hanging="325"/>
        <w:spacing w:after="0"/>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one application or department, after which our sales force focuses on expanding into other applications or departments, or</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enterprise-wide deployment where WalkMe is used across departments, applications and use cases.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sell to multiple buyers within an enterprise including:</w:t>
      </w:r>
    </w:p>
    <w:p>
      <w:pPr>
        <w:spacing w:after="0" w:line="206" w:lineRule="exact"/>
        <w:rPr>
          <w:sz w:val="20"/>
          <w:szCs w:val="20"/>
          <w:color w:val="auto"/>
        </w:rPr>
      </w:pPr>
    </w:p>
    <w:p>
      <w:pPr>
        <w:ind w:left="740" w:hanging="325"/>
        <w:spacing w:after="0"/>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CIO or VP IT who is focused on digital transformation to business efficiency, workforce agility and an overall return on software investment;</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VP of sales, whose priorities include sales productivity and forecast accuracy;</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Head of Human Resources who aims to improve the digital experience of employees, especially in a remote work environment;</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Head of Product who is trying to improve revenue and customer retention across an application or platform; and</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Head of Contact Center who is looking to reduce support overhead and improve productivity of support teams.</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Partner-Assisted Sales:</w:t>
      </w:r>
    </w:p>
    <w:p>
      <w:pPr>
        <w:spacing w:after="0" w:line="206" w:lineRule="exact"/>
        <w:rPr>
          <w:sz w:val="20"/>
          <w:szCs w:val="20"/>
          <w:color w:val="auto"/>
        </w:rPr>
      </w:pPr>
    </w:p>
    <w:p>
      <w:pPr>
        <w:ind w:right="80" w:firstLine="410"/>
        <w:spacing w:after="0" w:line="307" w:lineRule="auto"/>
        <w:rPr>
          <w:sz w:val="20"/>
          <w:szCs w:val="20"/>
          <w:color w:val="auto"/>
        </w:rPr>
      </w:pPr>
      <w:r>
        <w:rPr>
          <w:rFonts w:ascii="Arial" w:cs="Arial" w:eastAsia="Arial" w:hAnsi="Arial"/>
          <w:sz w:val="15"/>
          <w:szCs w:val="15"/>
          <w:color w:val="auto"/>
        </w:rPr>
        <w:t>We work with strategic systems integrators such as Accenture, Deloitte, IBM and Cognizant to sell with and/or through them to their clients. We believe that Global Systems Integrators (“GSI”) are important consulting and implementation partners for WalkMe, enabling enterprises to further their digital adoption strategies and are a natural extension of our go-to-market function. We have also developed relationships with leading regional systems integrators.</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Customer Support and Professional Services:</w:t>
      </w:r>
    </w:p>
    <w:p>
      <w:pPr>
        <w:spacing w:after="0" w:line="206"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Our customer success team provides customer support for each of our customers. Support begins in the customer acquisition phase and continues throughout the duration of the relationship. Customer support includes working with customers on launch and on-boarding, ongoing support, analytics and renewal. We have a dedicated professional services team. This team provides support to customers that require services, may have special operational needs or may require more custom analytics.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10" w:lineRule="exact"/>
        <w:rPr>
          <w:sz w:val="20"/>
          <w:szCs w:val="20"/>
          <w:color w:val="auto"/>
        </w:rPr>
      </w:pPr>
    </w:p>
    <w:p>
      <w:pPr>
        <w:ind w:right="420" w:firstLine="410"/>
        <w:spacing w:after="0" w:line="335" w:lineRule="auto"/>
        <w:rPr>
          <w:sz w:val="20"/>
          <w:szCs w:val="20"/>
          <w:color w:val="auto"/>
        </w:rPr>
      </w:pPr>
      <w:r>
        <w:rPr>
          <w:rFonts w:ascii="Arial" w:cs="Arial" w:eastAsia="Arial" w:hAnsi="Arial"/>
          <w:sz w:val="15"/>
          <w:szCs w:val="15"/>
          <w:color w:val="auto"/>
        </w:rPr>
        <w:t>Our research and development organization is responsible for the design, development, testing and delivery of new technologies, features, integrations and improvements to our platform. It is also responsible for operating and scaling our platform, including the underlying public cloud infrastructure.</w:t>
      </w:r>
    </w:p>
    <w:p>
      <w:pPr>
        <w:spacing w:after="0" w:line="121"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Our research and development organization consists of teams specializing in software engineering, user experience, product management, data science, technical program management and technical writing. As of December 31, 2021, we had approximately 300 employees in our research and development organization. Our research and development employees are located primarily in our Tel Aviv offices. We intend to continue to invest in our research and development capabilities to expand our platform.</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color w:val="auto"/>
        </w:rPr>
        <w:t>Competition</w:t>
      </w:r>
    </w:p>
    <w:p>
      <w:pPr>
        <w:spacing w:after="0" w:line="210" w:lineRule="exact"/>
        <w:rPr>
          <w:sz w:val="20"/>
          <w:szCs w:val="20"/>
          <w:color w:val="auto"/>
        </w:rPr>
      </w:pPr>
    </w:p>
    <w:p>
      <w:pPr>
        <w:ind w:right="240" w:firstLine="410"/>
        <w:spacing w:after="0" w:line="299" w:lineRule="auto"/>
        <w:rPr>
          <w:sz w:val="20"/>
          <w:szCs w:val="20"/>
          <w:color w:val="auto"/>
        </w:rPr>
      </w:pPr>
      <w:r>
        <w:rPr>
          <w:rFonts w:ascii="Arial" w:cs="Arial" w:eastAsia="Arial" w:hAnsi="Arial"/>
          <w:sz w:val="16"/>
          <w:szCs w:val="16"/>
          <w:color w:val="auto"/>
        </w:rPr>
        <w:t>We have pioneered the Digital Adoption Platform market, and we do not believe that any single company currently offers a solution that effectively competes with the full functionality of our integrated platform technology solutions. Our main sources of competition fall into the following categories:</w:t>
      </w:r>
    </w:p>
    <w:p>
      <w:pPr>
        <w:spacing w:after="0" w:line="144" w:lineRule="exact"/>
        <w:rPr>
          <w:sz w:val="20"/>
          <w:szCs w:val="20"/>
          <w:color w:val="auto"/>
        </w:rPr>
      </w:pPr>
    </w:p>
    <w:p>
      <w:pPr>
        <w:ind w:left="740" w:hanging="325"/>
        <w:spacing w:after="0" w:line="268" w:lineRule="auto"/>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Non-adoption from enterprises maintaining the status quo of offline, internally developed, or non-dynamic, FAQ-centric application guidance and workflow support;</w:t>
      </w:r>
    </w:p>
    <w:p>
      <w:pPr>
        <w:spacing w:after="0" w:line="165" w:lineRule="exact"/>
        <w:rPr>
          <w:rFonts w:ascii="Arial" w:cs="Arial" w:eastAsia="Arial" w:hAnsi="Arial"/>
          <w:sz w:val="17"/>
          <w:szCs w:val="17"/>
          <w:color w:val="auto"/>
        </w:rPr>
      </w:pPr>
    </w:p>
    <w:p>
      <w:pPr>
        <w:ind w:left="740" w:right="440" w:hanging="325"/>
        <w:spacing w:after="0" w:line="268" w:lineRule="auto"/>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Point solutions embedded natively or as an add-on to software provided by diversified enterprise software companies such as SAP, Oracle, Microsoft, Salesforce; and</w:t>
      </w:r>
    </w:p>
    <w:p>
      <w:pPr>
        <w:spacing w:after="0" w:line="165" w:lineRule="exact"/>
        <w:rPr>
          <w:rFonts w:ascii="Arial" w:cs="Arial" w:eastAsia="Arial" w:hAnsi="Arial"/>
          <w:sz w:val="17"/>
          <w:szCs w:val="17"/>
          <w:color w:val="auto"/>
        </w:rPr>
      </w:pPr>
    </w:p>
    <w:p>
      <w:pPr>
        <w:ind w:left="740" w:right="400" w:hanging="325"/>
        <w:spacing w:after="0" w:line="268" w:lineRule="auto"/>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Providers of software for specific in-app guidance or analytics use cases for SaaS applications, which lack holistic platform solutions and extensibility across applications.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believe that the principal competitive factors in our markets include the following:</w:t>
      </w:r>
    </w:p>
    <w:p>
      <w:pPr>
        <w:spacing w:after="0" w:line="206" w:lineRule="exact"/>
        <w:rPr>
          <w:sz w:val="20"/>
          <w:szCs w:val="20"/>
          <w:color w:val="auto"/>
        </w:rPr>
      </w:pPr>
    </w:p>
    <w:p>
      <w:pPr>
        <w:ind w:left="740" w:hanging="325"/>
        <w:spacing w:after="0"/>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Breadth of applications and technology integrations supported;</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Support for cross-application guidance, automation and analytics;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Expertise in third-party application implementations;</w:t>
      </w:r>
    </w:p>
    <w:p>
      <w:pPr>
        <w:spacing w:after="0" w:line="206" w:lineRule="exact"/>
        <w:rPr>
          <w:rFonts w:ascii="Arial" w:cs="Arial" w:eastAsia="Arial" w:hAnsi="Arial"/>
          <w:sz w:val="17"/>
          <w:szCs w:val="17"/>
          <w:color w:val="auto"/>
        </w:rPr>
      </w:pPr>
    </w:p>
    <w:p>
      <w:pPr>
        <w:ind w:left="740" w:right="20" w:hanging="325"/>
        <w:spacing w:after="0" w:line="268" w:lineRule="auto"/>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Integration of robust analytics and visualization capabilities: in addition to analytics across WalkMe usage, our Digital Experience Analytics provides usage analytics across the underlying, third-party platforms;</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Cross-platform support for workflows including mobile native applications (iOS and Android) and desktop (Windows and macOS);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Ease of implementation and use;</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Performance, security, scalability and reliability;</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Quality of customer support;</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Total cost of ownership; and</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Brand recognition and reputation.</w:t>
      </w:r>
    </w:p>
    <w:p>
      <w:pPr>
        <w:spacing w:after="0" w:line="206" w:lineRule="exact"/>
        <w:rPr>
          <w:sz w:val="20"/>
          <w:szCs w:val="20"/>
          <w:color w:val="auto"/>
        </w:rPr>
      </w:pPr>
    </w:p>
    <w:p>
      <w:pPr>
        <w:ind w:right="140" w:firstLine="410"/>
        <w:spacing w:after="0" w:line="250" w:lineRule="auto"/>
        <w:rPr>
          <w:sz w:val="20"/>
          <w:szCs w:val="20"/>
          <w:color w:val="auto"/>
        </w:rPr>
      </w:pPr>
      <w:r>
        <w:rPr>
          <w:rFonts w:ascii="Arial" w:cs="Arial" w:eastAsia="Arial" w:hAnsi="Arial"/>
          <w:sz w:val="17"/>
          <w:szCs w:val="17"/>
          <w:color w:val="auto"/>
        </w:rPr>
        <w:t>We believe that we compete favorably with respect to the factors listed above. However, some of the vendors we compete with might have greater financial, technical and other resources, greater brand recognition, larger sales forces and marketing budgets, broader distribution networks, more diverse product and services offerings and larger and more mature intellectual property portfolios. These competitors may be able to leverage these resources to gain business in a manner that discourages customers from purchasing our offerings. Furthermore, we expect that our industry will continue to attract new competitors, including smaller emerging companies, which could introduce new offerings or alternative solutions to the problems we address. We may also expand into new markets and encounter additional competitors in such markets.</w:t>
      </w:r>
    </w:p>
    <w:p>
      <w:pPr>
        <w:spacing w:after="0" w:line="184" w:lineRule="exact"/>
        <w:rPr>
          <w:sz w:val="20"/>
          <w:szCs w:val="20"/>
          <w:color w:val="auto"/>
        </w:rPr>
      </w:pPr>
    </w:p>
    <w:p>
      <w:pPr>
        <w:ind w:right="280" w:firstLine="410"/>
        <w:spacing w:after="0" w:line="268" w:lineRule="auto"/>
        <w:rPr>
          <w:sz w:val="20"/>
          <w:szCs w:val="20"/>
          <w:color w:val="auto"/>
        </w:rPr>
      </w:pPr>
      <w:r>
        <w:rPr>
          <w:rFonts w:ascii="Arial" w:cs="Arial" w:eastAsia="Arial" w:hAnsi="Arial"/>
          <w:sz w:val="17"/>
          <w:szCs w:val="17"/>
          <w:color w:val="auto"/>
        </w:rPr>
        <w:t>For geographical and segmental revenue, see Note 9, reporting segments and geographical information included within our consolidated financial statements elsewhere in this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10" w:lineRule="exact"/>
        <w:rPr>
          <w:sz w:val="20"/>
          <w:szCs w:val="20"/>
          <w:color w:val="auto"/>
        </w:rPr>
      </w:pPr>
    </w:p>
    <w:p>
      <w:pPr>
        <w:ind w:right="80" w:firstLine="410"/>
        <w:spacing w:after="0" w:line="269" w:lineRule="auto"/>
        <w:rPr>
          <w:sz w:val="20"/>
          <w:szCs w:val="20"/>
          <w:color w:val="auto"/>
        </w:rPr>
      </w:pPr>
      <w:r>
        <w:rPr>
          <w:rFonts w:ascii="Arial" w:cs="Arial" w:eastAsia="Arial" w:hAnsi="Arial"/>
          <w:sz w:val="16"/>
          <w:szCs w:val="16"/>
          <w:color w:val="auto"/>
        </w:rPr>
        <w:t>We experience relatively typical seasonality in our quarterly revenue and operating results consistent with software-as-a-service companies that sell to enterprise customers. We historically have received a higher volume of orders from new and existing customers in the fourth quarter due in part as a result of software industry procurement patterns. As a result, our sequential growth in revenue and remaining performance obligations is typically highest in the fourth quarter of each year. We expect that these seasonal patterns will become more pronounced as we execute on our strategy to target larger enterprise customers. However, as our revenue from quarter-to-quarter is dependent on various factors including external factors outside our control, it is difficult to isolate the impact of these seasonal trends on our business and there can be no assurance that these patterns will continue.</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color w:val="auto"/>
        </w:rPr>
        <w:t>Our Intellectual Property</w:t>
      </w:r>
    </w:p>
    <w:p>
      <w:pPr>
        <w:spacing w:after="0" w:line="210" w:lineRule="exact"/>
        <w:rPr>
          <w:sz w:val="20"/>
          <w:szCs w:val="20"/>
          <w:color w:val="auto"/>
        </w:rPr>
      </w:pPr>
    </w:p>
    <w:p>
      <w:pPr>
        <w:ind w:right="280" w:firstLine="410"/>
        <w:spacing w:after="0" w:line="280" w:lineRule="auto"/>
        <w:rPr>
          <w:sz w:val="20"/>
          <w:szCs w:val="20"/>
          <w:color w:val="auto"/>
        </w:rPr>
      </w:pPr>
      <w:r>
        <w:rPr>
          <w:rFonts w:ascii="Arial" w:cs="Arial" w:eastAsia="Arial" w:hAnsi="Arial"/>
          <w:sz w:val="16"/>
          <w:szCs w:val="16"/>
          <w:color w:val="auto"/>
        </w:rPr>
        <w:t>We consider our trademarks, trade dress, patents, copyrights, trade secrets and other intellectual property rights, including those in our know-how and the software code of our proprietary technology and products, to be, in the aggregate, material to our business. We protect our intellectual property rights by relying on federal and state statutory and common law rights, foreign laws where applicable, as well as contractual restrictions.</w:t>
      </w:r>
    </w:p>
    <w:p>
      <w:pPr>
        <w:spacing w:after="0" w:line="159" w:lineRule="exact"/>
        <w:rPr>
          <w:sz w:val="20"/>
          <w:szCs w:val="20"/>
          <w:color w:val="auto"/>
        </w:rPr>
      </w:pPr>
    </w:p>
    <w:p>
      <w:pPr>
        <w:jc w:val="both"/>
        <w:ind w:firstLine="410"/>
        <w:spacing w:after="0" w:line="257" w:lineRule="auto"/>
        <w:rPr>
          <w:sz w:val="20"/>
          <w:szCs w:val="20"/>
          <w:color w:val="auto"/>
        </w:rPr>
      </w:pPr>
      <w:r>
        <w:rPr>
          <w:rFonts w:ascii="Arial" w:cs="Arial" w:eastAsia="Arial" w:hAnsi="Arial"/>
          <w:sz w:val="17"/>
          <w:szCs w:val="17"/>
          <w:color w:val="auto"/>
        </w:rPr>
        <w:t>We seek to control access to our trade secrets and other confidential information related to our proprietary technology by entering into confidentiality agreements with our employees, consultants, vendors and business partners who have access to our confidential information, and we maintain policies and procedures designed to control access to and distribution of our confidential information.</w:t>
      </w:r>
    </w:p>
    <w:p>
      <w:pPr>
        <w:spacing w:after="0" w:line="175"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We seek patent protection covering certain inventions originating from us and, from time to time, review opportunities to acquire patents to the extent we believe such patents may be useful or relevant to our business. As of December 31, 2021, we owned seven issued U.S. patents, 12 U.S. patent applications and 17 foreign patent applications.</w:t>
      </w:r>
    </w:p>
    <w:p>
      <w:pPr>
        <w:spacing w:after="0" w:line="175" w:lineRule="exact"/>
        <w:rPr>
          <w:sz w:val="20"/>
          <w:szCs w:val="20"/>
          <w:color w:val="auto"/>
        </w:rPr>
      </w:pPr>
    </w:p>
    <w:p>
      <w:pPr>
        <w:ind w:right="180" w:firstLine="410"/>
        <w:spacing w:after="0" w:line="253" w:lineRule="auto"/>
        <w:rPr>
          <w:sz w:val="20"/>
          <w:szCs w:val="20"/>
          <w:color w:val="auto"/>
        </w:rPr>
      </w:pPr>
      <w:r>
        <w:rPr>
          <w:rFonts w:ascii="Arial" w:cs="Arial" w:eastAsia="Arial" w:hAnsi="Arial"/>
          <w:sz w:val="17"/>
          <w:szCs w:val="17"/>
          <w:color w:val="auto"/>
        </w:rPr>
        <w:t>We pursue the registration of our domain names, trademarks and service marks in the United States and in locations outside the United States. As of December 31, 2021, we owned a registered trademark for the “WALKME” mark in the United States and eight other countries; a registered trademark for the “WALKME” logo in 13 countries; and a registered trademark for the “DAP” mark in the United States. As of December 31, 2021, we also had three applications for trademark registrations pending in various countries.</w:t>
      </w:r>
    </w:p>
    <w:p>
      <w:pPr>
        <w:spacing w:after="0" w:line="180" w:lineRule="exact"/>
        <w:rPr>
          <w:sz w:val="20"/>
          <w:szCs w:val="20"/>
          <w:color w:val="auto"/>
        </w:rPr>
      </w:pPr>
    </w:p>
    <w:p>
      <w:pPr>
        <w:ind w:right="420" w:firstLine="410"/>
        <w:spacing w:after="0" w:line="307" w:lineRule="auto"/>
        <w:rPr>
          <w:sz w:val="20"/>
          <w:szCs w:val="20"/>
          <w:color w:val="auto"/>
        </w:rPr>
      </w:pPr>
      <w:r>
        <w:rPr>
          <w:rFonts w:ascii="Arial" w:cs="Arial" w:eastAsia="Arial" w:hAnsi="Arial"/>
          <w:sz w:val="15"/>
          <w:szCs w:val="15"/>
          <w:color w:val="auto"/>
        </w:rPr>
        <w:t>While most of the intellectual property underlying our technology and products is developed and owned by us, we have obtained rights to use intellectual property of third parties through licenses, services and/or other relevant agreements. Although we believe these agreements are sufficient for the operation of our business, these agreements typically limit our use of the third parties’ intellectual property to specific uses and for specific time periods.</w:t>
      </w:r>
    </w:p>
    <w:p>
      <w:pPr>
        <w:spacing w:after="0" w:line="141" w:lineRule="exact"/>
        <w:rPr>
          <w:sz w:val="20"/>
          <w:szCs w:val="20"/>
          <w:color w:val="auto"/>
        </w:rPr>
      </w:pPr>
    </w:p>
    <w:p>
      <w:pPr>
        <w:ind w:right="380" w:firstLine="410"/>
        <w:spacing w:after="0" w:line="293" w:lineRule="auto"/>
        <w:rPr>
          <w:sz w:val="20"/>
          <w:szCs w:val="20"/>
          <w:color w:val="auto"/>
        </w:rPr>
      </w:pPr>
      <w:r>
        <w:rPr>
          <w:rFonts w:ascii="Arial" w:cs="Arial" w:eastAsia="Arial" w:hAnsi="Arial"/>
          <w:sz w:val="15"/>
          <w:szCs w:val="15"/>
          <w:color w:val="auto"/>
        </w:rPr>
        <w:t>From time to time, we have faced, and we expect to face in the future, allegations by third parties, including our competitors, that we have infringed their trademarks, copyrights, patents and other intellectual property rights or challenging the validity or enforceability of our intellectual property rights. We are not presently a party to any such legal proceedings that, in the opinion of our management, would individually or taken together have a material adverse effect on our business, financial condition, results of operations or cash flows. For additional information regarding the risks discussed above and other risks related to our intellectual property, see “Risk Factors—Risks Related to Information Technology, Intellectual Property and Data Security and Privacy.”</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Regulations</w:t>
      </w:r>
    </w:p>
    <w:p>
      <w:pPr>
        <w:spacing w:after="0" w:line="210" w:lineRule="exact"/>
        <w:rPr>
          <w:sz w:val="20"/>
          <w:szCs w:val="20"/>
          <w:color w:val="auto"/>
        </w:rPr>
      </w:pPr>
    </w:p>
    <w:p>
      <w:pPr>
        <w:ind w:right="80" w:firstLine="410"/>
        <w:spacing w:after="0" w:line="271" w:lineRule="auto"/>
        <w:rPr>
          <w:sz w:val="20"/>
          <w:szCs w:val="20"/>
          <w:color w:val="auto"/>
        </w:rPr>
      </w:pPr>
      <w:r>
        <w:rPr>
          <w:rFonts w:ascii="Arial" w:cs="Arial" w:eastAsia="Arial" w:hAnsi="Arial"/>
          <w:sz w:val="16"/>
          <w:szCs w:val="16"/>
          <w:color w:val="auto"/>
        </w:rPr>
        <w:t>We are subject to a variety of laws and regulations in the United States, Europe, Israel and elsewhere that involve matters central to our business. Many of these laws and regulations are still evolving and being tested in courts, and could be interpreted in ways that could harm our business. These may involve privacy, data protection and personal information, rights of publicity, content, intellectual property, advertising, marketing, distribution, data security, data retention and deletion, electronic contracts and other communications, competition, consumer protection, telecommunications, taxation, economic or other trade prohibitions or sanctions, anti-corruption law compliance, securities law compliance and online payment services, among others.</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73" w:name="page74"/>
    <w:bookmarkEnd w:id="73"/>
    <w:p>
      <w:pPr>
        <w:ind w:right="100" w:firstLine="410"/>
        <w:spacing w:after="0" w:line="250" w:lineRule="auto"/>
        <w:rPr>
          <w:sz w:val="20"/>
          <w:szCs w:val="20"/>
          <w:color w:val="auto"/>
        </w:rPr>
      </w:pPr>
      <w:r>
        <w:rPr>
          <w:rFonts w:ascii="Arial" w:cs="Arial" w:eastAsia="Arial" w:hAnsi="Arial"/>
          <w:sz w:val="17"/>
          <w:szCs w:val="17"/>
          <w:color w:val="auto"/>
        </w:rPr>
        <w:t>In particular, we are subject to U.S. federal, state, and foreign laws regarding privacy and protection of data relating to individuals. Foreign data protection, privacy, content, competition, and other laws and regulations can impose different obligations or be more restrictive than those in the United States. U.S. federal and state and foreign laws and regulations, which in some cases can be enforced by private parties in addition to government entities, are constantly evolving and can be subject to significant change. As a result, the application, interpretation, and enforcement of these laws and regulations are often uncertain, particularly in the new and rapidly-evolving industry in which we operate, and may be interpreted and applied inconsistently from country to country and inconsistently with our current policies and practices.</w:t>
      </w:r>
    </w:p>
    <w:p>
      <w:pPr>
        <w:spacing w:after="0" w:line="184" w:lineRule="exact"/>
        <w:rPr>
          <w:sz w:val="20"/>
          <w:szCs w:val="20"/>
          <w:color w:val="auto"/>
        </w:rPr>
      </w:pPr>
    </w:p>
    <w:p>
      <w:pPr>
        <w:ind w:right="60" w:firstLine="410"/>
        <w:spacing w:after="0" w:line="298" w:lineRule="auto"/>
        <w:rPr>
          <w:sz w:val="20"/>
          <w:szCs w:val="20"/>
          <w:color w:val="auto"/>
        </w:rPr>
      </w:pPr>
      <w:r>
        <w:rPr>
          <w:rFonts w:ascii="Arial" w:cs="Arial" w:eastAsia="Arial" w:hAnsi="Arial"/>
          <w:sz w:val="15"/>
          <w:szCs w:val="15"/>
          <w:color w:val="auto"/>
        </w:rPr>
        <w:t>We are also subject to the European General Data Protection Regulation (the “GDPR”). The GDPR, and national implementing legislation in EEA member states, impose a strict data protection compliance regime. Failure to comply with the GDPR could result in penalties for noncompliance (including possible fines of up to the greater of €20 million and 4% of our global annual turnover for the preceding financial year for the most serious violations, as well as the right to compensation for financial or non-financial damages claimed by individuals as well as other regulatory investigations and resulting reputational damage).</w:t>
      </w:r>
    </w:p>
    <w:p>
      <w:pPr>
        <w:spacing w:after="0" w:line="148" w:lineRule="exact"/>
        <w:rPr>
          <w:sz w:val="20"/>
          <w:szCs w:val="20"/>
          <w:color w:val="auto"/>
        </w:rPr>
      </w:pPr>
    </w:p>
    <w:p>
      <w:pPr>
        <w:ind w:firstLine="410"/>
        <w:spacing w:after="0" w:line="298" w:lineRule="auto"/>
        <w:rPr>
          <w:sz w:val="20"/>
          <w:szCs w:val="20"/>
          <w:color w:val="auto"/>
        </w:rPr>
      </w:pPr>
      <w:r>
        <w:rPr>
          <w:rFonts w:ascii="Arial" w:cs="Arial" w:eastAsia="Arial" w:hAnsi="Arial"/>
          <w:sz w:val="15"/>
          <w:szCs w:val="15"/>
          <w:color w:val="auto"/>
        </w:rPr>
        <w:t>In addition, following the departure of the United Kingdom as an EU Member State on January 31, 2020, we are subject to the UK General Data Protection Regulation and the UK Data Protection Act 2018 (together, the “UK GDPR”). Failure to comply with the UK DP Laws could lead to fines of up to £17.5 million or 4% of total annual revenue, whichever is greater. Compliance with the GDPR and the UK GDPR may require us to modify our data processing practices and policies and incur substantial compliance-related costs and expenses and these changes may lead to other additional costs and increase our overall risk exposure.</w:t>
      </w:r>
    </w:p>
    <w:p>
      <w:pPr>
        <w:spacing w:after="0" w:line="148" w:lineRule="exact"/>
        <w:rPr>
          <w:sz w:val="20"/>
          <w:szCs w:val="20"/>
          <w:color w:val="auto"/>
        </w:rPr>
      </w:pPr>
    </w:p>
    <w:p>
      <w:pPr>
        <w:ind w:firstLine="410"/>
        <w:spacing w:after="0" w:line="286" w:lineRule="auto"/>
        <w:rPr>
          <w:sz w:val="20"/>
          <w:szCs w:val="20"/>
          <w:color w:val="auto"/>
        </w:rPr>
      </w:pPr>
      <w:r>
        <w:rPr>
          <w:rFonts w:ascii="Arial" w:cs="Arial" w:eastAsia="Arial" w:hAnsi="Arial"/>
          <w:sz w:val="15"/>
          <w:szCs w:val="15"/>
          <w:color w:val="auto"/>
        </w:rPr>
        <w:t>The California Consumer Privacy Act (the “CCPA”), which took effect in January 2020 and to which we are subject, also establishes certain transparency rules and creates new data privacy rights for users, including rights to access and delete their personal information and new ways to opt-out of certain sales or transfers of their personal information, and provides users with additional causes of action. Additionally, California voters approved a new privacy law, the California Privacy Rights Act (the “CPRA”), in the November 3, 2020 election. Effective starting on January 1, 2023 (with certain obligations applicable to data processed from and after January 2022), the CPRA will significantly modify the CCPA, including by expanding consumers’ rights with respect to certain sensitive personal information. The CPRA also creates a new state agency that will be vested with authority to implement and enforce the CCPA and the CPRA. Similarly, there are a number of legislative proposals in the United States, at both the federal and state level, as well as other jurisdictions that could impose new obligations or limitations in areas affecting our business. For example, Virginia and Colorado have enacted the Consumer Data Protection Act (“VCDPA”) and the Colorado Privacy Act (“COPA”), respectively, which will go into effect in 2023 and will impose obligations similar to or more stringent than those we may face under other data protection laws.</w:t>
      </w:r>
    </w:p>
    <w:p>
      <w:pPr>
        <w:spacing w:after="0" w:line="159" w:lineRule="exact"/>
        <w:rPr>
          <w:sz w:val="20"/>
          <w:szCs w:val="20"/>
          <w:color w:val="auto"/>
        </w:rPr>
      </w:pPr>
    </w:p>
    <w:p>
      <w:pPr>
        <w:ind w:firstLine="410"/>
        <w:spacing w:after="0" w:line="288" w:lineRule="auto"/>
        <w:rPr>
          <w:sz w:val="20"/>
          <w:szCs w:val="20"/>
          <w:color w:val="auto"/>
        </w:rPr>
      </w:pPr>
      <w:r>
        <w:rPr>
          <w:rFonts w:ascii="Arial" w:cs="Arial" w:eastAsia="Arial" w:hAnsi="Arial"/>
          <w:sz w:val="15"/>
          <w:szCs w:val="15"/>
          <w:color w:val="auto"/>
        </w:rPr>
        <w:t>As an Israeli headquartered company, we are also subject to the Israeli Protection of Privacy Law, 5741-1981 (the “PPL”), and the regulations enacted thereunder, including the Privacy Protection Regulations (Data Security), 5777-2017 (the “Data Security Regulations”). The PPL imposes certain obligations on the owners of databases containing personal data, including a requirement to register databases with certain characteristics, an obligation to notify data subjects of the purposes for which their personal data is collected and processed and of the disclosure of such data to third parties, a requirement to respond to certain requests from data subjects to access, rectify and/or delete personal data relating to them, and an obligation to maintain the security of personal data. In addition, the Data Security Regulations, impose comprehensive data security requirements on the processing of personal data. The Protection of Privacy Regulations (Transfer of Data to Overseas Databases), 5761-2001, further impose certain conditions on cross-border transfers of personal data from databases in Israel.</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74" w:name="page75"/>
    <w:bookmarkEnd w:id="74"/>
    <w:p>
      <w:pPr>
        <w:jc w:val="both"/>
        <w:ind w:right="420" w:firstLine="410"/>
        <w:spacing w:after="0" w:line="257" w:lineRule="auto"/>
        <w:rPr>
          <w:sz w:val="20"/>
          <w:szCs w:val="20"/>
          <w:color w:val="auto"/>
        </w:rPr>
      </w:pPr>
      <w:r>
        <w:rPr>
          <w:rFonts w:ascii="Arial" w:cs="Arial" w:eastAsia="Arial" w:hAnsi="Arial"/>
          <w:sz w:val="17"/>
          <w:szCs w:val="17"/>
          <w:color w:val="auto"/>
        </w:rPr>
        <w:t>Certain violations of the PPL are considered a criminal and/or a civil offense and could expose the violating entity to criminal, administrative, and financial sanctions, as well as to civil actions. Additionally, the Israel Privacy Protection Authority may issue a public statement that an entity violated the PPL, and such a determination could potentially be used against such entity in civil litigation.</w:t>
      </w:r>
    </w:p>
    <w:p>
      <w:pPr>
        <w:spacing w:after="0" w:line="175" w:lineRule="exact"/>
        <w:rPr>
          <w:sz w:val="20"/>
          <w:szCs w:val="20"/>
          <w:color w:val="auto"/>
        </w:rPr>
      </w:pPr>
    </w:p>
    <w:p>
      <w:pPr>
        <w:ind w:right="160" w:firstLine="410"/>
        <w:spacing w:after="0" w:line="257" w:lineRule="auto"/>
        <w:rPr>
          <w:sz w:val="20"/>
          <w:szCs w:val="20"/>
          <w:color w:val="auto"/>
        </w:rPr>
      </w:pPr>
      <w:r>
        <w:rPr>
          <w:rFonts w:ascii="Arial" w:cs="Arial" w:eastAsia="Arial" w:hAnsi="Arial"/>
          <w:sz w:val="17"/>
          <w:szCs w:val="17"/>
          <w:color w:val="auto"/>
        </w:rPr>
        <w:t>In July 2020, the Israeli Ministry of Justice indicated that it intends to promote amendments to the PPL designed, among other things, to accommodate the PPL to the digital era, enhance the Israel Privacy Protection Authority’s investigative and enforcement powers (including powers to impose fines) and to expand data subjects’ rights.</w:t>
      </w:r>
    </w:p>
    <w:p>
      <w:pPr>
        <w:spacing w:after="0" w:line="175" w:lineRule="exact"/>
        <w:rPr>
          <w:sz w:val="20"/>
          <w:szCs w:val="20"/>
          <w:color w:val="auto"/>
        </w:rPr>
      </w:pPr>
    </w:p>
    <w:p>
      <w:pPr>
        <w:ind w:right="160" w:firstLine="410"/>
        <w:spacing w:after="0" w:line="267" w:lineRule="auto"/>
        <w:rPr>
          <w:sz w:val="20"/>
          <w:szCs w:val="20"/>
          <w:color w:val="auto"/>
        </w:rPr>
      </w:pPr>
      <w:r>
        <w:rPr>
          <w:rFonts w:ascii="Arial" w:cs="Arial" w:eastAsia="Arial" w:hAnsi="Arial"/>
          <w:sz w:val="16"/>
          <w:szCs w:val="16"/>
          <w:color w:val="auto"/>
        </w:rPr>
        <w:t>Some countries are also considering or have passed legislation implementing data protection requirements or requiring local storage and processing of data or similar requirements that could increase the cost and complexity of delivering our services. For information regarding risks related to these compliance requirements, please see “Risk Factors—Risks Related to Information Technology, Intellectual Property and Data Security and Privacy—We are subject to stringent and changing laws, regulations, standards, and contractual obligations related to privacy, data protection, and data security. Our actual or perceived failure to comply with such obligations could result in significant liability or reputational harm to our business.” The foregoing description does not include an exhaustive list of the laws and regulations governing or impacting our business. See the discussion contained in the “Risk Factors—Risks Related to Other Legal, Regulatory and Tax Matters” section of this Annual Report for information regarding how actions by regulatory authorities or changes in legislation and regulation in the jurisdictions in which we operate may have a material adverse effect on our business.</w:t>
      </w:r>
    </w:p>
    <w:p>
      <w:pPr>
        <w:spacing w:after="0" w:line="166" w:lineRule="exact"/>
        <w:rPr>
          <w:sz w:val="20"/>
          <w:szCs w:val="20"/>
          <w:color w:val="auto"/>
        </w:rPr>
      </w:pPr>
    </w:p>
    <w:p>
      <w:pPr>
        <w:ind w:left="420" w:hanging="282"/>
        <w:spacing w:after="0"/>
        <w:tabs>
          <w:tab w:leader="none" w:pos="42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Organizational Structure</w:t>
      </w:r>
    </w:p>
    <w:p>
      <w:pPr>
        <w:spacing w:after="0" w:line="210" w:lineRule="exact"/>
        <w:rPr>
          <w:rFonts w:ascii="Arial" w:cs="Arial" w:eastAsia="Arial" w:hAnsi="Arial"/>
          <w:sz w:val="17"/>
          <w:szCs w:val="17"/>
          <w:b w:val="1"/>
          <w:bCs w:val="1"/>
          <w:color w:val="auto"/>
        </w:rPr>
      </w:pPr>
    </w:p>
    <w:p>
      <w:pPr>
        <w:ind w:left="420"/>
        <w:spacing w:after="0"/>
        <w:rPr>
          <w:rFonts w:ascii="Arial" w:cs="Arial" w:eastAsia="Arial" w:hAnsi="Arial"/>
          <w:sz w:val="17"/>
          <w:szCs w:val="17"/>
          <w:b w:val="1"/>
          <w:bCs w:val="1"/>
          <w:color w:val="auto"/>
        </w:rPr>
      </w:pPr>
      <w:r>
        <w:rPr>
          <w:rFonts w:ascii="Arial" w:cs="Arial" w:eastAsia="Arial" w:hAnsi="Arial"/>
          <w:sz w:val="17"/>
          <w:szCs w:val="17"/>
          <w:color w:val="auto"/>
        </w:rPr>
        <w:t>The legal name of our Company is WalkMe Ltd. and we are organized under the laws of the State of Israel.</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all of our subsidiaries, which are 100% owned directly by WalkMe Ltd., except for WalkMe K.K. which is majority owned by</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WalkMe Ltd.:</w:t>
      </w:r>
    </w:p>
    <w:p>
      <w:pPr>
        <w:spacing w:after="0" w:line="174" w:lineRule="exact"/>
        <w:rPr>
          <w:sz w:val="20"/>
          <w:szCs w:val="20"/>
          <w:color w:val="auto"/>
        </w:rPr>
      </w:pPr>
    </w:p>
    <w:tbl>
      <w:tblPr>
        <w:tblLayout w:type="fixed"/>
        <w:tblInd w:w="2260" w:type="dxa"/>
        <w:tblCellMar>
          <w:top w:w="0" w:type="dxa"/>
          <w:left w:w="0" w:type="dxa"/>
          <w:bottom w:w="0" w:type="dxa"/>
          <w:right w:w="0" w:type="dxa"/>
        </w:tblCellMar>
      </w:tblPr>
      <w:tr>
        <w:trPr>
          <w:trHeight w:val="195"/>
        </w:trPr>
        <w:tc>
          <w:tcPr>
            <w:tcW w:w="2660" w:type="dxa"/>
            <w:vAlign w:val="bottom"/>
            <w:gridSpan w:val="2"/>
          </w:tcPr>
          <w:p>
            <w:pPr>
              <w:spacing w:after="0"/>
              <w:rPr>
                <w:sz w:val="20"/>
                <w:szCs w:val="20"/>
                <w:color w:val="auto"/>
              </w:rPr>
            </w:pPr>
            <w:r>
              <w:rPr>
                <w:rFonts w:ascii="Arial" w:cs="Arial" w:eastAsia="Arial" w:hAnsi="Arial"/>
                <w:sz w:val="17"/>
                <w:szCs w:val="17"/>
                <w:b w:val="1"/>
                <w:bCs w:val="1"/>
                <w:color w:val="auto"/>
              </w:rPr>
              <w:t>Name of Subsidiary</w:t>
            </w:r>
          </w:p>
        </w:tc>
        <w:tc>
          <w:tcPr>
            <w:tcW w:w="4080" w:type="dxa"/>
            <w:vAlign w:val="bottom"/>
            <w:gridSpan w:val="3"/>
          </w:tcPr>
          <w:p>
            <w:pPr>
              <w:ind w:left="720"/>
              <w:spacing w:after="0"/>
              <w:rPr>
                <w:sz w:val="20"/>
                <w:szCs w:val="20"/>
                <w:color w:val="auto"/>
              </w:rPr>
            </w:pPr>
            <w:r>
              <w:rPr>
                <w:rFonts w:ascii="Arial" w:cs="Arial" w:eastAsia="Arial" w:hAnsi="Arial"/>
                <w:sz w:val="17"/>
                <w:szCs w:val="17"/>
                <w:b w:val="1"/>
                <w:bCs w:val="1"/>
                <w:color w:val="auto"/>
              </w:rPr>
              <w:t>Place of Incorporation</w:t>
            </w:r>
          </w:p>
        </w:tc>
      </w:tr>
      <w:tr>
        <w:trPr>
          <w:trHeight w:val="20"/>
        </w:trPr>
        <w:tc>
          <w:tcPr>
            <w:tcW w:w="14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8"/>
        </w:trPr>
        <w:tc>
          <w:tcPr>
            <w:tcW w:w="1400" w:type="dxa"/>
            <w:vAlign w:val="bottom"/>
            <w:shd w:val="clear" w:color="auto" w:fill="CCEEFF"/>
          </w:tcPr>
          <w:p>
            <w:pPr>
              <w:spacing w:after="0"/>
              <w:rPr>
                <w:sz w:val="20"/>
                <w:szCs w:val="20"/>
                <w:color w:val="auto"/>
              </w:rPr>
            </w:pPr>
            <w:r>
              <w:rPr>
                <w:rFonts w:ascii="Arial" w:cs="Arial" w:eastAsia="Arial" w:hAnsi="Arial"/>
                <w:sz w:val="17"/>
                <w:szCs w:val="17"/>
                <w:color w:val="auto"/>
              </w:rPr>
              <w:t>WalkMe, Inc.</w:t>
            </w:r>
          </w:p>
        </w:tc>
        <w:tc>
          <w:tcPr>
            <w:tcW w:w="1260" w:type="dxa"/>
            <w:vAlign w:val="bottom"/>
            <w:shd w:val="clear" w:color="auto" w:fill="CCEEFF"/>
          </w:tcPr>
          <w:p>
            <w:pPr>
              <w:spacing w:after="0"/>
              <w:rPr>
                <w:sz w:val="19"/>
                <w:szCs w:val="19"/>
                <w:color w:val="auto"/>
              </w:rPr>
            </w:pPr>
          </w:p>
        </w:tc>
        <w:tc>
          <w:tcPr>
            <w:tcW w:w="408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Delaware</w:t>
            </w:r>
          </w:p>
        </w:tc>
      </w:tr>
      <w:tr>
        <w:trPr>
          <w:trHeight w:val="201"/>
        </w:trPr>
        <w:tc>
          <w:tcPr>
            <w:tcW w:w="2660" w:type="dxa"/>
            <w:vAlign w:val="bottom"/>
            <w:gridSpan w:val="2"/>
          </w:tcPr>
          <w:p>
            <w:pPr>
              <w:spacing w:after="0"/>
              <w:rPr>
                <w:sz w:val="20"/>
                <w:szCs w:val="20"/>
                <w:color w:val="auto"/>
              </w:rPr>
            </w:pPr>
            <w:r>
              <w:rPr>
                <w:rFonts w:ascii="Arial" w:cs="Arial" w:eastAsia="Arial" w:hAnsi="Arial"/>
                <w:sz w:val="17"/>
                <w:szCs w:val="17"/>
                <w:color w:val="auto"/>
              </w:rPr>
              <w:t>WalkMe UK Limited</w:t>
            </w:r>
          </w:p>
        </w:tc>
        <w:tc>
          <w:tcPr>
            <w:tcW w:w="4080" w:type="dxa"/>
            <w:vAlign w:val="bottom"/>
            <w:gridSpan w:val="3"/>
          </w:tcPr>
          <w:p>
            <w:pPr>
              <w:ind w:left="720"/>
              <w:spacing w:after="0"/>
              <w:rPr>
                <w:sz w:val="20"/>
                <w:szCs w:val="20"/>
                <w:color w:val="auto"/>
              </w:rPr>
            </w:pPr>
            <w:r>
              <w:rPr>
                <w:rFonts w:ascii="Arial" w:cs="Arial" w:eastAsia="Arial" w:hAnsi="Arial"/>
                <w:sz w:val="17"/>
                <w:szCs w:val="17"/>
                <w:color w:val="auto"/>
              </w:rPr>
              <w:t>United Kingdom</w:t>
            </w:r>
          </w:p>
        </w:tc>
      </w:tr>
      <w:tr>
        <w:trPr>
          <w:trHeight w:val="201"/>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WalkMe Australia PTY Ltd.</w:t>
            </w:r>
          </w:p>
        </w:tc>
        <w:tc>
          <w:tcPr>
            <w:tcW w:w="408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Australia</w:t>
            </w:r>
          </w:p>
        </w:tc>
      </w:tr>
      <w:tr>
        <w:trPr>
          <w:trHeight w:val="201"/>
        </w:trPr>
        <w:tc>
          <w:tcPr>
            <w:tcW w:w="2660" w:type="dxa"/>
            <w:vAlign w:val="bottom"/>
            <w:gridSpan w:val="2"/>
          </w:tcPr>
          <w:p>
            <w:pPr>
              <w:spacing w:after="0"/>
              <w:rPr>
                <w:sz w:val="20"/>
                <w:szCs w:val="20"/>
                <w:color w:val="auto"/>
              </w:rPr>
            </w:pPr>
            <w:r>
              <w:rPr>
                <w:rFonts w:ascii="Arial" w:cs="Arial" w:eastAsia="Arial" w:hAnsi="Arial"/>
                <w:sz w:val="17"/>
                <w:szCs w:val="17"/>
                <w:color w:val="auto"/>
              </w:rPr>
              <w:t>WalkMe Singapore PTE Ltd.</w:t>
            </w:r>
          </w:p>
        </w:tc>
        <w:tc>
          <w:tcPr>
            <w:tcW w:w="4080" w:type="dxa"/>
            <w:vAlign w:val="bottom"/>
            <w:gridSpan w:val="3"/>
          </w:tcPr>
          <w:p>
            <w:pPr>
              <w:ind w:left="720"/>
              <w:spacing w:after="0"/>
              <w:rPr>
                <w:sz w:val="20"/>
                <w:szCs w:val="20"/>
                <w:color w:val="auto"/>
              </w:rPr>
            </w:pPr>
            <w:r>
              <w:rPr>
                <w:rFonts w:ascii="Arial" w:cs="Arial" w:eastAsia="Arial" w:hAnsi="Arial"/>
                <w:sz w:val="17"/>
                <w:szCs w:val="17"/>
                <w:color w:val="auto"/>
              </w:rPr>
              <w:t>Singapore</w:t>
            </w:r>
          </w:p>
        </w:tc>
      </w:tr>
      <w:tr>
        <w:trPr>
          <w:trHeight w:val="201"/>
        </w:trPr>
        <w:tc>
          <w:tcPr>
            <w:tcW w:w="2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WalkMe K.K.</w:t>
            </w:r>
          </w:p>
        </w:tc>
        <w:tc>
          <w:tcPr>
            <w:tcW w:w="4080" w:type="dxa"/>
            <w:vAlign w:val="bottom"/>
            <w:gridSpan w:val="3"/>
            <w:shd w:val="clear" w:color="auto" w:fill="CCEEFF"/>
          </w:tcPr>
          <w:p>
            <w:pPr>
              <w:ind w:left="720"/>
              <w:spacing w:after="0"/>
              <w:rPr>
                <w:sz w:val="20"/>
                <w:szCs w:val="20"/>
                <w:color w:val="auto"/>
              </w:rPr>
            </w:pPr>
            <w:r>
              <w:rPr>
                <w:rFonts w:ascii="Arial" w:cs="Arial" w:eastAsia="Arial" w:hAnsi="Arial"/>
                <w:sz w:val="17"/>
                <w:szCs w:val="17"/>
                <w:color w:val="auto"/>
              </w:rPr>
              <w:t>Japan</w:t>
            </w:r>
          </w:p>
        </w:tc>
      </w:tr>
      <w:tr>
        <w:trPr>
          <w:trHeight w:val="213"/>
        </w:trPr>
        <w:tc>
          <w:tcPr>
            <w:tcW w:w="2660" w:type="dxa"/>
            <w:vAlign w:val="bottom"/>
            <w:gridSpan w:val="2"/>
          </w:tcPr>
          <w:p>
            <w:pPr>
              <w:spacing w:after="0"/>
              <w:rPr>
                <w:sz w:val="20"/>
                <w:szCs w:val="20"/>
                <w:color w:val="auto"/>
              </w:rPr>
            </w:pPr>
            <w:r>
              <w:rPr>
                <w:rFonts w:ascii="Arial" w:cs="Arial" w:eastAsia="Arial" w:hAnsi="Arial"/>
                <w:sz w:val="17"/>
                <w:szCs w:val="17"/>
                <w:color w:val="auto"/>
              </w:rPr>
              <w:t>WalkMe Canada Ltd.</w:t>
            </w:r>
          </w:p>
        </w:tc>
        <w:tc>
          <w:tcPr>
            <w:tcW w:w="4080" w:type="dxa"/>
            <w:vAlign w:val="bottom"/>
            <w:gridSpan w:val="3"/>
          </w:tcPr>
          <w:p>
            <w:pPr>
              <w:ind w:left="720"/>
              <w:spacing w:after="0"/>
              <w:rPr>
                <w:sz w:val="20"/>
                <w:szCs w:val="20"/>
                <w:color w:val="auto"/>
              </w:rPr>
            </w:pPr>
            <w:r>
              <w:rPr>
                <w:rFonts w:ascii="Arial" w:cs="Arial" w:eastAsia="Arial" w:hAnsi="Arial"/>
                <w:sz w:val="17"/>
                <w:szCs w:val="17"/>
                <w:color w:val="auto"/>
              </w:rPr>
              <w:t>Canada</w:t>
            </w:r>
          </w:p>
        </w:tc>
      </w:tr>
    </w:tbl>
    <w:p>
      <w:pPr>
        <w:spacing w:after="0" w:line="172"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D.  Property, Plants and Equipment</w:t>
      </w:r>
    </w:p>
    <w:p>
      <w:pPr>
        <w:spacing w:after="0" w:line="210"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Our corporate headquarters is located in Tel-Aviv, Israel, where we occupy an office space totaling approximately 40,000 square feet, under a lease agreement that expires in February 2023. Our U.S. headquarters is located in San Francisco, where we occupy an office space totaling approximately 40,000 square feet, subject to a lease agreement that expires in July 2024.</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also lease office space in Raleigh, North Carolina, as well as in London, Paris, Tokyo, Sydney and Singapore.</w:t>
      </w:r>
    </w:p>
    <w:p>
      <w:pPr>
        <w:spacing w:after="0" w:line="206" w:lineRule="exact"/>
        <w:rPr>
          <w:sz w:val="20"/>
          <w:szCs w:val="20"/>
          <w:color w:val="auto"/>
        </w:rPr>
      </w:pPr>
    </w:p>
    <w:p>
      <w:pPr>
        <w:ind w:right="600" w:firstLine="410"/>
        <w:spacing w:after="0" w:line="268" w:lineRule="auto"/>
        <w:rPr>
          <w:sz w:val="20"/>
          <w:szCs w:val="20"/>
          <w:color w:val="auto"/>
        </w:rPr>
      </w:pPr>
      <w:r>
        <w:rPr>
          <w:rFonts w:ascii="Arial" w:cs="Arial" w:eastAsia="Arial" w:hAnsi="Arial"/>
          <w:sz w:val="17"/>
          <w:szCs w:val="17"/>
          <w:color w:val="auto"/>
        </w:rPr>
        <w:t>We believe that these facilities are sufficient to meet our current needs and that suitable additional space will be available as needed to accommodate any foreseeable expansion of our operations. We lease all of our facilities and do not own any real property.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color w:val="auto"/>
        </w:rPr>
        <w:t>Item 4A. Unresolved Staff Comments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Operating and Financial Review and Prospects</w:t>
      </w:r>
    </w:p>
    <w:p>
      <w:pPr>
        <w:spacing w:after="0" w:line="210" w:lineRule="exact"/>
        <w:rPr>
          <w:sz w:val="20"/>
          <w:szCs w:val="20"/>
          <w:color w:val="auto"/>
        </w:rPr>
      </w:pPr>
    </w:p>
    <w:p>
      <w:pPr>
        <w:ind w:firstLine="410"/>
        <w:spacing w:after="0" w:line="269" w:lineRule="auto"/>
        <w:rPr>
          <w:sz w:val="20"/>
          <w:szCs w:val="20"/>
          <w:color w:val="auto"/>
        </w:rPr>
      </w:pPr>
      <w:r>
        <w:rPr>
          <w:rFonts w:ascii="Arial" w:cs="Arial" w:eastAsia="Arial" w:hAnsi="Arial"/>
          <w:sz w:val="16"/>
          <w:szCs w:val="16"/>
          <w:i w:val="1"/>
          <w:iCs w:val="1"/>
          <w:color w:val="auto"/>
        </w:rPr>
        <w:t>You should read the following discussion together with the consolidated financial statements and related notes included elsewhere in this Annual Report. The statements in this discussion regarding industry outlook, our expectations regarding our future performance, planned investments in our expansion into additional geographies, research and development, sales and marketing and general and administrative functions as well as other non-historical statements in this discussion are forward-looking statements. These forward-looking statements are subject to numerous risks and uncertainties, including, but not limited to, the risks and uncertainties described in Item 3.D. entitled “Risk factors” and “Special note regarding forward-looking statements” included elsewhere in this Annual Report. Our actual results may differ materially from those contained in or implied by any forward-looking statements.</w:t>
      </w:r>
    </w:p>
    <w:p>
      <w:pPr>
        <w:spacing w:after="0" w:line="169" w:lineRule="exact"/>
        <w:rPr>
          <w:sz w:val="20"/>
          <w:szCs w:val="20"/>
          <w:color w:val="auto"/>
        </w:rPr>
      </w:pPr>
    </w:p>
    <w:p>
      <w:pPr>
        <w:jc w:val="both"/>
        <w:ind w:right="120" w:firstLine="410"/>
        <w:spacing w:after="0" w:line="257" w:lineRule="auto"/>
        <w:rPr>
          <w:sz w:val="20"/>
          <w:szCs w:val="20"/>
          <w:color w:val="auto"/>
        </w:rPr>
      </w:pPr>
      <w:r>
        <w:rPr>
          <w:rFonts w:ascii="Arial" w:cs="Arial" w:eastAsia="Arial" w:hAnsi="Arial"/>
          <w:sz w:val="17"/>
          <w:szCs w:val="17"/>
          <w:color w:val="auto"/>
        </w:rPr>
        <w:t>Certain information called for by this Item 5, including a discussion of the year ended December 31, 2019 compared to the year ended December 31, 2020 has been reported previously in our final prospectus filed pursuant to Rule 424(b)(4) on June 16, 2021 under the section entitled “Management’s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0" w:lineRule="exact"/>
        <w:rPr>
          <w:sz w:val="20"/>
          <w:szCs w:val="20"/>
          <w:color w:val="auto"/>
        </w:rPr>
      </w:pPr>
    </w:p>
    <w:p>
      <w:pPr>
        <w:ind w:right="180" w:firstLine="410"/>
        <w:spacing w:after="0" w:line="274" w:lineRule="auto"/>
        <w:rPr>
          <w:sz w:val="20"/>
          <w:szCs w:val="20"/>
          <w:color w:val="auto"/>
        </w:rPr>
      </w:pPr>
      <w:r>
        <w:rPr>
          <w:rFonts w:ascii="Arial" w:cs="Arial" w:eastAsia="Arial" w:hAnsi="Arial"/>
          <w:sz w:val="16"/>
          <w:szCs w:val="16"/>
          <w:color w:val="auto"/>
        </w:rPr>
        <w:t>WalkMe is a platform which enables organizations to better realize the value of their software investments. Once overlaid, our platform provides immediate insights that enable a data-first approach to understand the gaps between user interactions and behavior with technology and an organization’s business goals. With actionable insights, we then enable organizations to create and deliver elegant experiences that enable users to access the full functionality and value of the software, ensuring digital adoption, and ultimately fulfilling the promise of digital transformation.</w:t>
      </w:r>
    </w:p>
    <w:p>
      <w:pPr>
        <w:spacing w:after="0" w:line="164" w:lineRule="exact"/>
        <w:rPr>
          <w:sz w:val="20"/>
          <w:szCs w:val="20"/>
          <w:color w:val="auto"/>
        </w:rPr>
      </w:pPr>
    </w:p>
    <w:p>
      <w:pPr>
        <w:ind w:right="60" w:firstLine="410"/>
        <w:spacing w:after="0" w:line="250" w:lineRule="auto"/>
        <w:rPr>
          <w:sz w:val="20"/>
          <w:szCs w:val="20"/>
          <w:color w:val="auto"/>
        </w:rPr>
      </w:pPr>
      <w:r>
        <w:rPr>
          <w:rFonts w:ascii="Arial" w:cs="Arial" w:eastAsia="Arial" w:hAnsi="Arial"/>
          <w:sz w:val="17"/>
          <w:szCs w:val="17"/>
          <w:color w:val="auto"/>
        </w:rPr>
        <w:t>Our success in helping customers achieve their digital transformation strategies has enabled us to achieve significant growth. In response to the COVID-19 pandemic, we implemented a short-term hiring freeze across our Company, which limited our sales capacity and, together with the impact on spending across much of the global economy, led to longer sales cycles in the second quarter of 2020 and have impacted our recent results. For the years ended December 31, 2020 and 2021, our revenue was $148.3 million and $193.3 million, respectively, representing year-over-year growth of 30%. For the years ended December 31, 2020 and 2021, our net loss was $45.0 million and $80.3 million, respectively, our operating cash flow was ($8.7) million and ($34.2) million, respectively, and our free cash flow was ($11.0) million and ($40.8)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Company Milestones</w:t>
      </w:r>
    </w:p>
    <w:p>
      <w:pPr>
        <w:spacing w:after="0" w:line="210" w:lineRule="exact"/>
        <w:rPr>
          <w:sz w:val="20"/>
          <w:szCs w:val="20"/>
          <w:color w:val="auto"/>
        </w:rPr>
      </w:pPr>
    </w:p>
    <w:p>
      <w:pPr>
        <w:ind w:right="60" w:firstLine="410"/>
        <w:spacing w:after="0" w:line="268" w:lineRule="auto"/>
        <w:rPr>
          <w:sz w:val="20"/>
          <w:szCs w:val="20"/>
          <w:color w:val="auto"/>
        </w:rPr>
      </w:pPr>
      <w:r>
        <w:rPr>
          <w:rFonts w:ascii="Arial" w:cs="Arial" w:eastAsia="Arial" w:hAnsi="Arial"/>
          <w:sz w:val="17"/>
          <w:szCs w:val="17"/>
          <w:color w:val="auto"/>
        </w:rPr>
        <w:t>WalkMe was founded in Israel in 2011 to make software easier to use and deploy. Since our inception, we have achieved a number of key milestones as we built our Digital Adoption Platform, along the way creating an entire new category of enterprise software.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76" w:name="page77"/>
    <w:bookmarkEnd w:id="76"/>
    <w:p>
      <w:pPr>
        <w:jc w:val="center"/>
        <w:ind w:right="-119"/>
        <w:spacing w:after="0"/>
        <w:rPr>
          <w:sz w:val="20"/>
          <w:szCs w:val="20"/>
          <w:color w:val="auto"/>
        </w:rPr>
      </w:pPr>
      <w:r>
        <w:rPr>
          <w:rFonts w:ascii="Arial" w:cs="Arial" w:eastAsia="Arial" w:hAnsi="Arial"/>
          <w:sz w:val="17"/>
          <w:szCs w:val="17"/>
          <w:b w:val="1"/>
          <w:bCs w:val="1"/>
          <w:color w:val="auto"/>
        </w:rPr>
        <w:t>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200900" cy="4599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0900" cy="4599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Model</w:t>
      </w:r>
    </w:p>
    <w:p>
      <w:pPr>
        <w:spacing w:after="0" w:line="210"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We generate revenue by selling subscriptions to our cloud-based Digital Adoption Platform, as well as associated professional services. Our contracts are typically for a period of one to three years. We have seen a trend towards multi-year contracts as our customers deepen their investment in WalkMe as a strategic platform underlying their digital transformation strategies. We primarily bill our customers annually in advance. Subscription revenue comprised approximately 88% and 91% of our total revenue for 2020 and 2021, respectively.</w:t>
      </w:r>
    </w:p>
    <w:p>
      <w:pPr>
        <w:spacing w:after="0" w:line="180" w:lineRule="exact"/>
        <w:rPr>
          <w:sz w:val="20"/>
          <w:szCs w:val="20"/>
          <w:color w:val="auto"/>
        </w:rPr>
      </w:pPr>
    </w:p>
    <w:p>
      <w:pPr>
        <w:ind w:right="80" w:firstLine="410"/>
        <w:spacing w:after="0" w:line="274" w:lineRule="auto"/>
        <w:rPr>
          <w:sz w:val="20"/>
          <w:szCs w:val="20"/>
          <w:color w:val="auto"/>
        </w:rPr>
      </w:pPr>
      <w:r>
        <w:rPr>
          <w:rFonts w:ascii="Arial" w:cs="Arial" w:eastAsia="Arial" w:hAnsi="Arial"/>
          <w:sz w:val="16"/>
          <w:szCs w:val="16"/>
          <w:color w:val="auto"/>
        </w:rPr>
        <w:t>We price our subscriptions based on the number of applications on which WalkMe is deployed, the number of users, and the breadth of the capabilities of our Digital Adoption Platform to which our customers choose to subscribe. Our customers often expand their subscriptions as they grow the number of users that engage with our Digital Adoption Platform, the number of applications on which WalkMe is deployed and the breadth of the capabilities to which they subscribe. When customers move to an enterprise-wide model, our pricing changes to a price per user for unlimited applications.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We have a diverse customer base consisting of organizations of various sizes across all major industries, and our largest customer accounted for less than 1.6%</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and 2.6% of our ARR in the years ended December 31, 2020 and 2021, respectively. Our go-to-market strategy is increasingly focused on enterprise customers within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the Global 2000, as those customers have larger employee and customer bases, many with a greater need to transform digitally and a significant opportunity to benefit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from the deployment of our Digital Adoption Platform as many of them have a need to accelerate their digital transformations. As of December 31, 2021, our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customers included 367 of the Global 2000, illustrating the applicability of our Digital Adoption Platform for some of the world’s largest and most sophisticated</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enterprises, as well as our potential for future growth. In addition, as of December 31, 2021, we had 454 customers with ARR greater than $100,000, increasing from</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347 as of December 31, 2020 and 265 as of December 31, 2019. These customers represented 77% of our ARR as of December 31, 2021, increasing from 68% as of</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2020. Also, 19 and 31 customers had ARR of $1,000,000 or more as of December 31, 2020 and 2021, respectively, which customers represented 18%</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and 27% of our ARR, respectively, as of such dates. Furthermore, of our 367 Global 2000 customers, 213 had ARR greater than $100,000 and 24 had ARR of</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$1,000,000 or more as of December 31, 2021. Our revenue from customers outside of the United States represented approximately 29% and 30% of our total revenue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in the years ended December 31, 2020 and 2021, respectively.</w:t>
      </w:r>
    </w:p>
    <w:p>
      <w:pPr>
        <w:spacing w:after="0" w:line="35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120"/>
          </w:cols>
          <w:pgMar w:left="320" w:top="123" w:right="45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210" w:lineRule="exact"/>
        <w:rPr>
          <w:sz w:val="20"/>
          <w:szCs w:val="20"/>
          <w:color w:val="auto"/>
        </w:rPr>
      </w:pPr>
    </w:p>
    <w:p>
      <w:pPr>
        <w:ind w:right="340" w:firstLine="410"/>
        <w:spacing w:after="0" w:line="335" w:lineRule="auto"/>
        <w:rPr>
          <w:sz w:val="20"/>
          <w:szCs w:val="20"/>
          <w:color w:val="auto"/>
        </w:rPr>
      </w:pPr>
      <w:r>
        <w:rPr>
          <w:rFonts w:ascii="Arial" w:cs="Arial" w:eastAsia="Arial" w:hAnsi="Arial"/>
          <w:sz w:val="15"/>
          <w:szCs w:val="15"/>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auto"/>
        </w:rPr>
        <w:t>Customer Acquisition and Expansion</w:t>
      </w:r>
    </w:p>
    <w:p>
      <w:pPr>
        <w:spacing w:after="0" w:line="206" w:lineRule="exact"/>
        <w:rPr>
          <w:sz w:val="20"/>
          <w:szCs w:val="20"/>
          <w:color w:val="auto"/>
        </w:rPr>
      </w:pPr>
    </w:p>
    <w:p>
      <w:pPr>
        <w:ind w:right="60" w:firstLine="410"/>
        <w:spacing w:after="0" w:line="268" w:lineRule="auto"/>
        <w:rPr>
          <w:sz w:val="20"/>
          <w:szCs w:val="20"/>
          <w:color w:val="auto"/>
        </w:rPr>
      </w:pPr>
      <w:r>
        <w:rPr>
          <w:rFonts w:ascii="Arial" w:cs="Arial" w:eastAsia="Arial" w:hAnsi="Arial"/>
          <w:sz w:val="16"/>
          <w:szCs w:val="16"/>
          <w:color w:val="auto"/>
        </w:rPr>
        <w:t>We are focused on continuing to acquire new customers to support our long-term growth and increasingly have optimized our customer acquisition efforts to target customers with greater than 500 employees that we believe can yield greater expansion opportunities over time as compared to less than 500 employee customer accounts. As of December 31, 2020 and December 31, 2021, we had 1,996 and 1,994 total customers, respectively. Also, as of December 31, 2020 and December 31, 2021, we had 956 and 1,208 customers with 500 or more employees, respectively. Note, however, that we updated and enhanced our third-party data sources for identifying customers with 500 or more employees and, as a result, capture a greater number of customers in this category as of December 31, 2021 than we did as of December 31, 2020. If we used the same data sources in 2021 as we did in 2020, then we would have had 1,040 customers with 500 or more employees as of December 31, 2021 instead of 1,208 customers.</w:t>
      </w:r>
    </w:p>
    <w:p>
      <w:pPr>
        <w:spacing w:after="0" w:line="169" w:lineRule="exact"/>
        <w:rPr>
          <w:sz w:val="20"/>
          <w:szCs w:val="20"/>
          <w:color w:val="auto"/>
        </w:rPr>
      </w:pPr>
    </w:p>
    <w:p>
      <w:pPr>
        <w:ind w:firstLine="410"/>
        <w:spacing w:after="0" w:line="290" w:lineRule="auto"/>
        <w:rPr>
          <w:sz w:val="20"/>
          <w:szCs w:val="20"/>
          <w:color w:val="auto"/>
        </w:rPr>
      </w:pPr>
      <w:r>
        <w:rPr>
          <w:rFonts w:ascii="Arial" w:cs="Arial" w:eastAsia="Arial" w:hAnsi="Arial"/>
          <w:sz w:val="15"/>
          <w:szCs w:val="15"/>
          <w:color w:val="auto"/>
        </w:rPr>
        <w:t>We define a customer as a distinct entity with an active subscription contract as of the measurement date. For new customers, we typically land in a specific geography or departmental use case such as HR, ERP or CRM. We then aim to grow within that customer’s organization by expanding across other departments, use cases and geographies. For some customers, we offer enterprise-wide subscriptions that enable them to use our Digital Adoption Platform on any application and across any department or geography within their organization. We believe enterprise-wide subscription agreements such as this encourage our customers to consume more of our platform and ultimately can result in greater long-term value to us. We intend to continue to invest in our go-to-market strategy to address new customers and use cases across all industries and customer sizes. Our results will depend in part on the degree to which these efforts are successful.</w:t>
      </w:r>
    </w:p>
    <w:p>
      <w:pPr>
        <w:spacing w:after="0" w:line="155" w:lineRule="exact"/>
        <w:rPr>
          <w:sz w:val="20"/>
          <w:szCs w:val="20"/>
          <w:color w:val="auto"/>
        </w:rPr>
      </w:pPr>
    </w:p>
    <w:p>
      <w:pPr>
        <w:ind w:right="80" w:firstLine="410"/>
        <w:spacing w:after="0" w:line="282" w:lineRule="auto"/>
        <w:rPr>
          <w:sz w:val="20"/>
          <w:szCs w:val="20"/>
          <w:color w:val="auto"/>
        </w:rPr>
      </w:pPr>
      <w:r>
        <w:rPr>
          <w:rFonts w:ascii="Arial" w:cs="Arial" w:eastAsia="Arial" w:hAnsi="Arial"/>
          <w:sz w:val="15"/>
          <w:szCs w:val="15"/>
          <w:color w:val="auto"/>
        </w:rPr>
        <w:t>We also intend to focus on expansion with our current customer base. We demonstrate this by sharing the increase of ARR for each cohort by year. For example, the 2018 cohort includes all customers that made their first purchase from us between January 1, 2018 and December 31, 2018. Our ARR from customers for the 2015 cohort, 2016 cohort, 2017 cohort, 2018 cohort, 2019 cohort, 2020 cohort and 2021 cohort as of December 31, 2021 represented an increase over each cohort’s initial aggregate ARR by 2.8x, 1.3x, 1.8x, 1.4x, 1.3x, and 1.1x respectively. Our ARR from customers with 500 or more employees for the 2015 cohort, 2016 cohort, 2017 cohort, 2018 cohort, 2019 cohort, 2020 cohort and 2021 cohort as of December 31, 2021 represented an increase over each cohort’s initial aggregate ARR by 5.7x,</w:t>
      </w:r>
    </w:p>
    <w:p>
      <w:pPr>
        <w:spacing w:after="0" w:line="3" w:lineRule="exact"/>
        <w:rPr>
          <w:sz w:val="20"/>
          <w:szCs w:val="20"/>
          <w:color w:val="auto"/>
        </w:rPr>
      </w:pPr>
    </w:p>
    <w:p>
      <w:pPr>
        <w:ind w:right="280"/>
        <w:spacing w:after="0" w:line="292" w:lineRule="auto"/>
        <w:rPr>
          <w:sz w:val="20"/>
          <w:szCs w:val="20"/>
          <w:color w:val="auto"/>
        </w:rPr>
      </w:pPr>
      <w:r>
        <w:rPr>
          <w:rFonts w:ascii="Arial" w:cs="Arial" w:eastAsia="Arial" w:hAnsi="Arial"/>
          <w:sz w:val="15"/>
          <w:szCs w:val="15"/>
          <w:color w:val="auto"/>
        </w:rPr>
        <w:t>2.4x, 3.1x, 1.9x, 1.7x, and 1.4x respectively. These ARR multiples reflect both decreases in customer contract values and customer cancellations that have occurred since the comparative ARR calculation date. We track ARR within each customer cohort because we believe it provides useful information to management and investors regarding our ability to retain and expand ARR from our existing customers over time, and for identifying trends in customer use cycles and gauging the success of our customer expansion efforts over the long-term, which assists us in planning for and managing the growth of our business.</w:t>
      </w:r>
    </w:p>
    <w:p>
      <w:pPr>
        <w:spacing w:after="0" w:line="153"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auto"/>
        </w:rPr>
        <w:t>Investing for Growth</w:t>
      </w:r>
    </w:p>
    <w:p>
      <w:pPr>
        <w:spacing w:after="0" w:line="206" w:lineRule="exact"/>
        <w:rPr>
          <w:sz w:val="20"/>
          <w:szCs w:val="20"/>
          <w:color w:val="auto"/>
        </w:rPr>
      </w:pPr>
    </w:p>
    <w:p>
      <w:pPr>
        <w:ind w:right="40" w:firstLine="410"/>
        <w:spacing w:after="0" w:line="298" w:lineRule="auto"/>
        <w:rPr>
          <w:sz w:val="20"/>
          <w:szCs w:val="20"/>
          <w:color w:val="auto"/>
        </w:rPr>
      </w:pPr>
      <w:r>
        <w:rPr>
          <w:rFonts w:ascii="Arial" w:cs="Arial" w:eastAsia="Arial" w:hAnsi="Arial"/>
          <w:sz w:val="15"/>
          <w:szCs w:val="15"/>
          <w:color w:val="auto"/>
        </w:rPr>
        <w:t>Our investments for growth encompass multiple critical areas, including international growth, enterprise sales, increasing our ability to sell to the U.S. federal government and product expansion. We also intend to continue to expand our sales and go-to-market efforts in existing markets, increase our sales territories, and broaden our partner ecosystem. We also plan to invest in marketing to drive awareness of the category of digital adoption. We also plan to continue our investment into research and development to extend our technology leadership, product functionality and grow the emerging Digital Adoption category.</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8" w:name="page79"/>
    <w:bookmarkEnd w:id="78"/>
    <w:p>
      <w:pPr>
        <w:ind w:firstLine="410"/>
        <w:spacing w:after="0" w:line="335" w:lineRule="auto"/>
        <w:rPr>
          <w:sz w:val="20"/>
          <w:szCs w:val="20"/>
          <w:color w:val="auto"/>
        </w:rPr>
      </w:pPr>
      <w:r>
        <w:rPr>
          <w:rFonts w:ascii="Arial" w:cs="Arial" w:eastAsia="Arial" w:hAnsi="Arial"/>
          <w:sz w:val="15"/>
          <w:szCs w:val="15"/>
          <w:color w:val="auto"/>
        </w:rPr>
        <w:t>We continue to evolve our technology to ensure that we are best serving our customers’ needs. We believe this will lead to continued expansion within our current customers’ organizations and increase sales to new customers. We continue to invest in research and development to drive product innovation and development.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auto"/>
        </w:rPr>
        <w:t>Ecosystem Expansion</w:t>
      </w:r>
    </w:p>
    <w:p>
      <w:pPr>
        <w:spacing w:after="0" w:line="206" w:lineRule="exact"/>
        <w:rPr>
          <w:sz w:val="20"/>
          <w:szCs w:val="20"/>
          <w:color w:val="auto"/>
        </w:rPr>
      </w:pPr>
    </w:p>
    <w:p>
      <w:pPr>
        <w:ind w:right="120" w:firstLine="410"/>
        <w:spacing w:after="0" w:line="271" w:lineRule="auto"/>
        <w:rPr>
          <w:sz w:val="20"/>
          <w:szCs w:val="20"/>
          <w:color w:val="auto"/>
        </w:rPr>
      </w:pPr>
      <w:r>
        <w:rPr>
          <w:rFonts w:ascii="Arial" w:cs="Arial" w:eastAsia="Arial" w:hAnsi="Arial"/>
          <w:sz w:val="16"/>
          <w:szCs w:val="16"/>
          <w:color w:val="auto"/>
        </w:rPr>
        <w:t>In February 2021, we launched WalkMe Beyond, our solution ecosystem which includes components such as Digital Adoption Platform professionals, a marketplace and community, product and technology integrations, open API, and a training institute. We have strong partnerships with strategic systems integrators such as Accenture, Cognizant, Deloitte, IBM and PwC, among others. We expect our partnerships to extend our sales reach and provide implementation leverage both in the United States and internationally. We intend to continue to invest in our partnership expansion and integration development efforts to build a healthy ecosystem that will contribute to the long-term growth and sustainability of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COVID-19</w:t>
      </w:r>
    </w:p>
    <w:p>
      <w:pPr>
        <w:spacing w:after="0" w:line="210" w:lineRule="exact"/>
        <w:rPr>
          <w:sz w:val="20"/>
          <w:szCs w:val="20"/>
          <w:color w:val="auto"/>
        </w:rPr>
      </w:pPr>
    </w:p>
    <w:p>
      <w:pPr>
        <w:ind w:right="80" w:firstLine="410"/>
        <w:spacing w:after="0" w:line="257" w:lineRule="auto"/>
        <w:rPr>
          <w:sz w:val="20"/>
          <w:szCs w:val="20"/>
          <w:color w:val="auto"/>
        </w:rPr>
      </w:pPr>
      <w:r>
        <w:rPr>
          <w:rFonts w:ascii="Arial" w:cs="Arial" w:eastAsia="Arial" w:hAnsi="Arial"/>
          <w:sz w:val="17"/>
          <w:szCs w:val="17"/>
          <w:color w:val="auto"/>
        </w:rPr>
        <w:t>In December 2019, COVID-19 was first reported in China; in January 2020, the WHO declared it a Public Health Emergency of International Concern; and in March 2020, the WHO declared it a pandemic. This contagious disease outbreak has continued to spread across the globe, impacting worldwide economic activity and financial markets.</w:t>
      </w:r>
    </w:p>
    <w:p>
      <w:pPr>
        <w:spacing w:after="0" w:line="175" w:lineRule="exact"/>
        <w:rPr>
          <w:sz w:val="20"/>
          <w:szCs w:val="20"/>
          <w:color w:val="auto"/>
        </w:rPr>
      </w:pPr>
    </w:p>
    <w:p>
      <w:pPr>
        <w:ind w:right="20" w:firstLine="410"/>
        <w:spacing w:after="0" w:line="268" w:lineRule="auto"/>
        <w:rPr>
          <w:sz w:val="20"/>
          <w:szCs w:val="20"/>
          <w:color w:val="auto"/>
        </w:rPr>
      </w:pPr>
      <w:r>
        <w:rPr>
          <w:rFonts w:ascii="Arial" w:cs="Arial" w:eastAsia="Arial" w:hAnsi="Arial"/>
          <w:sz w:val="16"/>
          <w:szCs w:val="16"/>
          <w:color w:val="auto"/>
        </w:rPr>
        <w:t>In response to the COVID-19 pandemic, we took immediate action following global shelter-in-place orders to reduce our operating expenses while we monitored global economic conditions. As part of this response, we enabled our entire workforce to work remotely and implemented travel restrictions. The changes we have implemented to date to enable remote working have not materially affected and are not expected to materially affect our ability to operate our business, including our financial reporting systems. The conditions caused by the pandemic also adversely affected, among other things, demand, new customer acquisitions and existing customer renewals, largely driven by changes in customer spending habits and IT budgets. In response to the pandemic, we implemented a short-term hiring freeze across our Company, which limited our sales capacity and, together with the impact on spending across much of the global economy, led to longer sales cycles in the second quarter of 2020. As a result of our actions, our operating loss was less than expected.</w:t>
      </w:r>
    </w:p>
    <w:p>
      <w:pPr>
        <w:spacing w:after="0" w:line="169" w:lineRule="exact"/>
        <w:rPr>
          <w:sz w:val="20"/>
          <w:szCs w:val="20"/>
          <w:color w:val="auto"/>
        </w:rPr>
      </w:pPr>
    </w:p>
    <w:p>
      <w:pPr>
        <w:ind w:right="140" w:firstLine="410"/>
        <w:spacing w:after="0" w:line="271" w:lineRule="auto"/>
        <w:rPr>
          <w:sz w:val="20"/>
          <w:szCs w:val="20"/>
          <w:color w:val="auto"/>
        </w:rPr>
      </w:pPr>
      <w:r>
        <w:rPr>
          <w:rFonts w:ascii="Arial" w:cs="Arial" w:eastAsia="Arial" w:hAnsi="Arial"/>
          <w:sz w:val="16"/>
          <w:szCs w:val="16"/>
          <w:color w:val="auto"/>
        </w:rPr>
        <w:t>Despite these initial headwinds, demand for our offerings accelerated in the second half of 2020 and we began reinvesting in our sales capacity and resumed hiring, the benefits of which we began to see in the fourth quarter of 2020 and into 2021 as new business growth returned to pre-pandemic levels. We attribute this recovery in part to the stabilization of the global economy, as well as to the rapid transition to remote work in the wake of COVID-19, which reinforced, in part, the value proposition of a digital adoption strategy for enterprises transitioning to remote work forces. While there can be no assurance that these trends will continue, we believe these factors show that long-term demand for our offerings remains strong.</w:t>
      </w:r>
    </w:p>
    <w:p>
      <w:pPr>
        <w:spacing w:after="0" w:line="166" w:lineRule="exact"/>
        <w:rPr>
          <w:sz w:val="20"/>
          <w:szCs w:val="20"/>
          <w:color w:val="auto"/>
        </w:rPr>
      </w:pPr>
    </w:p>
    <w:p>
      <w:pPr>
        <w:ind w:right="120" w:firstLine="410"/>
        <w:spacing w:after="0" w:line="250" w:lineRule="auto"/>
        <w:rPr>
          <w:sz w:val="20"/>
          <w:szCs w:val="20"/>
          <w:color w:val="auto"/>
        </w:rPr>
      </w:pPr>
      <w:r>
        <w:rPr>
          <w:rFonts w:ascii="Arial" w:cs="Arial" w:eastAsia="Arial" w:hAnsi="Arial"/>
          <w:sz w:val="17"/>
          <w:szCs w:val="17"/>
          <w:color w:val="auto"/>
        </w:rPr>
        <w:t>Although we believe our business is well-suited to navigate the current environment, the full extent to which the COVID-19 pandemic will impact our business, financial condition and results of operations is still unknown and will depend on future developments, which are highly uncertain and cannot be predicted, including, but not limited to, the duration and spread of the outbreak, its severity, the actions to contain the virus or treat its impact, and how quickly and to what extent pre-COVID-19 economic and operating conditions resume. For additional information regarding the potential impact of the COVID-19 pandemic on our business, see “Risk Factors—Risks Related to Our Business and Industry—The ongoing COVID-19 pandemic could harm our business, financial condition and results of operations.”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Key Business and Financial Metrics</w:t>
      </w:r>
    </w:p>
    <w:p>
      <w:pPr>
        <w:spacing w:after="0" w:line="210" w:lineRule="exact"/>
        <w:rPr>
          <w:sz w:val="20"/>
          <w:szCs w:val="20"/>
          <w:color w:val="auto"/>
        </w:rPr>
      </w:pPr>
    </w:p>
    <w:p>
      <w:pPr>
        <w:ind w:right="80" w:firstLine="410"/>
        <w:spacing w:after="0" w:line="268" w:lineRule="auto"/>
        <w:rPr>
          <w:sz w:val="20"/>
          <w:szCs w:val="20"/>
          <w:color w:val="auto"/>
        </w:rPr>
      </w:pPr>
      <w:r>
        <w:rPr>
          <w:rFonts w:ascii="Arial" w:cs="Arial" w:eastAsia="Arial" w:hAnsi="Arial"/>
          <w:sz w:val="17"/>
          <w:szCs w:val="17"/>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auto"/>
        </w:rPr>
        <w:t>Annualized Recurring Revenue (“ARR”)</w:t>
      </w:r>
    </w:p>
    <w:p>
      <w:pPr>
        <w:spacing w:after="0" w:line="206" w:lineRule="exact"/>
        <w:rPr>
          <w:sz w:val="20"/>
          <w:szCs w:val="20"/>
          <w:color w:val="auto"/>
        </w:rPr>
      </w:pPr>
    </w:p>
    <w:p>
      <w:pPr>
        <w:ind w:firstLine="410"/>
        <w:spacing w:after="0" w:line="266" w:lineRule="auto"/>
        <w:rPr>
          <w:sz w:val="20"/>
          <w:szCs w:val="20"/>
          <w:color w:val="auto"/>
        </w:rPr>
      </w:pPr>
      <w:r>
        <w:rPr>
          <w:rFonts w:ascii="Arial" w:cs="Arial" w:eastAsia="Arial" w:hAnsi="Arial"/>
          <w:sz w:val="16"/>
          <w:szCs w:val="16"/>
          <w:color w:val="auto"/>
        </w:rPr>
        <w:t>We use ARR as a measure of our revenue trend and as an indicator of our future revenue opportunity from existing customer contracts. We define ARR as the annualized value of customer subscription contracts as of the measurement date, assuming any contract that expires during the next 12 months is renewed on its existing terms (including contracts for which we are negotiating a renewal). Our calculation of ARR is not adjusted for the impact of any known or projected future events (such as customer cancellations, upgrades or downgrades, or price increases or decreases) that may cause any such contract not to be renewed on its existing terms. In addition, the amount of actual revenue that we recognize over any 12-month period is likely to differ from ARR at the beginning of that period, sometimes significantly. This may occur due to new bookings, cancellations, upgrades, downgrades or other changes in pending renewals, as well as the effects of professional services revenue and acquisitions or divestitures. As a result, ARR should be viewed independently of, and not as a substitute for or forecast of, revenue and deferred revenue. Our calculation of ARR may differ from similarly titled metrics presented by other companies. As of December 31, 2021, customers having 500 or more employees represented 92% of our total ARR using the new data sources for 500 or more employees and 87% of our total ARR using the old data sources compared to 83% of our total ARR as of December 31, 2020 using the old data sources.</w:t>
      </w:r>
    </w:p>
    <w:p>
      <w:pPr>
        <w:spacing w:after="0" w:line="367" w:lineRule="exact"/>
        <w:rPr>
          <w:sz w:val="20"/>
          <w:szCs w:val="20"/>
          <w:color w:val="auto"/>
        </w:rPr>
      </w:pPr>
    </w:p>
    <w:p>
      <w:pPr>
        <w:jc w:val="center"/>
        <w:ind w:left="6840"/>
        <w:spacing w:after="0"/>
        <w:rPr>
          <w:sz w:val="20"/>
          <w:szCs w:val="20"/>
          <w:color w:val="auto"/>
        </w:rPr>
      </w:pPr>
      <w:r>
        <w:rPr>
          <w:rFonts w:ascii="Arial" w:cs="Arial" w:eastAsia="Arial" w:hAnsi="Arial"/>
          <w:sz w:val="17"/>
          <w:szCs w:val="17"/>
          <w:b w:val="1"/>
          <w:bCs w:val="1"/>
          <w:color w:val="auto"/>
        </w:rPr>
        <w:t>As of</w:t>
      </w:r>
    </w:p>
    <w:p>
      <w:pPr>
        <w:spacing w:after="0" w:line="22" w:lineRule="exact"/>
        <w:rPr>
          <w:sz w:val="20"/>
          <w:szCs w:val="20"/>
          <w:color w:val="auto"/>
        </w:rPr>
      </w:pPr>
    </w:p>
    <w:p>
      <w:pPr>
        <w:jc w:val="center"/>
        <w:ind w:left="684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3810</wp:posOffset>
            </wp:positionV>
            <wp:extent cx="124333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43330" cy="15875"/>
                    </a:xfrm>
                    <a:prstGeom prst="rect">
                      <a:avLst/>
                    </a:prstGeom>
                    <a:noFill/>
                  </pic:spPr>
                </pic:pic>
              </a:graphicData>
            </a:graphic>
          </wp:anchor>
        </w:drawing>
      </w:r>
    </w:p>
    <w:p>
      <w:pPr>
        <w:ind w:left="8360"/>
        <w:spacing w:after="0"/>
        <w:tabs>
          <w:tab w:leader="none" w:pos="9400" w:val="left"/>
        </w:tabs>
        <w:rPr>
          <w:sz w:val="20"/>
          <w:szCs w:val="20"/>
          <w:color w:val="auto"/>
        </w:rPr>
      </w:pPr>
      <w:r>
        <w:rPr>
          <w:rFonts w:ascii="Arial" w:cs="Arial" w:eastAsia="Arial" w:hAnsi="Arial"/>
          <w:sz w:val="17"/>
          <w:szCs w:val="17"/>
          <w:b w:val="1"/>
          <w:bCs w:val="1"/>
          <w:color w:val="auto"/>
        </w:rPr>
        <w:t>2020</w:t>
      </w:r>
      <w:r>
        <w:rPr>
          <w:sz w:val="20"/>
          <w:szCs w:val="20"/>
          <w:color w:val="auto"/>
        </w:rPr>
        <w:tab/>
      </w:r>
      <w:r>
        <w:rPr>
          <w:rFonts w:ascii="Arial" w:cs="Arial" w:eastAsia="Arial" w:hAnsi="Arial"/>
          <w:sz w:val="17"/>
          <w:szCs w:val="17"/>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13970</wp:posOffset>
            </wp:positionV>
            <wp:extent cx="124333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43330" cy="15875"/>
                    </a:xfrm>
                    <a:prstGeom prst="rect">
                      <a:avLst/>
                    </a:prstGeom>
                    <a:noFill/>
                  </pic:spPr>
                </pic:pic>
              </a:graphicData>
            </a:graphic>
          </wp:anchor>
        </w:drawing>
      </w:r>
    </w:p>
    <w:p>
      <w:pPr>
        <w:spacing w:after="0" w:line="14" w:lineRule="exact"/>
        <w:rPr>
          <w:sz w:val="20"/>
          <w:szCs w:val="20"/>
          <w:color w:val="auto"/>
        </w:rPr>
      </w:pPr>
    </w:p>
    <w:p>
      <w:pPr>
        <w:ind w:left="1140"/>
        <w:spacing w:after="0"/>
        <w:tabs>
          <w:tab w:leader="none" w:pos="8060" w:val="left"/>
          <w:tab w:leader="none" w:pos="8560" w:val="left"/>
          <w:tab w:leader="none" w:pos="9120" w:val="left"/>
          <w:tab w:leader="none" w:pos="9640" w:val="left"/>
        </w:tabs>
        <w:rPr>
          <w:sz w:val="20"/>
          <w:szCs w:val="20"/>
          <w:color w:val="auto"/>
        </w:rPr>
      </w:pPr>
      <w:r>
        <w:rPr>
          <w:rFonts w:ascii="Arial" w:cs="Arial" w:eastAsia="Arial" w:hAnsi="Arial"/>
          <w:sz w:val="17"/>
          <w:szCs w:val="17"/>
          <w:color w:val="auto"/>
        </w:rPr>
        <w:t>Annualized Recurring Revenue (millions)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164.3</w:t>
        <w:tab/>
        <w:t>$</w:t>
      </w:r>
      <w:r>
        <w:rPr>
          <w:sz w:val="20"/>
          <w:szCs w:val="20"/>
          <w:color w:val="auto"/>
        </w:rPr>
        <w:tab/>
      </w:r>
      <w:r>
        <w:rPr>
          <w:rFonts w:ascii="Arial" w:cs="Arial" w:eastAsia="Arial" w:hAnsi="Arial"/>
          <w:sz w:val="15"/>
          <w:szCs w:val="15"/>
          <w:color w:val="auto"/>
        </w:rPr>
        <w:t>219.6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-115570</wp:posOffset>
            </wp:positionV>
            <wp:extent cx="5707380" cy="1276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07380" cy="127635"/>
                    </a:xfrm>
                    <a:prstGeom prst="rect">
                      <a:avLst/>
                    </a:prstGeom>
                    <a:noFill/>
                  </pic:spPr>
                </pic:pic>
              </a:graphicData>
            </a:graphic>
          </wp:anchor>
        </w:drawing>
      </w:r>
    </w:p>
    <w:p>
      <w:pPr>
        <w:spacing w:after="0" w:line="186"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auto"/>
        </w:rPr>
        <w:t>Customers with ARR Greater than $100,000</w:t>
      </w:r>
    </w:p>
    <w:p>
      <w:pPr>
        <w:spacing w:after="0" w:line="206" w:lineRule="exact"/>
        <w:rPr>
          <w:sz w:val="20"/>
          <w:szCs w:val="20"/>
          <w:color w:val="auto"/>
        </w:rPr>
      </w:pPr>
    </w:p>
    <w:p>
      <w:pPr>
        <w:ind w:right="220" w:firstLine="410"/>
        <w:spacing w:after="0" w:line="257" w:lineRule="auto"/>
        <w:rPr>
          <w:sz w:val="20"/>
          <w:szCs w:val="20"/>
          <w:color w:val="auto"/>
        </w:rPr>
      </w:pPr>
      <w:r>
        <w:rPr>
          <w:rFonts w:ascii="Arial" w:cs="Arial" w:eastAsia="Arial" w:hAnsi="Arial"/>
          <w:sz w:val="17"/>
          <w:szCs w:val="17"/>
          <w:color w:val="auto"/>
        </w:rPr>
        <w:t>We measure the number of customers with ARR greater than $100,000 (“$100,000+ Customers”). We believe our ability to increase these customers is an indicator of our market penetration, strategic demand for our Digital Adoption Platform, the growth of our business, and our potential future business opportunities. Our calculation of this metric may differ from similarly titled metrics presented by other companies.</w:t>
      </w:r>
    </w:p>
    <w:p>
      <w:pPr>
        <w:spacing w:after="0" w:line="171" w:lineRule="exact"/>
        <w:rPr>
          <w:sz w:val="20"/>
          <w:szCs w:val="20"/>
          <w:color w:val="auto"/>
        </w:rPr>
      </w:pPr>
    </w:p>
    <w:p>
      <w:pPr>
        <w:jc w:val="center"/>
        <w:ind w:left="6840"/>
        <w:spacing w:after="0"/>
        <w:rPr>
          <w:sz w:val="20"/>
          <w:szCs w:val="20"/>
          <w:color w:val="auto"/>
        </w:rPr>
      </w:pPr>
      <w:r>
        <w:rPr>
          <w:rFonts w:ascii="Arial" w:cs="Arial" w:eastAsia="Arial" w:hAnsi="Arial"/>
          <w:sz w:val="17"/>
          <w:szCs w:val="17"/>
          <w:b w:val="1"/>
          <w:bCs w:val="1"/>
          <w:color w:val="auto"/>
        </w:rPr>
        <w:t>As of</w:t>
      </w:r>
    </w:p>
    <w:p>
      <w:pPr>
        <w:spacing w:after="0" w:line="22" w:lineRule="exact"/>
        <w:rPr>
          <w:sz w:val="20"/>
          <w:szCs w:val="20"/>
          <w:color w:val="auto"/>
        </w:rPr>
      </w:pPr>
    </w:p>
    <w:p>
      <w:pPr>
        <w:jc w:val="center"/>
        <w:ind w:left="6840"/>
        <w:spacing w:after="0"/>
        <w:rPr>
          <w:sz w:val="20"/>
          <w:szCs w:val="20"/>
          <w:color w:val="auto"/>
        </w:rPr>
      </w:pPr>
      <w:r>
        <w:rPr>
          <w:rFonts w:ascii="Arial" w:cs="Arial" w:eastAsia="Arial" w:hAnsi="Arial"/>
          <w:sz w:val="17"/>
          <w:szCs w:val="17"/>
          <w:b w:val="1"/>
          <w:bCs w:val="1"/>
          <w:color w:val="auto"/>
        </w:rPr>
        <w:t>December 31,</w:t>
      </w:r>
    </w:p>
    <w:p>
      <w:pPr>
        <w:spacing w:after="0" w:line="5"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69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r>
      <w:tr>
        <w:trPr>
          <w:trHeight w:val="201"/>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$100,000+ Customers</w:t>
            </w: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347</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0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ind w:firstLine="410"/>
        <w:spacing w:after="0" w:line="290" w:lineRule="auto"/>
        <w:rPr>
          <w:sz w:val="20"/>
          <w:szCs w:val="20"/>
          <w:color w:val="auto"/>
        </w:rPr>
      </w:pPr>
      <w:r>
        <w:rPr>
          <w:rFonts w:ascii="Arial" w:cs="Arial" w:eastAsia="Arial" w:hAnsi="Arial"/>
          <w:sz w:val="15"/>
          <w:szCs w:val="15"/>
          <w:color w:val="auto"/>
        </w:rPr>
        <w:t>We also measure the number of customers within our $100,000+ Customers who have purchased enterprise-wide subscriptions or who have department-wide usage of our Digital Adoption Platform across four or more applications. We believe these customers are an indication of the success of our customer acquisition and expansion strategy and demonstrate the strategic demand for our Digital Adoption Platform, the growth of our business and our potential future business opportunities. Our calculation of this metric may differ from similarly titled metrics presented by other companies. As of December 31, 2020 and 2021, we had 77 and 126, respectively, of these customers. As of December 31, 2021, these customers represented 37% of our ARR, compared to 25% of our ARR as of December 31, 2020. Additionally, as of December 31, 2021, these customers had an average ARR of $637 thousand, compared to $543 thousand as of December 31, 2020.</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80" w:name="page81"/>
    <w:bookmarkEnd w:id="80"/>
    <w:p>
      <w:pPr>
        <w:ind w:left="860"/>
        <w:spacing w:after="0"/>
        <w:rPr>
          <w:sz w:val="20"/>
          <w:szCs w:val="20"/>
          <w:color w:val="auto"/>
        </w:rPr>
      </w:pPr>
      <w:r>
        <w:rPr>
          <w:rFonts w:ascii="Arial" w:cs="Arial" w:eastAsia="Arial" w:hAnsi="Arial"/>
          <w:sz w:val="17"/>
          <w:szCs w:val="17"/>
          <w:b w:val="1"/>
          <w:bCs w:val="1"/>
          <w:i w:val="1"/>
          <w:iCs w:val="1"/>
          <w:color w:val="auto"/>
        </w:rPr>
        <w:t>Dollar-Based Net Retention Rate</w:t>
      </w:r>
    </w:p>
    <w:p>
      <w:pPr>
        <w:spacing w:after="0" w:line="206" w:lineRule="exact"/>
        <w:rPr>
          <w:sz w:val="20"/>
          <w:szCs w:val="20"/>
          <w:color w:val="auto"/>
        </w:rPr>
      </w:pPr>
    </w:p>
    <w:p>
      <w:pPr>
        <w:ind w:right="20" w:firstLine="410"/>
        <w:spacing w:after="0" w:line="267" w:lineRule="auto"/>
        <w:rPr>
          <w:sz w:val="20"/>
          <w:szCs w:val="20"/>
          <w:color w:val="auto"/>
        </w:rPr>
      </w:pPr>
      <w:r>
        <w:rPr>
          <w:rFonts w:ascii="Arial" w:cs="Arial" w:eastAsia="Arial" w:hAnsi="Arial"/>
          <w:sz w:val="16"/>
          <w:szCs w:val="16"/>
          <w:color w:val="auto"/>
        </w:rPr>
        <w:t>We use our Dollar-Based Net Retention Rate to measure our ability to retain and expand ARR from our existing customers on a trailing four-quarter basis. Our Dollar-Based Net Retention Rate compares the ARR from the same set of subscription customers across comparable periods. In each of the trailing four quarters, the set of customers identified from 12 months prior is compared to those same customers’ subscription ARR in the respective quarter. ARR in the trailing four quarters includes customer renewals, expansion, contraction and churn. The calculation of our Dollar-Based Net Retention Rate in a particular quarter is obtained by averaging the result from that particular quarter with the corresponding results from each of the prior three quarters. Our calculation of Dollar-Based Net Retention Rate may differ from similarly titled metrics presented by other companies. Our dollar-based net retention rate for all customers for the years ended December 31, 2020 and 2021 was 112% and 115%, respectively. Our dollar-based net retention rate for customers having 500 or more employees for the years ended December 31, 2020 and 2021 was 120% and 121%, respectively.</w:t>
      </w:r>
    </w:p>
    <w:p>
      <w:pPr>
        <w:spacing w:after="0" w:line="166" w:lineRule="exact"/>
        <w:rPr>
          <w:sz w:val="20"/>
          <w:szCs w:val="20"/>
          <w:color w:val="auto"/>
        </w:rPr>
      </w:pPr>
    </w:p>
    <w:p>
      <w:pPr>
        <w:jc w:val="center"/>
        <w:ind w:left="6660"/>
        <w:spacing w:after="0"/>
        <w:rPr>
          <w:sz w:val="20"/>
          <w:szCs w:val="20"/>
          <w:color w:val="auto"/>
        </w:rPr>
      </w:pPr>
      <w:r>
        <w:rPr>
          <w:rFonts w:ascii="Arial" w:cs="Arial" w:eastAsia="Arial" w:hAnsi="Arial"/>
          <w:sz w:val="17"/>
          <w:szCs w:val="17"/>
          <w:b w:val="1"/>
          <w:bCs w:val="1"/>
          <w:color w:val="auto"/>
        </w:rPr>
        <w:t>As of</w:t>
      </w:r>
    </w:p>
    <w:p>
      <w:pPr>
        <w:spacing w:after="0" w:line="22" w:lineRule="exact"/>
        <w:rPr>
          <w:sz w:val="20"/>
          <w:szCs w:val="20"/>
          <w:color w:val="auto"/>
        </w:rPr>
      </w:pPr>
    </w:p>
    <w:p>
      <w:pPr>
        <w:jc w:val="center"/>
        <w:ind w:left="6660"/>
        <w:spacing w:after="0"/>
        <w:rPr>
          <w:sz w:val="20"/>
          <w:szCs w:val="20"/>
          <w:color w:val="auto"/>
        </w:rPr>
      </w:pPr>
      <w:r>
        <w:rPr>
          <w:rFonts w:ascii="Arial" w:cs="Arial" w:eastAsia="Arial" w:hAnsi="Arial"/>
          <w:sz w:val="17"/>
          <w:szCs w:val="17"/>
          <w:b w:val="1"/>
          <w:bCs w:val="1"/>
          <w:color w:val="auto"/>
        </w:rPr>
        <w:t>December 31,</w:t>
      </w:r>
    </w:p>
    <w:p>
      <w:pPr>
        <w:spacing w:after="0" w:line="5"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68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2021</w:t>
            </w:r>
          </w:p>
        </w:tc>
        <w:tc>
          <w:tcPr>
            <w:tcW w:w="160" w:type="dxa"/>
            <w:vAlign w:val="bottom"/>
          </w:tcPr>
          <w:p>
            <w:pPr>
              <w:spacing w:after="0"/>
              <w:rPr>
                <w:sz w:val="18"/>
                <w:szCs w:val="18"/>
                <w:color w:val="auto"/>
              </w:rPr>
            </w:pPr>
          </w:p>
        </w:tc>
      </w:tr>
      <w:tr>
        <w:trPr>
          <w:trHeight w:val="20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Dollar-Based Net Retention Rate (all customers)</w:t>
            </w:r>
          </w:p>
        </w:tc>
        <w:tc>
          <w:tcPr>
            <w:tcW w:w="6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112%</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115%</w:t>
            </w:r>
          </w:p>
        </w:tc>
      </w:tr>
      <w:tr>
        <w:trPr>
          <w:trHeight w:val="213"/>
        </w:trPr>
        <w:tc>
          <w:tcPr>
            <w:tcW w:w="7440" w:type="dxa"/>
            <w:vAlign w:val="bottom"/>
            <w:gridSpan w:val="2"/>
          </w:tcPr>
          <w:p>
            <w:pPr>
              <w:spacing w:after="0"/>
              <w:rPr>
                <w:sz w:val="20"/>
                <w:szCs w:val="20"/>
                <w:color w:val="auto"/>
              </w:rPr>
            </w:pPr>
            <w:r>
              <w:rPr>
                <w:rFonts w:ascii="Arial" w:cs="Arial" w:eastAsia="Arial" w:hAnsi="Arial"/>
                <w:sz w:val="17"/>
                <w:szCs w:val="17"/>
                <w:color w:val="auto"/>
              </w:rPr>
              <w:t>Dollar Based Net Retention Rate (customers having 500 or more employees)</w:t>
            </w: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120%</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121%</w:t>
            </w:r>
          </w:p>
        </w:tc>
      </w:tr>
    </w:tbl>
    <w:p>
      <w:pPr>
        <w:spacing w:after="0" w:line="176"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206" w:lineRule="exact"/>
        <w:rPr>
          <w:sz w:val="20"/>
          <w:szCs w:val="20"/>
          <w:color w:val="auto"/>
        </w:rPr>
      </w:pPr>
    </w:p>
    <w:p>
      <w:pPr>
        <w:ind w:firstLine="410"/>
        <w:spacing w:after="0" w:line="271" w:lineRule="auto"/>
        <w:rPr>
          <w:sz w:val="20"/>
          <w:szCs w:val="20"/>
          <w:color w:val="auto"/>
        </w:rPr>
      </w:pPr>
      <w:r>
        <w:rPr>
          <w:rFonts w:ascii="Arial" w:cs="Arial" w:eastAsia="Arial" w:hAnsi="Arial"/>
          <w:sz w:val="16"/>
          <w:szCs w:val="16"/>
          <w:color w:val="auto"/>
        </w:rPr>
        <w:t>Our Remaining Performance Obligations represents future revenue from committed contracts that has not been recognized. This calculation includes deferred revenue and non-cancelable amounts that will be invoiced and recognized as revenue in future periods. Subscription contracts with termination for convenience and without any penalty are excluded. We expect to recognize 56% of our Remaining Performance Obligations as of December 31, 2021 as revenue over the next twelve months, and the remainder thereafter, in each case, in accordance with our revenue recognition policy; however, we cannot guarantee that any portion of our Remaining Performance Obligations will be recognized as revenue within the timeframe we expect or at all.</w:t>
      </w:r>
    </w:p>
    <w:p>
      <w:pPr>
        <w:spacing w:after="0" w:line="162" w:lineRule="exact"/>
        <w:rPr>
          <w:sz w:val="20"/>
          <w:szCs w:val="20"/>
          <w:color w:val="auto"/>
        </w:rPr>
      </w:pPr>
    </w:p>
    <w:p>
      <w:pPr>
        <w:jc w:val="center"/>
        <w:ind w:left="6840"/>
        <w:spacing w:after="0"/>
        <w:rPr>
          <w:sz w:val="20"/>
          <w:szCs w:val="20"/>
          <w:color w:val="auto"/>
        </w:rPr>
      </w:pPr>
      <w:r>
        <w:rPr>
          <w:rFonts w:ascii="Arial" w:cs="Arial" w:eastAsia="Arial" w:hAnsi="Arial"/>
          <w:sz w:val="17"/>
          <w:szCs w:val="17"/>
          <w:b w:val="1"/>
          <w:bCs w:val="1"/>
          <w:color w:val="auto"/>
        </w:rPr>
        <w:t>As of</w:t>
      </w:r>
    </w:p>
    <w:p>
      <w:pPr>
        <w:spacing w:after="0" w:line="22" w:lineRule="exact"/>
        <w:rPr>
          <w:sz w:val="20"/>
          <w:szCs w:val="20"/>
          <w:color w:val="auto"/>
        </w:rPr>
      </w:pPr>
    </w:p>
    <w:p>
      <w:pPr>
        <w:jc w:val="center"/>
        <w:ind w:left="684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3810</wp:posOffset>
            </wp:positionV>
            <wp:extent cx="124333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43330" cy="15875"/>
                    </a:xfrm>
                    <a:prstGeom prst="rect">
                      <a:avLst/>
                    </a:prstGeom>
                    <a:noFill/>
                  </pic:spPr>
                </pic:pic>
              </a:graphicData>
            </a:graphic>
          </wp:anchor>
        </w:drawing>
      </w:r>
    </w:p>
    <w:p>
      <w:pPr>
        <w:ind w:left="8360"/>
        <w:spacing w:after="0"/>
        <w:tabs>
          <w:tab w:leader="none" w:pos="9400" w:val="left"/>
        </w:tabs>
        <w:rPr>
          <w:sz w:val="20"/>
          <w:szCs w:val="20"/>
          <w:color w:val="auto"/>
        </w:rPr>
      </w:pPr>
      <w:r>
        <w:rPr>
          <w:rFonts w:ascii="Arial" w:cs="Arial" w:eastAsia="Arial" w:hAnsi="Arial"/>
          <w:sz w:val="17"/>
          <w:szCs w:val="17"/>
          <w:b w:val="1"/>
          <w:bCs w:val="1"/>
          <w:color w:val="auto"/>
        </w:rPr>
        <w:t>2020</w:t>
      </w:r>
      <w:r>
        <w:rPr>
          <w:sz w:val="20"/>
          <w:szCs w:val="20"/>
          <w:color w:val="auto"/>
        </w:rPr>
        <w:tab/>
      </w:r>
      <w:r>
        <w:rPr>
          <w:rFonts w:ascii="Arial" w:cs="Arial" w:eastAsia="Arial" w:hAnsi="Arial"/>
          <w:sz w:val="17"/>
          <w:szCs w:val="17"/>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13970</wp:posOffset>
            </wp:positionV>
            <wp:extent cx="1243330"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43330" cy="15875"/>
                    </a:xfrm>
                    <a:prstGeom prst="rect">
                      <a:avLst/>
                    </a:prstGeom>
                    <a:noFill/>
                  </pic:spPr>
                </pic:pic>
              </a:graphicData>
            </a:graphic>
          </wp:anchor>
        </w:drawing>
      </w:r>
    </w:p>
    <w:p>
      <w:pPr>
        <w:spacing w:after="0" w:line="14" w:lineRule="exact"/>
        <w:rPr>
          <w:sz w:val="20"/>
          <w:szCs w:val="20"/>
          <w:color w:val="auto"/>
        </w:rPr>
      </w:pPr>
    </w:p>
    <w:p>
      <w:pPr>
        <w:ind w:left="1140"/>
        <w:spacing w:after="0"/>
        <w:tabs>
          <w:tab w:leader="none" w:pos="8060" w:val="left"/>
          <w:tab w:leader="none" w:pos="8560" w:val="left"/>
          <w:tab w:leader="none" w:pos="9120" w:val="left"/>
          <w:tab w:leader="none" w:pos="9640" w:val="left"/>
        </w:tabs>
        <w:rPr>
          <w:sz w:val="20"/>
          <w:szCs w:val="20"/>
          <w:color w:val="auto"/>
        </w:rPr>
      </w:pPr>
      <w:r>
        <w:rPr>
          <w:rFonts w:ascii="Arial" w:cs="Arial" w:eastAsia="Arial" w:hAnsi="Arial"/>
          <w:sz w:val="17"/>
          <w:szCs w:val="17"/>
          <w:color w:val="auto"/>
        </w:rPr>
        <w:t>Remaining Performance Obligations (millions)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205.1</w:t>
        <w:tab/>
        <w:t>$</w:t>
      </w:r>
      <w:r>
        <w:rPr>
          <w:sz w:val="20"/>
          <w:szCs w:val="20"/>
          <w:color w:val="auto"/>
        </w:rPr>
        <w:tab/>
      </w:r>
      <w:r>
        <w:rPr>
          <w:rFonts w:ascii="Arial" w:cs="Arial" w:eastAsia="Arial" w:hAnsi="Arial"/>
          <w:sz w:val="15"/>
          <w:szCs w:val="15"/>
          <w:color w:val="auto"/>
        </w:rPr>
        <w:t>316.2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-115570</wp:posOffset>
            </wp:positionV>
            <wp:extent cx="5707380" cy="1276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07380" cy="12763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210" w:lineRule="exact"/>
        <w:rPr>
          <w:sz w:val="20"/>
          <w:szCs w:val="20"/>
          <w:color w:val="auto"/>
        </w:rPr>
      </w:pPr>
    </w:p>
    <w:p>
      <w:pPr>
        <w:ind w:right="120" w:firstLine="410"/>
        <w:spacing w:after="0" w:line="268" w:lineRule="auto"/>
        <w:rPr>
          <w:sz w:val="20"/>
          <w:szCs w:val="20"/>
          <w:color w:val="auto"/>
        </w:rPr>
      </w:pPr>
      <w:r>
        <w:rPr>
          <w:rFonts w:ascii="Arial" w:cs="Arial" w:eastAsia="Arial" w:hAnsi="Arial"/>
          <w:sz w:val="17"/>
          <w:szCs w:val="17"/>
          <w:color w:val="auto"/>
        </w:rPr>
        <w:t>In addition to our financial results reported in accordance with GAAP, we believe that Free Cash Flow and Non-GAAP Operating Income (Loss), both of which are non-GAAP financial measures, are useful in evaluating the performance of our business.</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auto"/>
        </w:rPr>
        <w:t>Free Cash Flow</w:t>
      </w:r>
    </w:p>
    <w:p>
      <w:pPr>
        <w:spacing w:after="0" w:line="206" w:lineRule="exact"/>
        <w:rPr>
          <w:sz w:val="20"/>
          <w:szCs w:val="20"/>
          <w:color w:val="auto"/>
        </w:rPr>
      </w:pPr>
    </w:p>
    <w:p>
      <w:pPr>
        <w:ind w:firstLine="410"/>
        <w:spacing w:after="0" w:line="269" w:lineRule="auto"/>
        <w:rPr>
          <w:sz w:val="20"/>
          <w:szCs w:val="20"/>
          <w:color w:val="auto"/>
        </w:rPr>
      </w:pPr>
      <w:r>
        <w:rPr>
          <w:rFonts w:ascii="Arial" w:cs="Arial" w:eastAsia="Arial" w:hAnsi="Arial"/>
          <w:sz w:val="16"/>
          <w:szCs w:val="16"/>
          <w:color w:val="auto"/>
        </w:rPr>
        <w:t>We define Free Cash Flow as net cash used in operating activities, less cash used for purchases of property and equipment and capitalized internal-use software costs. We believe that Free Cash Flow is a useful indicator of liquidity that provides information to management and investors, even if negative, about the amount of cash used in our business. Free Cash Flow has limitations as an analytical tool, may differ from similarly titled metrics presented by other companies, and should not be considered in isolation or as a substitute for analysis of net cash used in operating activities, the most directly comparable GAAP liquidity measure, or any other GAAP financial measures. Our Free Cash Flow may vary from period to period and be impacted as we continue to invest for growth in our business. The following table sets forth our net cash used in operating activities and our Free Cash Flow for each period presented.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1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5"/>
          </w:tcPr>
          <w:p>
            <w:pPr>
              <w:jc w:val="right"/>
              <w:ind w:right="640"/>
              <w:spacing w:after="0"/>
              <w:rPr>
                <w:sz w:val="20"/>
                <w:szCs w:val="20"/>
                <w:color w:val="auto"/>
              </w:rPr>
            </w:pPr>
            <w:r>
              <w:rPr>
                <w:rFonts w:ascii="Arial" w:cs="Arial" w:eastAsia="Arial" w:hAnsi="Arial"/>
                <w:sz w:val="17"/>
                <w:szCs w:val="17"/>
                <w:b w:val="1"/>
                <w:bCs w:val="1"/>
                <w:color w:val="auto"/>
              </w:rPr>
              <w:t>Year Ended</w:t>
            </w:r>
          </w:p>
        </w:tc>
        <w:tc>
          <w:tcPr>
            <w:tcW w:w="1120" w:type="dxa"/>
            <w:vAlign w:val="bottom"/>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5"/>
          </w:tcPr>
          <w:p>
            <w:pPr>
              <w:jc w:val="right"/>
              <w:ind w:right="580"/>
              <w:spacing w:after="0"/>
              <w:rPr>
                <w:sz w:val="20"/>
                <w:szCs w:val="20"/>
                <w:color w:val="auto"/>
              </w:rPr>
            </w:pPr>
            <w:r>
              <w:rPr>
                <w:rFonts w:ascii="Arial" w:cs="Arial" w:eastAsia="Arial" w:hAnsi="Arial"/>
                <w:sz w:val="17"/>
                <w:szCs w:val="17"/>
                <w:b w:val="1"/>
                <w:bCs w:val="1"/>
                <w:color w:val="auto"/>
              </w:rPr>
              <w:t>December 31,</w:t>
            </w:r>
          </w:p>
        </w:tc>
        <w:tc>
          <w:tcPr>
            <w:tcW w:w="1120" w:type="dxa"/>
            <w:vAlign w:val="bottom"/>
          </w:tcPr>
          <w:p>
            <w:pPr>
              <w:spacing w:after="0"/>
              <w:rPr>
                <w:sz w:val="19"/>
                <w:szCs w:val="19"/>
                <w:color w:val="auto"/>
              </w:rPr>
            </w:pPr>
          </w:p>
        </w:tc>
      </w:tr>
      <w:tr>
        <w:trPr>
          <w:trHeight w:val="206"/>
        </w:trPr>
        <w:tc>
          <w:tcPr>
            <w:tcW w:w="11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202</w:t>
            </w: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114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 (millions)</w:t>
            </w:r>
          </w:p>
        </w:tc>
        <w:tc>
          <w:tcPr>
            <w:tcW w:w="3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(34.2)</w:t>
            </w:r>
          </w:p>
        </w:tc>
        <w:tc>
          <w:tcPr>
            <w:tcW w:w="1120" w:type="dxa"/>
            <w:vAlign w:val="bottom"/>
          </w:tcPr>
          <w:p>
            <w:pPr>
              <w:spacing w:after="0"/>
              <w:rPr>
                <w:sz w:val="17"/>
                <w:szCs w:val="17"/>
                <w:color w:val="auto"/>
              </w:rPr>
            </w:pPr>
          </w:p>
        </w:tc>
      </w:tr>
      <w:tr>
        <w:trPr>
          <w:trHeight w:val="213"/>
        </w:trPr>
        <w:tc>
          <w:tcPr>
            <w:tcW w:w="11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Free Cash Flow (millions)</w:t>
            </w:r>
          </w:p>
        </w:tc>
        <w:tc>
          <w:tcPr>
            <w:tcW w:w="328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(11.0)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(40.8)</w:t>
            </w:r>
          </w:p>
        </w:tc>
        <w:tc>
          <w:tcPr>
            <w:tcW w:w="1120" w:type="dxa"/>
            <w:vAlign w:val="bottom"/>
          </w:tcPr>
          <w:p>
            <w:pPr>
              <w:spacing w:after="0"/>
              <w:rPr>
                <w:sz w:val="18"/>
                <w:szCs w:val="18"/>
                <w:color w:val="auto"/>
              </w:rPr>
            </w:pPr>
          </w:p>
        </w:tc>
      </w:tr>
      <w:tr>
        <w:trPr>
          <w:trHeight w:val="552"/>
        </w:trPr>
        <w:tc>
          <w:tcPr>
            <w:tcW w:w="11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100" w:type="dxa"/>
            <w:vAlign w:val="bottom"/>
          </w:tcPr>
          <w:p>
            <w:pPr>
              <w:jc w:val="right"/>
              <w:ind w:right="2296"/>
              <w:spacing w:after="0"/>
              <w:rPr>
                <w:sz w:val="20"/>
                <w:szCs w:val="20"/>
                <w:color w:val="auto"/>
              </w:rPr>
            </w:pPr>
            <w:r>
              <w:rPr>
                <w:rFonts w:ascii="Arial" w:cs="Arial" w:eastAsia="Arial" w:hAnsi="Arial"/>
                <w:sz w:val="17"/>
                <w:szCs w:val="17"/>
                <w:color w:val="auto"/>
              </w:rPr>
              <w:t>81</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6"/>
        </w:trPr>
        <w:tc>
          <w:tcPr>
            <w:tcW w:w="114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7" w:right="339" w:bottom="1440" w:gutter="0" w:footer="0" w:header="0"/>
        </w:sectPr>
      </w:pPr>
    </w:p>
    <w:bookmarkStart w:id="81" w:name="page82"/>
    <w:bookmarkEnd w:id="81"/>
    <w:p>
      <w:pPr>
        <w:ind w:left="860"/>
        <w:spacing w:after="0"/>
        <w:rPr>
          <w:sz w:val="20"/>
          <w:szCs w:val="20"/>
          <w:color w:val="auto"/>
        </w:rPr>
      </w:pPr>
      <w:r>
        <w:rPr>
          <w:rFonts w:ascii="Arial" w:cs="Arial" w:eastAsia="Arial" w:hAnsi="Arial"/>
          <w:sz w:val="17"/>
          <w:szCs w:val="17"/>
          <w:b w:val="1"/>
          <w:bCs w:val="1"/>
          <w:i w:val="1"/>
          <w:iCs w:val="1"/>
          <w:color w:val="auto"/>
        </w:rPr>
        <w:t>Non-GAAP Operating Income (Loss)</w:t>
      </w:r>
    </w:p>
    <w:p>
      <w:pPr>
        <w:spacing w:after="0" w:line="206" w:lineRule="exact"/>
        <w:rPr>
          <w:sz w:val="20"/>
          <w:szCs w:val="20"/>
          <w:color w:val="auto"/>
        </w:rPr>
      </w:pPr>
    </w:p>
    <w:p>
      <w:pPr>
        <w:ind w:right="80" w:firstLine="410"/>
        <w:spacing w:after="0" w:line="250" w:lineRule="auto"/>
        <w:rPr>
          <w:sz w:val="20"/>
          <w:szCs w:val="20"/>
          <w:color w:val="auto"/>
        </w:rPr>
      </w:pPr>
      <w:r>
        <w:rPr>
          <w:rFonts w:ascii="Arial" w:cs="Arial" w:eastAsia="Arial" w:hAnsi="Arial"/>
          <w:sz w:val="17"/>
          <w:szCs w:val="17"/>
          <w:color w:val="auto"/>
        </w:rPr>
        <w:t>We define Non-GAAP Operating Income (Loss) as net income (loss) from operations excluding share-based compensation and amortization of acquired intangible assets. We use Non-GAAP Operating Income (Loss) with traditional GAAP measures to evaluate our financial performance. We believe that Non-GAAP Operating Income (Loss) provides our management and investors with useful supplementary information by facilitating period-to-period comparisons of our results of operations. Non-GAAP Operating Income (Loss) has limitations as an analytical tool, may differ from similarly titled metrics presented by other companies, and should not be considered in isolation or as a substitute for analysis of operating loss, the most directly comparable GAAP financial performance measure, or any other GAAP financial measures. The following table sets forth our operating loss, as determined in accordance with GAAP, and our Non-GAAP Operating Loss for each period presented.</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01"/>
        </w:trPr>
        <w:tc>
          <w:tcPr>
            <w:tcW w:w="6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5"/>
          </w:tcPr>
          <w:p>
            <w:pPr>
              <w:ind w:left="380"/>
              <w:spacing w:after="0"/>
              <w:rPr>
                <w:sz w:val="20"/>
                <w:szCs w:val="20"/>
                <w:color w:val="auto"/>
              </w:rPr>
            </w:pPr>
            <w:r>
              <w:rPr>
                <w:rFonts w:ascii="Arial" w:cs="Arial" w:eastAsia="Arial" w:hAnsi="Arial"/>
                <w:sz w:val="17"/>
                <w:szCs w:val="17"/>
                <w:b w:val="1"/>
                <w:bCs w:val="1"/>
                <w:color w:val="auto"/>
              </w:rPr>
              <w:t>Year Ended</w:t>
            </w:r>
          </w:p>
        </w:tc>
      </w:tr>
      <w:tr>
        <w:trPr>
          <w:trHeight w:val="222"/>
        </w:trPr>
        <w:tc>
          <w:tcPr>
            <w:tcW w:w="6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5"/>
          </w:tcPr>
          <w:p>
            <w:pPr>
              <w:ind w:left="300"/>
              <w:spacing w:after="0"/>
              <w:rPr>
                <w:sz w:val="20"/>
                <w:szCs w:val="20"/>
                <w:color w:val="auto"/>
              </w:rPr>
            </w:pPr>
            <w:r>
              <w:rPr>
                <w:rFonts w:ascii="Arial" w:cs="Arial" w:eastAsia="Arial" w:hAnsi="Arial"/>
                <w:sz w:val="17"/>
                <w:szCs w:val="17"/>
                <w:b w:val="1"/>
                <w:bCs w:val="1"/>
                <w:color w:val="auto"/>
              </w:rPr>
              <w:t>December 31,</w:t>
            </w:r>
          </w:p>
        </w:tc>
      </w:tr>
      <w:tr>
        <w:trPr>
          <w:trHeight w:val="206"/>
        </w:trPr>
        <w:tc>
          <w:tcPr>
            <w:tcW w:w="69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7"/>
                <w:szCs w:val="17"/>
                <w:color w:val="auto"/>
              </w:rPr>
            </w:pPr>
          </w:p>
        </w:tc>
      </w:tr>
      <w:tr>
        <w:trPr>
          <w:trHeight w:val="201"/>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Operating Loss (millions)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(43.2)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(77.8)</w:t>
            </w:r>
          </w:p>
        </w:tc>
      </w:tr>
      <w:tr>
        <w:trPr>
          <w:trHeight w:val="213"/>
        </w:trPr>
        <w:tc>
          <w:tcPr>
            <w:tcW w:w="6940" w:type="dxa"/>
            <w:vAlign w:val="bottom"/>
          </w:tcPr>
          <w:p>
            <w:pPr>
              <w:spacing w:after="0"/>
              <w:rPr>
                <w:sz w:val="20"/>
                <w:szCs w:val="20"/>
                <w:color w:val="auto"/>
              </w:rPr>
            </w:pPr>
            <w:r>
              <w:rPr>
                <w:rFonts w:ascii="Arial" w:cs="Arial" w:eastAsia="Arial" w:hAnsi="Arial"/>
                <w:sz w:val="17"/>
                <w:szCs w:val="17"/>
                <w:color w:val="auto"/>
              </w:rPr>
              <w:t>Non-GAAP Operating Loss (millions)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360"/>
              <w:spacing w:after="0"/>
              <w:rPr>
                <w:sz w:val="20"/>
                <w:szCs w:val="20"/>
                <w:color w:val="auto"/>
              </w:rPr>
            </w:pPr>
            <w:r>
              <w:rPr>
                <w:rFonts w:ascii="Arial" w:cs="Arial" w:eastAsia="Arial" w:hAnsi="Arial"/>
                <w:sz w:val="17"/>
                <w:szCs w:val="17"/>
                <w:color w:val="auto"/>
              </w:rPr>
              <w:t>(29.1)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(50.2)</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Subscription Revenue</w:t>
      </w:r>
    </w:p>
    <w:p>
      <w:pPr>
        <w:spacing w:after="0" w:line="206" w:lineRule="exact"/>
        <w:rPr>
          <w:sz w:val="20"/>
          <w:szCs w:val="20"/>
          <w:color w:val="auto"/>
        </w:rPr>
      </w:pPr>
    </w:p>
    <w:p>
      <w:pPr>
        <w:ind w:firstLine="410"/>
        <w:spacing w:after="0" w:line="274" w:lineRule="auto"/>
        <w:rPr>
          <w:sz w:val="20"/>
          <w:szCs w:val="20"/>
          <w:color w:val="auto"/>
        </w:rPr>
      </w:pPr>
      <w:r>
        <w:rPr>
          <w:rFonts w:ascii="Arial" w:cs="Arial" w:eastAsia="Arial" w:hAnsi="Arial"/>
          <w:sz w:val="16"/>
          <w:szCs w:val="16"/>
          <w:color w:val="auto"/>
        </w:rPr>
        <w:t>Subscription revenue primarily consists of subscription fees from our cloud-based Digital Adoption Platform. We recognize subscription revenue ratably over the subscription period, which typically varies from one to three years. Our customers are generally billed upfront, and amounts that have been billed are initially recorded as deferred revenue until recognized in accordance with our revenue recognition policy. Consequently, a portion of the revenue that we report in each period is attributable to the recognition of deferred revenue relating to subscriptions that we entered into during previous periods.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Professional Services Revenue</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Professional services consist of services provided to our customers to help them maximize our platform capabilities in highly complex operational environments.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Professional services are priced on a time and material basis and, accordingly, revenues are recognized as services are delivered.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 and Gross Margin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06" w:lineRule="exact"/>
        <w:rPr>
          <w:sz w:val="20"/>
          <w:szCs w:val="20"/>
          <w:color w:val="auto"/>
        </w:rPr>
      </w:pPr>
    </w:p>
    <w:p>
      <w:pPr>
        <w:ind w:right="60" w:firstLine="410"/>
        <w:spacing w:after="0" w:line="325" w:lineRule="auto"/>
        <w:rPr>
          <w:sz w:val="20"/>
          <w:szCs w:val="20"/>
          <w:color w:val="auto"/>
        </w:rPr>
      </w:pPr>
      <w:r>
        <w:rPr>
          <w:rFonts w:ascii="Arial" w:cs="Arial" w:eastAsia="Arial" w:hAnsi="Arial"/>
          <w:sz w:val="14"/>
          <w:szCs w:val="14"/>
          <w:color w:val="auto"/>
        </w:rPr>
        <w:t>Cost of subscription revenue primarily consists of costs related to third-party cloud infrastructure providers for hosting our platform, employee-related costs for operations and global support (including salaries, benefits, bonuses and share-based compensation), and depreciation and amortization related to acquired intangibles and internal-use software. Cost of professional services revenue primarily consists of employee-related costs (such as salaries, bonuses and share-based compensation) and subcontractor costs associated with the delivery of these services. Additionally, we allocate certain overhead costs to each of these costs of revenue.</w:t>
      </w:r>
    </w:p>
    <w:p>
      <w:pPr>
        <w:spacing w:after="0" w:line="132" w:lineRule="exact"/>
        <w:rPr>
          <w:sz w:val="20"/>
          <w:szCs w:val="20"/>
          <w:color w:val="auto"/>
        </w:rPr>
      </w:pPr>
    </w:p>
    <w:p>
      <w:pPr>
        <w:ind w:right="340" w:firstLine="410"/>
        <w:spacing w:after="0" w:line="268" w:lineRule="auto"/>
        <w:rPr>
          <w:sz w:val="20"/>
          <w:szCs w:val="20"/>
          <w:color w:val="auto"/>
        </w:rPr>
      </w:pPr>
      <w:r>
        <w:rPr>
          <w:rFonts w:ascii="Arial" w:cs="Arial" w:eastAsia="Arial" w:hAnsi="Arial"/>
          <w:sz w:val="17"/>
          <w:szCs w:val="17"/>
          <w:color w:val="auto"/>
        </w:rPr>
        <w:t>We intend to continue to invest additional resources in our platform and our customer support organization as we grow our business. The level and timing of investment in these areas will affect our cost of revenue in the future.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2" w:name="page83"/>
    <w:bookmarkEnd w:id="82"/>
    <w:p>
      <w:pPr>
        <w:spacing w:after="0"/>
        <w:rPr>
          <w:sz w:val="20"/>
          <w:szCs w:val="20"/>
          <w:color w:val="auto"/>
        </w:rPr>
      </w:pPr>
      <w:r>
        <w:rPr>
          <w:rFonts w:ascii="Arial" w:cs="Arial" w:eastAsia="Arial" w:hAnsi="Arial"/>
          <w:sz w:val="17"/>
          <w:szCs w:val="17"/>
          <w:i w:val="1"/>
          <w:iCs w:val="1"/>
          <w:color w:val="auto"/>
        </w:rPr>
        <w:t>Gross profit and gross margin</w:t>
      </w:r>
    </w:p>
    <w:p>
      <w:pPr>
        <w:spacing w:after="0" w:line="206" w:lineRule="exact"/>
        <w:rPr>
          <w:sz w:val="20"/>
          <w:szCs w:val="20"/>
          <w:color w:val="auto"/>
        </w:rPr>
      </w:pPr>
    </w:p>
    <w:p>
      <w:pPr>
        <w:ind w:right="140" w:firstLine="410"/>
        <w:spacing w:after="0" w:line="299" w:lineRule="auto"/>
        <w:rPr>
          <w:sz w:val="20"/>
          <w:szCs w:val="20"/>
          <w:color w:val="auto"/>
        </w:rPr>
      </w:pPr>
      <w:r>
        <w:rPr>
          <w:rFonts w:ascii="Arial" w:cs="Arial" w:eastAsia="Arial" w:hAnsi="Arial"/>
          <w:sz w:val="16"/>
          <w:szCs w:val="16"/>
          <w:color w:val="auto"/>
        </w:rPr>
        <w:t>Gross margin is gross profit expressed as a percentage of revenue. Our gross margin may fluctuate from period to period as a result of the timing and amount of investments to expand our hosting capacity, and our continued efforts to build platform support and professional services teams.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06" w:lineRule="exact"/>
        <w:rPr>
          <w:sz w:val="20"/>
          <w:szCs w:val="20"/>
          <w:color w:val="auto"/>
        </w:rPr>
      </w:pPr>
    </w:p>
    <w:p>
      <w:pPr>
        <w:ind w:right="140" w:firstLine="410"/>
        <w:spacing w:after="0" w:line="251" w:lineRule="auto"/>
        <w:rPr>
          <w:sz w:val="20"/>
          <w:szCs w:val="20"/>
          <w:color w:val="auto"/>
        </w:rPr>
      </w:pPr>
      <w:r>
        <w:rPr>
          <w:rFonts w:ascii="Arial" w:cs="Arial" w:eastAsia="Arial" w:hAnsi="Arial"/>
          <w:sz w:val="17"/>
          <w:szCs w:val="17"/>
          <w:color w:val="auto"/>
        </w:rPr>
        <w:t>Research and development expenses consist primarily of employee-related costs (including salaries, benefits, bonuses and share-based compensation) and subcontractor costs associated with our engineering team responsible for the design, development, and testing of our products, the cost of development environments and tools, and allocated overhead. We expect that our research and development expenses will increase in absolute dollars as our business grows, particularly as we continue to invest in the development of our platform. We expect research and development expenses may fluctuate as a percentage of revenues from period to period due to the timing and extent of these expenses.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w:t>
      </w:r>
    </w:p>
    <w:p>
      <w:pPr>
        <w:spacing w:after="0" w:line="206" w:lineRule="exact"/>
        <w:rPr>
          <w:sz w:val="20"/>
          <w:szCs w:val="20"/>
          <w:color w:val="auto"/>
        </w:rPr>
      </w:pPr>
    </w:p>
    <w:p>
      <w:pPr>
        <w:ind w:right="340" w:firstLine="410"/>
        <w:spacing w:after="0" w:line="257" w:lineRule="auto"/>
        <w:rPr>
          <w:sz w:val="20"/>
          <w:szCs w:val="20"/>
          <w:color w:val="auto"/>
        </w:rPr>
      </w:pPr>
      <w:r>
        <w:rPr>
          <w:rFonts w:ascii="Arial" w:cs="Arial" w:eastAsia="Arial" w:hAnsi="Arial"/>
          <w:sz w:val="17"/>
          <w:szCs w:val="17"/>
          <w:color w:val="auto"/>
        </w:rPr>
        <w:t>Sales and marketing expenses primarily consist of employee-related costs (such as salaries, sales commissions, bonuses and share-based compensation expenses), costs associated with marketing programs to promote our brand and awareness, demand generating activities, customer events, other sales expenses and allocated overhead.</w:t>
      </w:r>
    </w:p>
    <w:p>
      <w:pPr>
        <w:spacing w:after="0" w:line="175" w:lineRule="exact"/>
        <w:rPr>
          <w:sz w:val="20"/>
          <w:szCs w:val="20"/>
          <w:color w:val="auto"/>
        </w:rPr>
      </w:pPr>
    </w:p>
    <w:p>
      <w:pPr>
        <w:ind w:firstLine="410"/>
        <w:spacing w:after="0" w:line="280" w:lineRule="auto"/>
        <w:rPr>
          <w:sz w:val="20"/>
          <w:szCs w:val="20"/>
          <w:color w:val="auto"/>
        </w:rPr>
      </w:pPr>
      <w:r>
        <w:rPr>
          <w:rFonts w:ascii="Arial" w:cs="Arial" w:eastAsia="Arial" w:hAnsi="Arial"/>
          <w:sz w:val="16"/>
          <w:szCs w:val="16"/>
          <w:color w:val="auto"/>
        </w:rPr>
        <w:t>We expect sales and marketing expenses to increase in absolute dollars as we continue to make significant investments in our sales and marketing organizations to drive additional revenues, further penetrate our target markets, and expand our global customer base. As a percentage of revenues, we expect our sales and marketing expenses may fluctuate as a percentage of our revenue from period to period due to the timing and extent of these expenses.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06" w:lineRule="exact"/>
        <w:rPr>
          <w:sz w:val="20"/>
          <w:szCs w:val="20"/>
          <w:color w:val="auto"/>
        </w:rPr>
      </w:pPr>
    </w:p>
    <w:p>
      <w:pPr>
        <w:ind w:right="260" w:firstLine="410"/>
        <w:spacing w:after="0" w:line="299" w:lineRule="auto"/>
        <w:rPr>
          <w:sz w:val="20"/>
          <w:szCs w:val="20"/>
          <w:color w:val="auto"/>
        </w:rPr>
      </w:pPr>
      <w:r>
        <w:rPr>
          <w:rFonts w:ascii="Arial" w:cs="Arial" w:eastAsia="Arial" w:hAnsi="Arial"/>
          <w:sz w:val="16"/>
          <w:szCs w:val="16"/>
          <w:color w:val="auto"/>
        </w:rPr>
        <w:t>General and administrative expenses consist of employee-related costs (such as salaries, bonuses and share-based compensation) for executive, finance, legal, human resources, IT and other administrative personnel, professional services fees, consulting services and allocated overhead.</w:t>
      </w:r>
    </w:p>
    <w:p>
      <w:pPr>
        <w:spacing w:after="0" w:line="144" w:lineRule="exact"/>
        <w:rPr>
          <w:sz w:val="20"/>
          <w:szCs w:val="20"/>
          <w:color w:val="auto"/>
        </w:rPr>
      </w:pPr>
    </w:p>
    <w:p>
      <w:pPr>
        <w:ind w:right="40" w:firstLine="410"/>
        <w:spacing w:after="0" w:line="299" w:lineRule="auto"/>
        <w:rPr>
          <w:sz w:val="20"/>
          <w:szCs w:val="20"/>
          <w:color w:val="auto"/>
        </w:rPr>
      </w:pPr>
      <w:r>
        <w:rPr>
          <w:rFonts w:ascii="Arial" w:cs="Arial" w:eastAsia="Arial" w:hAnsi="Arial"/>
          <w:sz w:val="16"/>
          <w:szCs w:val="16"/>
          <w:color w:val="auto"/>
        </w:rPr>
        <w:t>We expect to incur additional expenses as a result of operating as a public company. As a result, we expect our general and administrative expenses to increase in dollar amount. However, we anticipate general and administrative expenses to decrease as a percentage of our total revenue over time.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Finance income (expense)</w:t>
      </w:r>
    </w:p>
    <w:p>
      <w:pPr>
        <w:spacing w:after="0" w:line="206" w:lineRule="exact"/>
        <w:rPr>
          <w:sz w:val="20"/>
          <w:szCs w:val="20"/>
          <w:color w:val="auto"/>
        </w:rPr>
      </w:pPr>
    </w:p>
    <w:p>
      <w:pPr>
        <w:ind w:right="240" w:firstLine="410"/>
        <w:spacing w:after="0" w:line="268" w:lineRule="auto"/>
        <w:rPr>
          <w:sz w:val="20"/>
          <w:szCs w:val="20"/>
          <w:color w:val="auto"/>
        </w:rPr>
      </w:pPr>
      <w:r>
        <w:rPr>
          <w:rFonts w:ascii="Arial" w:cs="Arial" w:eastAsia="Arial" w:hAnsi="Arial"/>
          <w:sz w:val="17"/>
          <w:szCs w:val="17"/>
          <w:color w:val="auto"/>
        </w:rPr>
        <w:t>Finance income (expenses), net primarily consists of finance expenses such as bank fees, foreign exchange gains and losses and interest income earned on our cash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06" w:lineRule="exact"/>
        <w:rPr>
          <w:sz w:val="20"/>
          <w:szCs w:val="20"/>
          <w:color w:val="auto"/>
        </w:rPr>
      </w:pPr>
    </w:p>
    <w:p>
      <w:pPr>
        <w:ind w:right="140" w:firstLine="410"/>
        <w:spacing w:after="0" w:line="253" w:lineRule="auto"/>
        <w:rPr>
          <w:sz w:val="20"/>
          <w:szCs w:val="20"/>
          <w:color w:val="auto"/>
        </w:rPr>
      </w:pPr>
      <w:r>
        <w:rPr>
          <w:rFonts w:ascii="Arial" w:cs="Arial" w:eastAsia="Arial" w:hAnsi="Arial"/>
          <w:sz w:val="17"/>
          <w:szCs w:val="17"/>
          <w:color w:val="auto"/>
        </w:rPr>
        <w:t>Income tax expenses primarily consist of income taxes related to U.S. and other jurisdictions in which we conduct business. We maintain a valuation allowance for deferred tax assets as we believe that it is more likely than not that the deferred tax assets will not be realized. Our effective tax rate is affected by tax rates in the jurisdictions in which we conduct business and the relative amounts of income we earn in those jurisdictions, as well as non-deductible expenses and changes in our valuation allowance.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color w:val="auto"/>
        </w:rPr>
        <w:t>A. Operating Results</w:t>
      </w:r>
    </w:p>
    <w:p>
      <w:pPr>
        <w:spacing w:after="0" w:line="210" w:lineRule="exact"/>
        <w:rPr>
          <w:sz w:val="20"/>
          <w:szCs w:val="20"/>
          <w:color w:val="auto"/>
        </w:rPr>
      </w:pPr>
    </w:p>
    <w:p>
      <w:pPr>
        <w:ind w:right="220" w:firstLine="410"/>
        <w:spacing w:after="0" w:line="299" w:lineRule="auto"/>
        <w:rPr>
          <w:sz w:val="20"/>
          <w:szCs w:val="20"/>
          <w:color w:val="auto"/>
        </w:rPr>
      </w:pPr>
      <w:r>
        <w:rPr>
          <w:rFonts w:ascii="Arial" w:cs="Arial" w:eastAsia="Arial" w:hAnsi="Arial"/>
          <w:sz w:val="16"/>
          <w:szCs w:val="16"/>
          <w:color w:val="auto"/>
        </w:rPr>
        <w:t>The following tables summarize key components of our results of operations data and such data as a percentage of total revenue for the periods presented. The period-to-period comparisons of our historical results are not necessarily indicative of the results that may be expected in the future.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gridSpan w:val="6"/>
          </w:tcPr>
          <w:p>
            <w:pPr>
              <w:jc w:val="right"/>
              <w:ind w:right="420"/>
              <w:spacing w:after="0"/>
              <w:rPr>
                <w:sz w:val="20"/>
                <w:szCs w:val="20"/>
                <w:color w:val="auto"/>
              </w:rPr>
            </w:pPr>
            <w:r>
              <w:rPr>
                <w:rFonts w:ascii="Arial" w:cs="Arial" w:eastAsia="Arial" w:hAnsi="Arial"/>
                <w:sz w:val="17"/>
                <w:szCs w:val="17"/>
                <w:b w:val="1"/>
                <w:bCs w:val="1"/>
                <w:color w:val="auto"/>
                <w:w w:val="93"/>
              </w:rPr>
              <w:t>Year ended December 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79"/>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36"/>
              <w:spacing w:after="0"/>
              <w:rPr>
                <w:sz w:val="20"/>
                <w:szCs w:val="20"/>
                <w:color w:val="auto"/>
              </w:rPr>
            </w:pPr>
            <w:r>
              <w:rPr>
                <w:rFonts w:ascii="Arial" w:cs="Arial" w:eastAsia="Arial" w:hAnsi="Arial"/>
                <w:sz w:val="17"/>
                <w:szCs w:val="17"/>
                <w:b w:val="1"/>
                <w:bCs w:val="1"/>
                <w:color w:val="auto"/>
              </w:rPr>
              <w:t>(in</w:t>
            </w:r>
          </w:p>
        </w:tc>
        <w:tc>
          <w:tcPr>
            <w:tcW w:w="600" w:type="dxa"/>
            <w:vAlign w:val="bottom"/>
            <w:gridSpan w:val="3"/>
          </w:tcPr>
          <w:p>
            <w:pPr>
              <w:jc w:val="right"/>
              <w:spacing w:after="0"/>
              <w:rPr>
                <w:sz w:val="20"/>
                <w:szCs w:val="20"/>
                <w:color w:val="auto"/>
              </w:rPr>
            </w:pPr>
            <w:r>
              <w:rPr>
                <w:rFonts w:ascii="Arial" w:cs="Arial" w:eastAsia="Arial" w:hAnsi="Arial"/>
                <w:sz w:val="15"/>
                <w:szCs w:val="15"/>
                <w:b w:val="1"/>
                <w:bCs w:val="1"/>
                <w:color w:val="auto"/>
                <w:w w:val="71"/>
              </w:rPr>
              <w:t>thousands)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148,306</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47"/>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193,303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Cost of revenue</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39,158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46,657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109,148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146,646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Operating expenses: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 development</w:t>
            </w:r>
          </w:p>
        </w:tc>
        <w:tc>
          <w:tcPr>
            <w:tcW w:w="20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31,560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48,160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tcPr>
          <w:p>
            <w:pPr>
              <w:ind w:left="140"/>
              <w:spacing w:after="0"/>
              <w:rPr>
                <w:sz w:val="20"/>
                <w:szCs w:val="20"/>
                <w:color w:val="auto"/>
              </w:rPr>
            </w:pPr>
            <w:r>
              <w:rPr>
                <w:rFonts w:ascii="Arial" w:cs="Arial" w:eastAsia="Arial" w:hAnsi="Arial"/>
                <w:sz w:val="17"/>
                <w:szCs w:val="17"/>
                <w:color w:val="auto"/>
              </w:rPr>
              <w:t>Sales and marketing</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87,208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127,719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20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33,541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48,557</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6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152,309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224,436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(43,161)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(77,790)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Financial income, net</w:t>
            </w:r>
          </w:p>
        </w:tc>
        <w:tc>
          <w:tcPr>
            <w:tcW w:w="200" w:type="dxa"/>
            <w:vAlign w:val="bottom"/>
          </w:tcPr>
          <w:p>
            <w:pPr>
              <w:spacing w:after="0"/>
              <w:rPr>
                <w:sz w:val="17"/>
                <w:szCs w:val="17"/>
                <w:color w:val="auto"/>
              </w:rPr>
            </w:pPr>
          </w:p>
        </w:tc>
        <w:tc>
          <w:tcPr>
            <w:tcW w:w="1080" w:type="dxa"/>
            <w:vAlign w:val="bottom"/>
            <w:gridSpan w:val="2"/>
          </w:tcPr>
          <w:p>
            <w:pPr>
              <w:jc w:val="right"/>
              <w:ind w:right="27"/>
              <w:spacing w:after="0"/>
              <w:rPr>
                <w:sz w:val="20"/>
                <w:szCs w:val="20"/>
                <w:color w:val="auto"/>
              </w:rPr>
            </w:pPr>
            <w:r>
              <w:rPr>
                <w:rFonts w:ascii="Arial" w:cs="Arial" w:eastAsia="Arial" w:hAnsi="Arial"/>
                <w:sz w:val="17"/>
                <w:szCs w:val="17"/>
                <w:color w:val="auto"/>
              </w:rPr>
              <w:t>(156)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(43,317)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(77,799)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Income taxes</w:t>
            </w:r>
          </w:p>
        </w:tc>
        <w:tc>
          <w:tcPr>
            <w:tcW w:w="200" w:type="dxa"/>
            <w:vAlign w:val="bottom"/>
          </w:tcPr>
          <w:p>
            <w:pPr>
              <w:spacing w:after="0"/>
              <w:rPr>
                <w:sz w:val="17"/>
                <w:szCs w:val="17"/>
                <w:color w:val="auto"/>
              </w:rPr>
            </w:pPr>
          </w:p>
        </w:tc>
        <w:tc>
          <w:tcPr>
            <w:tcW w:w="1080" w:type="dxa"/>
            <w:vAlign w:val="bottom"/>
            <w:gridSpan w:val="2"/>
          </w:tcPr>
          <w:p>
            <w:pPr>
              <w:jc w:val="right"/>
              <w:ind w:right="27"/>
              <w:spacing w:after="0"/>
              <w:rPr>
                <w:sz w:val="20"/>
                <w:szCs w:val="20"/>
                <w:color w:val="auto"/>
              </w:rPr>
            </w:pPr>
            <w:r>
              <w:rPr>
                <w:rFonts w:ascii="Arial" w:cs="Arial" w:eastAsia="Arial" w:hAnsi="Arial"/>
                <w:sz w:val="17"/>
                <w:szCs w:val="17"/>
                <w:color w:val="auto"/>
              </w:rPr>
              <w:t>(1,708)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(2,494)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(45,025)</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(80,293)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20" w:type="dxa"/>
            <w:vAlign w:val="bottom"/>
            <w:gridSpan w:val="5"/>
          </w:tcPr>
          <w:p>
            <w:pPr>
              <w:jc w:val="right"/>
              <w:ind w:right="540"/>
              <w:spacing w:after="0"/>
              <w:rPr>
                <w:sz w:val="20"/>
                <w:szCs w:val="20"/>
                <w:color w:val="auto"/>
              </w:rPr>
            </w:pPr>
            <w:r>
              <w:rPr>
                <w:rFonts w:ascii="Arial" w:cs="Arial" w:eastAsia="Arial" w:hAnsi="Arial"/>
                <w:sz w:val="17"/>
                <w:szCs w:val="17"/>
                <w:b w:val="1"/>
                <w:bCs w:val="1"/>
                <w:color w:val="auto"/>
                <w:w w:val="89"/>
              </w:rPr>
              <w:t>Year ended December 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(as a %</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w w:val="99"/>
              </w:rPr>
              <w:t>of</w:t>
            </w:r>
          </w:p>
        </w:tc>
        <w:tc>
          <w:tcPr>
            <w:tcW w:w="1040" w:type="dxa"/>
            <w:vAlign w:val="bottom"/>
          </w:tcPr>
          <w:p>
            <w:pPr>
              <w:jc w:val="right"/>
              <w:ind w:right="477"/>
              <w:spacing w:after="0"/>
              <w:rPr>
                <w:sz w:val="20"/>
                <w:szCs w:val="20"/>
                <w:color w:val="auto"/>
              </w:rPr>
            </w:pPr>
            <w:r>
              <w:rPr>
                <w:rFonts w:ascii="Arial" w:cs="Arial" w:eastAsia="Arial" w:hAnsi="Arial"/>
                <w:sz w:val="15"/>
                <w:szCs w:val="15"/>
                <w:b w:val="1"/>
                <w:bCs w:val="1"/>
                <w:color w:val="auto"/>
                <w:w w:val="73"/>
              </w:rPr>
              <w:t>revenue)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0" w:type="dxa"/>
            <w:vAlign w:val="bottom"/>
            <w:tcBorders>
              <w:right w:val="single" w:sz="8" w:color="CCEEFF"/>
            </w:tcBorders>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Cost of revenue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60" w:type="dxa"/>
            <w:vAlign w:val="bottom"/>
            <w:tcBorders>
              <w:lef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Operating expenses: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 development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tcBorders>
              <w:lef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Pr>
          <w:p>
            <w:pPr>
              <w:ind w:left="140"/>
              <w:spacing w:after="0"/>
              <w:rPr>
                <w:sz w:val="20"/>
                <w:szCs w:val="20"/>
                <w:color w:val="auto"/>
              </w:rPr>
            </w:pPr>
            <w:r>
              <w:rPr>
                <w:rFonts w:ascii="Arial" w:cs="Arial" w:eastAsia="Arial" w:hAnsi="Arial"/>
                <w:sz w:val="17"/>
                <w:szCs w:val="17"/>
                <w:color w:val="auto"/>
              </w:rPr>
              <w:t>Sales and marketing</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60" w:type="dxa"/>
            <w:vAlign w:val="bottom"/>
            <w:tcBorders>
              <w:lef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60" w:type="dxa"/>
            <w:vAlign w:val="bottom"/>
            <w:tcBorders>
              <w:lef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Financial income, net</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60" w:type="dxa"/>
            <w:vAlign w:val="bottom"/>
            <w:tcBorders>
              <w:left w:val="single" w:sz="8" w:color="CCEEFF"/>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0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Income taxes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1"/>
        </w:trPr>
        <w:tc>
          <w:tcPr>
            <w:tcW w:w="5960" w:type="dxa"/>
            <w:vAlign w:val="bottom"/>
            <w:gridSpan w:val="2"/>
          </w:tcPr>
          <w:p>
            <w:pPr>
              <w:spacing w:after="0"/>
              <w:rPr>
                <w:sz w:val="20"/>
                <w:szCs w:val="20"/>
                <w:color w:val="auto"/>
              </w:rPr>
            </w:pPr>
            <w:r>
              <w:rPr>
                <w:rFonts w:ascii="Arial" w:cs="Arial" w:eastAsia="Arial" w:hAnsi="Arial"/>
                <w:sz w:val="17"/>
                <w:szCs w:val="17"/>
                <w:color w:val="auto"/>
              </w:rPr>
              <w:t>* Represents amounts of less than 1%</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5940" w:type="dxa"/>
            <w:vAlign w:val="bottom"/>
          </w:tcPr>
          <w:p>
            <w:pPr>
              <w:ind w:left="580"/>
              <w:spacing w:after="0"/>
              <w:rPr>
                <w:sz w:val="20"/>
                <w:szCs w:val="20"/>
                <w:color w:val="auto"/>
              </w:rPr>
            </w:pPr>
            <w:r>
              <w:rPr>
                <w:rFonts w:ascii="Arial" w:cs="Arial" w:eastAsia="Arial" w:hAnsi="Arial"/>
                <w:sz w:val="17"/>
                <w:szCs w:val="17"/>
                <w:b w:val="1"/>
                <w:bCs w:val="1"/>
                <w:i w:val="1"/>
                <w:iCs w:val="1"/>
                <w:color w:val="auto"/>
              </w:rPr>
              <w:t>Comparison of the years ended December 31, 2020 and 2021</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5940" w:type="dxa"/>
            <w:vAlign w:val="bottom"/>
          </w:tcPr>
          <w:p>
            <w:pPr>
              <w:ind w:left="840"/>
              <w:spacing w:after="0"/>
              <w:rPr>
                <w:sz w:val="20"/>
                <w:szCs w:val="20"/>
                <w:color w:val="auto"/>
              </w:rPr>
            </w:pPr>
            <w:r>
              <w:rPr>
                <w:rFonts w:ascii="Arial" w:cs="Arial" w:eastAsia="Arial" w:hAnsi="Arial"/>
                <w:sz w:val="17"/>
                <w:szCs w:val="17"/>
                <w:b w:val="1"/>
                <w:bCs w:val="1"/>
                <w:i w:val="1"/>
                <w:iCs w:val="1"/>
                <w:color w:val="auto"/>
              </w:rPr>
              <w:t>Revenue</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7"/>
                <w:szCs w:val="17"/>
                <w:b w:val="1"/>
                <w:bCs w:val="1"/>
                <w:color w:val="auto"/>
              </w:rPr>
              <w:t>Period-over-Period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gridSpan w:val="5"/>
          </w:tcPr>
          <w:p>
            <w:pPr>
              <w:jc w:val="right"/>
              <w:ind w:right="316"/>
              <w:spacing w:after="0"/>
              <w:rPr>
                <w:sz w:val="20"/>
                <w:szCs w:val="20"/>
                <w:color w:val="auto"/>
              </w:rPr>
            </w:pPr>
            <w:r>
              <w:rPr>
                <w:rFonts w:ascii="Arial" w:cs="Arial" w:eastAsia="Arial" w:hAnsi="Arial"/>
                <w:sz w:val="17"/>
                <w:szCs w:val="17"/>
                <w:b w:val="1"/>
                <w:bCs w:val="1"/>
                <w:color w:val="auto"/>
                <w:w w:val="93"/>
              </w:rPr>
              <w:t>Year Ended December 31,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20" w:type="dxa"/>
            <w:vAlign w:val="bottom"/>
            <w:gridSpan w:val="5"/>
          </w:tcPr>
          <w:p>
            <w:pPr>
              <w:jc w:val="right"/>
              <w:ind w:right="1080"/>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256"/>
              <w:spacing w:after="0"/>
              <w:rPr>
                <w:sz w:val="20"/>
                <w:szCs w:val="20"/>
                <w:color w:val="auto"/>
              </w:rPr>
            </w:pPr>
            <w:r>
              <w:rPr>
                <w:rFonts w:ascii="Arial" w:cs="Arial" w:eastAsia="Arial" w:hAnsi="Arial"/>
                <w:sz w:val="17"/>
                <w:szCs w:val="17"/>
                <w:b w:val="1"/>
                <w:bCs w:val="1"/>
                <w:color w:val="auto"/>
              </w:rPr>
              <w:t>Dollar</w:t>
            </w: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rPr>
              <w:t>Percentage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w w:val="94"/>
              </w:rPr>
              <w:t>(in thousands,</w:t>
            </w:r>
          </w:p>
        </w:tc>
        <w:tc>
          <w:tcPr>
            <w:tcW w:w="1360" w:type="dxa"/>
            <w:vAlign w:val="bottom"/>
            <w:gridSpan w:val="5"/>
          </w:tcPr>
          <w:p>
            <w:pPr>
              <w:jc w:val="right"/>
              <w:spacing w:after="0"/>
              <w:rPr>
                <w:sz w:val="20"/>
                <w:szCs w:val="20"/>
                <w:color w:val="auto"/>
              </w:rPr>
            </w:pPr>
            <w:r>
              <w:rPr>
                <w:rFonts w:ascii="Arial" w:cs="Arial" w:eastAsia="Arial" w:hAnsi="Arial"/>
                <w:sz w:val="17"/>
                <w:szCs w:val="17"/>
                <w:b w:val="1"/>
                <w:bCs w:val="1"/>
                <w:color w:val="auto"/>
                <w:w w:val="79"/>
              </w:rPr>
              <w:t>except percentages)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Subscription revenues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130,303</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175,328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45,025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Professional services revenues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18,003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6"/>
              <w:spacing w:after="0"/>
              <w:rPr>
                <w:sz w:val="20"/>
                <w:szCs w:val="20"/>
                <w:color w:val="auto"/>
              </w:rPr>
            </w:pPr>
            <w:r>
              <w:rPr>
                <w:rFonts w:ascii="Arial" w:cs="Arial" w:eastAsia="Arial" w:hAnsi="Arial"/>
                <w:sz w:val="17"/>
                <w:szCs w:val="17"/>
                <w:color w:val="auto"/>
              </w:rPr>
              <w:t>17,975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(28)</w:t>
            </w: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9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Total 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148,306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193,303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44,997</w:t>
            </w:r>
          </w:p>
        </w:tc>
        <w:tc>
          <w:tcPr>
            <w:tcW w:w="200" w:type="dxa"/>
            <w:vAlign w:val="bottom"/>
            <w:tcBorders>
              <w:right w:val="single" w:sz="8" w:color="CCEEFF"/>
            </w:tcBorders>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 Represents amounts of less than 1%</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4" w:name="page85"/>
    <w:bookmarkEnd w:id="84"/>
    <w:p>
      <w:pPr>
        <w:ind w:left="420"/>
        <w:spacing w:after="0"/>
        <w:rPr>
          <w:sz w:val="20"/>
          <w:szCs w:val="20"/>
          <w:color w:val="auto"/>
        </w:rPr>
      </w:pPr>
      <w:r>
        <w:rPr>
          <w:rFonts w:ascii="Arial" w:cs="Arial" w:eastAsia="Arial" w:hAnsi="Arial"/>
          <w:sz w:val="15"/>
          <w:szCs w:val="15"/>
          <w:color w:val="auto"/>
        </w:rPr>
        <w:t>The following table presents our subscription revenues and professional services revenues as a percentage of our total revenue for each period presented above.</w:t>
      </w:r>
    </w:p>
    <w:p>
      <w:pPr>
        <w:spacing w:after="0" w:line="225" w:lineRule="exact"/>
        <w:rPr>
          <w:sz w:val="20"/>
          <w:szCs w:val="20"/>
          <w:color w:val="auto"/>
        </w:rPr>
      </w:pPr>
    </w:p>
    <w:p>
      <w:pPr>
        <w:jc w:val="center"/>
        <w:ind w:left="8480"/>
        <w:spacing w:after="0"/>
        <w:rPr>
          <w:sz w:val="20"/>
          <w:szCs w:val="20"/>
          <w:color w:val="auto"/>
        </w:rPr>
      </w:pPr>
      <w:r>
        <w:rPr>
          <w:rFonts w:ascii="Arial" w:cs="Arial" w:eastAsia="Arial" w:hAnsi="Arial"/>
          <w:sz w:val="17"/>
          <w:szCs w:val="17"/>
          <w:b w:val="1"/>
          <w:bCs w:val="1"/>
          <w:color w:val="auto"/>
        </w:rPr>
        <w:t>Year Ended</w:t>
      </w:r>
    </w:p>
    <w:p>
      <w:pPr>
        <w:spacing w:after="0" w:line="22" w:lineRule="exact"/>
        <w:rPr>
          <w:sz w:val="20"/>
          <w:szCs w:val="20"/>
          <w:color w:val="auto"/>
        </w:rPr>
      </w:pPr>
    </w:p>
    <w:p>
      <w:pPr>
        <w:jc w:val="center"/>
        <w:ind w:left="8480"/>
        <w:spacing w:after="0"/>
        <w:rPr>
          <w:sz w:val="20"/>
          <w:szCs w:val="20"/>
          <w:color w:val="auto"/>
        </w:rPr>
      </w:pPr>
      <w:r>
        <w:rPr>
          <w:rFonts w:ascii="Arial" w:cs="Arial" w:eastAsia="Arial" w:hAnsi="Arial"/>
          <w:sz w:val="17"/>
          <w:szCs w:val="17"/>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40" w:type="dxa"/>
            <w:vAlign w:val="bottom"/>
            <w:gridSpan w:val="2"/>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4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Subscription revenues</w:t>
            </w: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w:t>
            </w:r>
          </w:p>
        </w:tc>
      </w:tr>
      <w:tr>
        <w:trPr>
          <w:trHeight w:val="206"/>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7"/>
                <w:szCs w:val="17"/>
                <w:color w:val="auto"/>
              </w:rPr>
              <w:t>Professional services revenues</w:t>
            </w:r>
          </w:p>
        </w:tc>
        <w:tc>
          <w:tcPr>
            <w:tcW w:w="7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26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86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Total revenue</w:t>
            </w:r>
          </w:p>
        </w:tc>
        <w:tc>
          <w:tcPr>
            <w:tcW w:w="7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20" w:type="dxa"/>
            <w:vAlign w:val="bottom"/>
          </w:tcPr>
          <w:p>
            <w:pPr>
              <w:spacing w:after="0" w:line="20" w:lineRule="exact"/>
              <w:rPr>
                <w:sz w:val="1"/>
                <w:szCs w:val="1"/>
                <w:color w:val="auto"/>
              </w:rPr>
            </w:pPr>
          </w:p>
        </w:tc>
        <w:tc>
          <w:tcPr>
            <w:tcW w:w="86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Subscription Revenues</w:t>
      </w:r>
    </w:p>
    <w:p>
      <w:pPr>
        <w:spacing w:after="0" w:line="206" w:lineRule="exact"/>
        <w:rPr>
          <w:sz w:val="20"/>
          <w:szCs w:val="20"/>
          <w:color w:val="auto"/>
        </w:rPr>
      </w:pPr>
    </w:p>
    <w:p>
      <w:pPr>
        <w:ind w:right="380" w:firstLine="410"/>
        <w:spacing w:after="0" w:line="253" w:lineRule="auto"/>
        <w:rPr>
          <w:sz w:val="20"/>
          <w:szCs w:val="20"/>
          <w:color w:val="auto"/>
        </w:rPr>
      </w:pPr>
      <w:r>
        <w:rPr>
          <w:rFonts w:ascii="Arial" w:cs="Arial" w:eastAsia="Arial" w:hAnsi="Arial"/>
          <w:sz w:val="17"/>
          <w:szCs w:val="17"/>
          <w:color w:val="auto"/>
        </w:rPr>
        <w:t>Subscription revenues increased by $45.0 million, or 35%, to $175.3 million for the year ended December 31, 2021 compared to $130.3 million for the year ended December 31, 2020. This increase was primarily due to expansion from existing customers within and across lines of business, as well as new customer additions. Approximately 71% of the increase in revenue was attributable to the growth from existing customers, and the remaining increase in revenue was attributable to new customers.</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Professional Services Revenues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Professional services revenues remained at $18.0 million for the year ended December 31, 2021 compared to the year ended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940" w:type="dxa"/>
            <w:vAlign w:val="bottom"/>
          </w:tcPr>
          <w:p>
            <w:pPr>
              <w:ind w:left="840"/>
              <w:spacing w:after="0"/>
              <w:rPr>
                <w:sz w:val="20"/>
                <w:szCs w:val="20"/>
                <w:color w:val="auto"/>
              </w:rPr>
            </w:pPr>
            <w:r>
              <w:rPr>
                <w:rFonts w:ascii="Arial" w:cs="Arial" w:eastAsia="Arial" w:hAnsi="Arial"/>
                <w:sz w:val="17"/>
                <w:szCs w:val="17"/>
                <w:b w:val="1"/>
                <w:bCs w:val="1"/>
                <w:i w:val="1"/>
                <w:iCs w:val="1"/>
                <w:color w:val="auto"/>
              </w:rPr>
              <w:t>Cost of Revenues and Gross Margin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3"/>
          </w:tcPr>
          <w:p>
            <w:pPr>
              <w:jc w:val="center"/>
              <w:ind w:left="416"/>
              <w:spacing w:after="0"/>
              <w:rPr>
                <w:sz w:val="20"/>
                <w:szCs w:val="20"/>
                <w:color w:val="auto"/>
              </w:rPr>
            </w:pPr>
            <w:r>
              <w:rPr>
                <w:rFonts w:ascii="Arial" w:cs="Arial" w:eastAsia="Arial" w:hAnsi="Arial"/>
                <w:sz w:val="17"/>
                <w:szCs w:val="17"/>
                <w:b w:val="1"/>
                <w:bCs w:val="1"/>
                <w:color w:val="auto"/>
                <w:w w:val="89"/>
              </w:rPr>
              <w:t>Year Ended</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4"/>
          </w:tcPr>
          <w:p>
            <w:pPr>
              <w:jc w:val="right"/>
              <w:ind w:right="660"/>
              <w:spacing w:after="0"/>
              <w:rPr>
                <w:sz w:val="20"/>
                <w:szCs w:val="20"/>
                <w:color w:val="auto"/>
              </w:rPr>
            </w:pPr>
            <w:r>
              <w:rPr>
                <w:rFonts w:ascii="Arial" w:cs="Arial" w:eastAsia="Arial" w:hAnsi="Arial"/>
                <w:sz w:val="17"/>
                <w:szCs w:val="17"/>
                <w:b w:val="1"/>
                <w:bCs w:val="1"/>
                <w:color w:val="auto"/>
              </w:rPr>
              <w:t>Period-over-Period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center"/>
              <w:ind w:left="416"/>
              <w:spacing w:after="0"/>
              <w:rPr>
                <w:sz w:val="20"/>
                <w:szCs w:val="20"/>
                <w:color w:val="auto"/>
              </w:rPr>
            </w:pPr>
            <w:r>
              <w:rPr>
                <w:rFonts w:ascii="Arial" w:cs="Arial" w:eastAsia="Arial" w:hAnsi="Arial"/>
                <w:sz w:val="17"/>
                <w:szCs w:val="17"/>
                <w:b w:val="1"/>
                <w:bCs w:val="1"/>
                <w:color w:val="auto"/>
                <w:w w:val="86"/>
              </w:rPr>
              <w:t>December 31,</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4"/>
          </w:tcPr>
          <w:p>
            <w:pPr>
              <w:jc w:val="right"/>
              <w:ind w:right="1080"/>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w w:val="89"/>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Dollar</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Percentage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Arial" w:cs="Arial" w:eastAsia="Arial" w:hAnsi="Arial"/>
                <w:sz w:val="17"/>
                <w:szCs w:val="17"/>
                <w:b w:val="1"/>
                <w:bCs w:val="1"/>
                <w:color w:val="auto"/>
                <w:w w:val="92"/>
              </w:rPr>
              <w:t>(in thousands,</w:t>
            </w:r>
          </w:p>
        </w:tc>
        <w:tc>
          <w:tcPr>
            <w:tcW w:w="1360" w:type="dxa"/>
            <w:vAlign w:val="bottom"/>
            <w:gridSpan w:val="4"/>
          </w:tcPr>
          <w:p>
            <w:pPr>
              <w:jc w:val="right"/>
              <w:spacing w:after="0"/>
              <w:rPr>
                <w:sz w:val="20"/>
                <w:szCs w:val="20"/>
                <w:color w:val="auto"/>
              </w:rPr>
            </w:pPr>
            <w:r>
              <w:rPr>
                <w:rFonts w:ascii="Arial" w:cs="Arial" w:eastAsia="Arial" w:hAnsi="Arial"/>
                <w:sz w:val="17"/>
                <w:szCs w:val="17"/>
                <w:b w:val="1"/>
                <w:bCs w:val="1"/>
                <w:color w:val="auto"/>
                <w:w w:val="79"/>
              </w:rPr>
              <w:t>except percentages)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Pr>
          <w:p>
            <w:pPr>
              <w:ind w:left="380"/>
              <w:spacing w:after="0"/>
              <w:rPr>
                <w:sz w:val="20"/>
                <w:szCs w:val="20"/>
                <w:color w:val="auto"/>
              </w:rPr>
            </w:pPr>
            <w:r>
              <w:rPr>
                <w:rFonts w:ascii="Arial" w:cs="Arial" w:eastAsia="Arial" w:hAnsi="Arial"/>
                <w:sz w:val="17"/>
                <w:szCs w:val="17"/>
                <w:color w:val="auto"/>
              </w:rPr>
              <w:t>Cost of subscription revenues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19,141</w:t>
            </w:r>
          </w:p>
        </w:tc>
        <w:tc>
          <w:tcPr>
            <w:tcW w:w="62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36"/>
              <w:spacing w:after="0"/>
              <w:rPr>
                <w:sz w:val="20"/>
                <w:szCs w:val="20"/>
                <w:color w:val="auto"/>
              </w:rPr>
            </w:pPr>
            <w:r>
              <w:rPr>
                <w:rFonts w:ascii="Arial" w:cs="Arial" w:eastAsia="Arial" w:hAnsi="Arial"/>
                <w:sz w:val="17"/>
                <w:szCs w:val="17"/>
                <w:color w:val="auto"/>
              </w:rPr>
              <w:t>24,025</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4,884</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Cost of professional services revenues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20,017</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2,615</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Total cost of revenues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39,158</w:t>
            </w:r>
          </w:p>
        </w:tc>
        <w:tc>
          <w:tcPr>
            <w:tcW w:w="62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36"/>
              <w:spacing w:after="0"/>
              <w:rPr>
                <w:sz w:val="20"/>
                <w:szCs w:val="20"/>
                <w:color w:val="auto"/>
              </w:rPr>
            </w:pPr>
            <w:r>
              <w:rPr>
                <w:rFonts w:ascii="Arial" w:cs="Arial" w:eastAsia="Arial" w:hAnsi="Arial"/>
                <w:sz w:val="17"/>
                <w:szCs w:val="17"/>
                <w:color w:val="auto"/>
              </w:rPr>
              <w:t>46,657</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7,499</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3380" w:type="dxa"/>
            <w:vAlign w:val="bottom"/>
            <w:shd w:val="clear" w:color="auto" w:fill="CCEEFF"/>
          </w:tcPr>
          <w:p>
            <w:pPr>
              <w:spacing w:after="0"/>
              <w:rPr>
                <w:sz w:val="16"/>
                <w:szCs w:val="16"/>
                <w:color w:val="auto"/>
              </w:rPr>
            </w:pPr>
          </w:p>
        </w:tc>
        <w:tc>
          <w:tcPr>
            <w:tcW w:w="3520" w:type="dxa"/>
            <w:vAlign w:val="bottom"/>
            <w:shd w:val="clear" w:color="auto" w:fill="CCEEFF"/>
          </w:tcPr>
          <w:p>
            <w:pPr>
              <w:spacing w:after="0"/>
              <w:rPr>
                <w:sz w:val="16"/>
                <w:szCs w:val="16"/>
                <w:color w:val="auto"/>
              </w:rPr>
            </w:pPr>
          </w:p>
        </w:tc>
      </w:tr>
      <w:tr>
        <w:trPr>
          <w:trHeight w:val="201"/>
        </w:trPr>
        <w:tc>
          <w:tcPr>
            <w:tcW w:w="4340" w:type="dxa"/>
            <w:vAlign w:val="bottom"/>
          </w:tcPr>
          <w:p>
            <w:pPr>
              <w:ind w:left="400"/>
              <w:spacing w:after="0"/>
              <w:rPr>
                <w:sz w:val="20"/>
                <w:szCs w:val="20"/>
                <w:color w:val="auto"/>
              </w:rPr>
            </w:pPr>
            <w:r>
              <w:rPr>
                <w:rFonts w:ascii="Arial" w:cs="Arial" w:eastAsia="Arial" w:hAnsi="Arial"/>
                <w:sz w:val="17"/>
                <w:szCs w:val="17"/>
                <w:color w:val="auto"/>
              </w:rPr>
              <w:t>Subscription</w:t>
            </w:r>
          </w:p>
        </w:tc>
        <w:tc>
          <w:tcPr>
            <w:tcW w:w="3380" w:type="dxa"/>
            <w:vAlign w:val="bottom"/>
          </w:tcPr>
          <w:p>
            <w:pPr>
              <w:jc w:val="right"/>
              <w:ind w:right="416"/>
              <w:spacing w:after="0"/>
              <w:rPr>
                <w:sz w:val="20"/>
                <w:szCs w:val="20"/>
                <w:color w:val="auto"/>
              </w:rPr>
            </w:pPr>
            <w:r>
              <w:rPr>
                <w:rFonts w:ascii="Arial" w:cs="Arial" w:eastAsia="Arial" w:hAnsi="Arial"/>
                <w:sz w:val="17"/>
                <w:szCs w:val="17"/>
                <w:color w:val="auto"/>
              </w:rPr>
              <w:t>85%</w:t>
            </w:r>
          </w:p>
        </w:tc>
        <w:tc>
          <w:tcPr>
            <w:tcW w:w="3520" w:type="dxa"/>
            <w:vAlign w:val="bottom"/>
          </w:tcPr>
          <w:p>
            <w:pPr>
              <w:jc w:val="right"/>
              <w:ind w:right="2576"/>
              <w:spacing w:after="0"/>
              <w:rPr>
                <w:sz w:val="20"/>
                <w:szCs w:val="20"/>
                <w:color w:val="auto"/>
              </w:rPr>
            </w:pPr>
            <w:r>
              <w:rPr>
                <w:rFonts w:ascii="Arial" w:cs="Arial" w:eastAsia="Arial" w:hAnsi="Arial"/>
                <w:sz w:val="17"/>
                <w:szCs w:val="17"/>
                <w:color w:val="auto"/>
              </w:rPr>
              <w:t>86%</w:t>
            </w:r>
          </w:p>
        </w:tc>
      </w:tr>
      <w:tr>
        <w:trPr>
          <w:trHeight w:val="201"/>
        </w:trPr>
        <w:tc>
          <w:tcPr>
            <w:tcW w:w="43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Professional services</w:t>
            </w:r>
          </w:p>
        </w:tc>
        <w:tc>
          <w:tcPr>
            <w:tcW w:w="3380" w:type="dxa"/>
            <w:vAlign w:val="bottom"/>
            <w:shd w:val="clear" w:color="auto" w:fill="CCEEFF"/>
          </w:tcPr>
          <w:p>
            <w:pPr>
              <w:jc w:val="right"/>
              <w:ind w:right="496"/>
              <w:spacing w:after="0"/>
              <w:rPr>
                <w:sz w:val="20"/>
                <w:szCs w:val="20"/>
                <w:color w:val="auto"/>
              </w:rPr>
            </w:pPr>
            <w:r>
              <w:rPr>
                <w:rFonts w:ascii="Arial" w:cs="Arial" w:eastAsia="Arial" w:hAnsi="Arial"/>
                <w:sz w:val="17"/>
                <w:szCs w:val="17"/>
                <w:color w:val="auto"/>
              </w:rPr>
              <w:t>(11)</w:t>
            </w:r>
          </w:p>
        </w:tc>
        <w:tc>
          <w:tcPr>
            <w:tcW w:w="3520" w:type="dxa"/>
            <w:vAlign w:val="bottom"/>
            <w:shd w:val="clear" w:color="auto" w:fill="CCEEFF"/>
          </w:tcPr>
          <w:p>
            <w:pPr>
              <w:jc w:val="right"/>
              <w:ind w:right="2656"/>
              <w:spacing w:after="0"/>
              <w:rPr>
                <w:sz w:val="20"/>
                <w:szCs w:val="20"/>
                <w:color w:val="auto"/>
              </w:rPr>
            </w:pPr>
            <w:r>
              <w:rPr>
                <w:rFonts w:ascii="Arial" w:cs="Arial" w:eastAsia="Arial" w:hAnsi="Arial"/>
                <w:sz w:val="17"/>
                <w:szCs w:val="17"/>
                <w:color w:val="auto"/>
              </w:rPr>
              <w:t>(26)</w:t>
            </w:r>
          </w:p>
        </w:tc>
      </w:tr>
      <w:tr>
        <w:trPr>
          <w:trHeight w:val="213"/>
        </w:trPr>
        <w:tc>
          <w:tcPr>
            <w:tcW w:w="4340" w:type="dxa"/>
            <w:vAlign w:val="bottom"/>
          </w:tcPr>
          <w:p>
            <w:pPr>
              <w:spacing w:after="0"/>
              <w:rPr>
                <w:sz w:val="20"/>
                <w:szCs w:val="20"/>
                <w:color w:val="auto"/>
              </w:rPr>
            </w:pPr>
            <w:r>
              <w:rPr>
                <w:rFonts w:ascii="Arial" w:cs="Arial" w:eastAsia="Arial" w:hAnsi="Arial"/>
                <w:sz w:val="17"/>
                <w:szCs w:val="17"/>
                <w:color w:val="auto"/>
              </w:rPr>
              <w:t>Total gross margin</w:t>
            </w:r>
          </w:p>
        </w:tc>
        <w:tc>
          <w:tcPr>
            <w:tcW w:w="3380" w:type="dxa"/>
            <w:vAlign w:val="bottom"/>
          </w:tcPr>
          <w:p>
            <w:pPr>
              <w:jc w:val="right"/>
              <w:ind w:right="416"/>
              <w:spacing w:after="0"/>
              <w:rPr>
                <w:sz w:val="20"/>
                <w:szCs w:val="20"/>
                <w:color w:val="auto"/>
              </w:rPr>
            </w:pPr>
            <w:r>
              <w:rPr>
                <w:rFonts w:ascii="Arial" w:cs="Arial" w:eastAsia="Arial" w:hAnsi="Arial"/>
                <w:sz w:val="17"/>
                <w:szCs w:val="17"/>
                <w:color w:val="auto"/>
              </w:rPr>
              <w:t>74%</w:t>
            </w:r>
          </w:p>
        </w:tc>
        <w:tc>
          <w:tcPr>
            <w:tcW w:w="3520" w:type="dxa"/>
            <w:vAlign w:val="bottom"/>
          </w:tcPr>
          <w:p>
            <w:pPr>
              <w:jc w:val="right"/>
              <w:ind w:right="2576"/>
              <w:spacing w:after="0"/>
              <w:rPr>
                <w:sz w:val="20"/>
                <w:szCs w:val="20"/>
                <w:color w:val="auto"/>
              </w:rPr>
            </w:pPr>
            <w:r>
              <w:rPr>
                <w:rFonts w:ascii="Arial" w:cs="Arial" w:eastAsia="Arial" w:hAnsi="Arial"/>
                <w:sz w:val="17"/>
                <w:szCs w:val="17"/>
                <w:color w:val="auto"/>
              </w:rPr>
              <w:t>76%</w:t>
            </w:r>
          </w:p>
        </w:tc>
      </w:tr>
    </w:tbl>
    <w:p>
      <w:pPr>
        <w:spacing w:after="0" w:line="176"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Cost of Subscription Revenues</w:t>
      </w:r>
    </w:p>
    <w:p>
      <w:pPr>
        <w:spacing w:after="0" w:line="206" w:lineRule="exact"/>
        <w:rPr>
          <w:sz w:val="20"/>
          <w:szCs w:val="20"/>
          <w:color w:val="auto"/>
        </w:rPr>
      </w:pPr>
    </w:p>
    <w:p>
      <w:pPr>
        <w:jc w:val="both"/>
        <w:ind w:right="140" w:firstLine="410"/>
        <w:spacing w:after="0" w:line="253" w:lineRule="auto"/>
        <w:rPr>
          <w:sz w:val="20"/>
          <w:szCs w:val="20"/>
          <w:color w:val="auto"/>
        </w:rPr>
      </w:pPr>
      <w:r>
        <w:rPr>
          <w:rFonts w:ascii="Arial" w:cs="Arial" w:eastAsia="Arial" w:hAnsi="Arial"/>
          <w:sz w:val="17"/>
          <w:szCs w:val="17"/>
          <w:color w:val="auto"/>
        </w:rPr>
        <w:t>Cost of subscription revenues increased by $4.9 million, or 26%, to $24.0 million for the year ended December 31, 2021 compared to $19.1 million for the year ended December 31, 2020. This increase was primarily attributable to an increase of $2.9 million in third-party cloud hosting costs, $1.9 million in employee-related costs as a result of increased headcount, $0.5 million in share-based compensation expense partially offset by a $0.4 million decrease in allocated overhead and other costs.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Margin—Subscription</w:t>
      </w:r>
    </w:p>
    <w:p>
      <w:pPr>
        <w:spacing w:after="0" w:line="206" w:lineRule="exact"/>
        <w:rPr>
          <w:sz w:val="20"/>
          <w:szCs w:val="20"/>
          <w:color w:val="auto"/>
        </w:rPr>
      </w:pPr>
    </w:p>
    <w:p>
      <w:pPr>
        <w:ind w:right="200" w:firstLine="410"/>
        <w:spacing w:after="0" w:line="257" w:lineRule="auto"/>
        <w:rPr>
          <w:sz w:val="20"/>
          <w:szCs w:val="20"/>
          <w:color w:val="auto"/>
        </w:rPr>
      </w:pPr>
      <w:r>
        <w:rPr>
          <w:rFonts w:ascii="Arial" w:cs="Arial" w:eastAsia="Arial" w:hAnsi="Arial"/>
          <w:sz w:val="17"/>
          <w:szCs w:val="17"/>
          <w:color w:val="auto"/>
        </w:rPr>
        <w:t>Our gross margin for subscription revenue remained substantially consistent during the year ended December 31, 2021, compared to the year ended December 31, 2020. While our gross margins for subscription revenue may fluctuate in the near-term as we invest in our growth, we expect our subscription revenue gross margin to improve over the long-term as we achieve additional economies of scale.</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Cost of Professional Services Revenues</w:t>
      </w:r>
    </w:p>
    <w:p>
      <w:pPr>
        <w:spacing w:after="0" w:line="206" w:lineRule="exact"/>
        <w:rPr>
          <w:sz w:val="20"/>
          <w:szCs w:val="20"/>
          <w:color w:val="auto"/>
        </w:rPr>
      </w:pPr>
    </w:p>
    <w:p>
      <w:pPr>
        <w:ind w:right="80" w:firstLine="410"/>
        <w:spacing w:after="0" w:line="253" w:lineRule="auto"/>
        <w:rPr>
          <w:sz w:val="20"/>
          <w:szCs w:val="20"/>
          <w:color w:val="auto"/>
        </w:rPr>
      </w:pPr>
      <w:r>
        <w:rPr>
          <w:rFonts w:ascii="Arial" w:cs="Arial" w:eastAsia="Arial" w:hAnsi="Arial"/>
          <w:sz w:val="17"/>
          <w:szCs w:val="17"/>
          <w:color w:val="auto"/>
        </w:rPr>
        <w:t>Cost of professional services revenues increased by $2.6 million, or 13%, to $22.6 million for the year ended December 31, 2021 compared to $20.0 million for the year ended December 31, 2020. This increase was primarily attributable to an increase of $1.5 million in employee-related costs as a result of increased headcount, $1.1 million in share-based compensation expense, $1.0 million in outsourcing and professional service fees partially offset by a $1.0 million decrease in allocated overhead and other costs.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5" w:name="page86"/>
    <w:bookmarkEnd w:id="85"/>
    <w:p>
      <w:pPr>
        <w:ind w:left="420"/>
        <w:spacing w:after="0"/>
        <w:rPr>
          <w:sz w:val="20"/>
          <w:szCs w:val="20"/>
          <w:color w:val="auto"/>
        </w:rPr>
      </w:pPr>
      <w:r>
        <w:rPr>
          <w:rFonts w:ascii="Arial" w:cs="Arial" w:eastAsia="Arial" w:hAnsi="Arial"/>
          <w:sz w:val="17"/>
          <w:szCs w:val="17"/>
          <w:i w:val="1"/>
          <w:iCs w:val="1"/>
          <w:color w:val="auto"/>
        </w:rPr>
        <w:t>Gross Margin—Professional Services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gross margin for professional services revenue decreased primarily due to our continuing investment in our professional services organization.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60" w:type="dxa"/>
            <w:vAlign w:val="bottom"/>
          </w:tcPr>
          <w:p>
            <w:pPr>
              <w:ind w:left="860"/>
              <w:spacing w:after="0"/>
              <w:rPr>
                <w:sz w:val="20"/>
                <w:szCs w:val="20"/>
                <w:color w:val="auto"/>
              </w:rPr>
            </w:pPr>
            <w:r>
              <w:rPr>
                <w:rFonts w:ascii="Arial" w:cs="Arial" w:eastAsia="Arial" w:hAnsi="Arial"/>
                <w:sz w:val="17"/>
                <w:szCs w:val="17"/>
                <w:b w:val="1"/>
                <w:bCs w:val="1"/>
                <w:i w:val="1"/>
                <w:iCs w:val="1"/>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02"/>
        </w:trPr>
        <w:tc>
          <w:tcPr>
            <w:tcW w:w="5960" w:type="dxa"/>
            <w:vAlign w:val="bottom"/>
          </w:tcPr>
          <w:p>
            <w:pPr>
              <w:ind w:left="860"/>
              <w:spacing w:after="0"/>
              <w:rPr>
                <w:sz w:val="20"/>
                <w:szCs w:val="20"/>
                <w:color w:val="auto"/>
              </w:rPr>
            </w:pPr>
            <w:r>
              <w:rPr>
                <w:rFonts w:ascii="Arial" w:cs="Arial" w:eastAsia="Arial" w:hAnsi="Arial"/>
                <w:sz w:val="17"/>
                <w:szCs w:val="17"/>
                <w:i w:val="1"/>
                <w:iCs w:val="1"/>
                <w:color w:val="auto"/>
              </w:rPr>
              <w:t>Research and Development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5"/>
        </w:trPr>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4"/>
          </w:tcPr>
          <w:p>
            <w:pPr>
              <w:jc w:val="center"/>
              <w:ind w:left="416"/>
              <w:spacing w:after="0"/>
              <w:rPr>
                <w:sz w:val="20"/>
                <w:szCs w:val="20"/>
                <w:color w:val="auto"/>
              </w:rPr>
            </w:pPr>
            <w:r>
              <w:rPr>
                <w:rFonts w:ascii="Arial" w:cs="Arial" w:eastAsia="Arial" w:hAnsi="Arial"/>
                <w:sz w:val="17"/>
                <w:szCs w:val="17"/>
                <w:b w:val="1"/>
                <w:bCs w:val="1"/>
                <w:color w:val="auto"/>
                <w:w w:val="89"/>
              </w:rPr>
              <w:t>Year Ended</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4"/>
          </w:tcPr>
          <w:p>
            <w:pPr>
              <w:jc w:val="center"/>
              <w:ind w:right="340"/>
              <w:spacing w:after="0"/>
              <w:rPr>
                <w:sz w:val="20"/>
                <w:szCs w:val="20"/>
                <w:color w:val="auto"/>
              </w:rPr>
            </w:pPr>
            <w:r>
              <w:rPr>
                <w:rFonts w:ascii="Arial" w:cs="Arial" w:eastAsia="Arial" w:hAnsi="Arial"/>
                <w:sz w:val="17"/>
                <w:szCs w:val="17"/>
                <w:b w:val="1"/>
                <w:bCs w:val="1"/>
                <w:color w:val="auto"/>
                <w:w w:val="90"/>
              </w:rPr>
              <w:t>Period-over-Period</w:t>
            </w:r>
          </w:p>
        </w:tc>
      </w:tr>
      <w:tr>
        <w:trPr>
          <w:trHeight w:val="222"/>
        </w:trPr>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4"/>
          </w:tcPr>
          <w:p>
            <w:pPr>
              <w:jc w:val="center"/>
              <w:ind w:left="436"/>
              <w:spacing w:after="0"/>
              <w:rPr>
                <w:sz w:val="20"/>
                <w:szCs w:val="20"/>
                <w:color w:val="auto"/>
              </w:rPr>
            </w:pPr>
            <w:r>
              <w:rPr>
                <w:rFonts w:ascii="Arial" w:cs="Arial" w:eastAsia="Arial" w:hAnsi="Arial"/>
                <w:sz w:val="17"/>
                <w:szCs w:val="17"/>
                <w:b w:val="1"/>
                <w:bCs w:val="1"/>
                <w:color w:val="auto"/>
                <w:w w:val="88"/>
              </w:rPr>
              <w:t>December 31,</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4"/>
          </w:tcPr>
          <w:p>
            <w:pPr>
              <w:jc w:val="center"/>
              <w:ind w:right="340"/>
              <w:spacing w:after="0"/>
              <w:rPr>
                <w:sz w:val="20"/>
                <w:szCs w:val="20"/>
                <w:color w:val="auto"/>
              </w:rPr>
            </w:pPr>
            <w:r>
              <w:rPr>
                <w:rFonts w:ascii="Arial" w:cs="Arial" w:eastAsia="Arial" w:hAnsi="Arial"/>
                <w:sz w:val="17"/>
                <w:szCs w:val="17"/>
                <w:b w:val="1"/>
                <w:bCs w:val="1"/>
                <w:color w:val="auto"/>
                <w:w w:val="86"/>
              </w:rPr>
              <w:t>Change</w:t>
            </w:r>
          </w:p>
        </w:tc>
      </w:tr>
      <w:tr>
        <w:trPr>
          <w:trHeight w:val="206"/>
        </w:trPr>
        <w:tc>
          <w:tcPr>
            <w:tcW w:w="59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w w:val="89"/>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Dollar</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b w:val="1"/>
                <w:bCs w:val="1"/>
                <w:color w:val="auto"/>
              </w:rPr>
              <w:t>Percentage</w:t>
            </w:r>
          </w:p>
        </w:tc>
        <w:tc>
          <w:tcPr>
            <w:tcW w:w="140" w:type="dxa"/>
            <w:vAlign w:val="bottom"/>
          </w:tcPr>
          <w:p>
            <w:pPr>
              <w:spacing w:after="0"/>
              <w:rPr>
                <w:sz w:val="17"/>
                <w:szCs w:val="17"/>
                <w:color w:val="auto"/>
              </w:rPr>
            </w:pPr>
          </w:p>
        </w:tc>
      </w:tr>
      <w:tr>
        <w:trPr>
          <w:trHeight w:val="201"/>
        </w:trPr>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w w:val="94"/>
              </w:rPr>
              <w:t>(in thousands,</w:t>
            </w:r>
          </w:p>
        </w:tc>
        <w:tc>
          <w:tcPr>
            <w:tcW w:w="1360" w:type="dxa"/>
            <w:vAlign w:val="bottom"/>
            <w:gridSpan w:val="4"/>
          </w:tcPr>
          <w:p>
            <w:pPr>
              <w:jc w:val="right"/>
              <w:spacing w:after="0"/>
              <w:rPr>
                <w:sz w:val="20"/>
                <w:szCs w:val="20"/>
                <w:color w:val="auto"/>
              </w:rPr>
            </w:pPr>
            <w:r>
              <w:rPr>
                <w:rFonts w:ascii="Arial" w:cs="Arial" w:eastAsia="Arial" w:hAnsi="Arial"/>
                <w:sz w:val="17"/>
                <w:szCs w:val="17"/>
                <w:b w:val="1"/>
                <w:bCs w:val="1"/>
                <w:color w:val="auto"/>
                <w:w w:val="79"/>
              </w:rPr>
              <w:t>except percentages)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31,560</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48,160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16,600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w:t>
            </w:r>
          </w:p>
        </w:tc>
      </w:tr>
    </w:tbl>
    <w:p>
      <w:pPr>
        <w:spacing w:after="0" w:line="188" w:lineRule="exact"/>
        <w:rPr>
          <w:sz w:val="20"/>
          <w:szCs w:val="20"/>
          <w:color w:val="auto"/>
        </w:rPr>
      </w:pPr>
    </w:p>
    <w:p>
      <w:pPr>
        <w:ind w:firstLine="410"/>
        <w:spacing w:after="0" w:line="298" w:lineRule="auto"/>
        <w:rPr>
          <w:sz w:val="20"/>
          <w:szCs w:val="20"/>
          <w:color w:val="auto"/>
        </w:rPr>
      </w:pPr>
      <w:r>
        <w:rPr>
          <w:rFonts w:ascii="Arial" w:cs="Arial" w:eastAsia="Arial" w:hAnsi="Arial"/>
          <w:sz w:val="15"/>
          <w:szCs w:val="15"/>
          <w:color w:val="auto"/>
        </w:rPr>
        <w:t>Research and development expenses increased by $16.6 million, or 53%, to $48.2 million for the year ended December 31, 2021 compared to $31.6 million for the year ended December 31, 2020. The increase was primarily attributable to an increase of $11.9 million in employee-related costs as a result of increased headcount, $2.3 million in share-based compensation expense, $2.1 million in outsourcing and professional service fees, $1.1 million in hosting, $1.1 million in allocated overhead costs and $0.5 million in other expenses. These increases were partially offset by a $2.4 million increase in capitalization of software development costs.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60" w:type="dxa"/>
            <w:vAlign w:val="bottom"/>
          </w:tcPr>
          <w:p>
            <w:pPr>
              <w:ind w:left="860"/>
              <w:spacing w:after="0"/>
              <w:rPr>
                <w:sz w:val="20"/>
                <w:szCs w:val="20"/>
                <w:color w:val="auto"/>
              </w:rPr>
            </w:pPr>
            <w:r>
              <w:rPr>
                <w:rFonts w:ascii="Arial" w:cs="Arial" w:eastAsia="Arial" w:hAnsi="Arial"/>
                <w:sz w:val="17"/>
                <w:szCs w:val="17"/>
                <w:i w:val="1"/>
                <w:iCs w:val="1"/>
                <w:color w:val="auto"/>
              </w:rPr>
              <w:t>Sales and Marketing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85"/>
        </w:trPr>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4"/>
          </w:tcPr>
          <w:p>
            <w:pPr>
              <w:jc w:val="center"/>
              <w:ind w:left="416"/>
              <w:spacing w:after="0"/>
              <w:rPr>
                <w:sz w:val="20"/>
                <w:szCs w:val="20"/>
                <w:color w:val="auto"/>
              </w:rPr>
            </w:pPr>
            <w:r>
              <w:rPr>
                <w:rFonts w:ascii="Arial" w:cs="Arial" w:eastAsia="Arial" w:hAnsi="Arial"/>
                <w:sz w:val="17"/>
                <w:szCs w:val="17"/>
                <w:b w:val="1"/>
                <w:bCs w:val="1"/>
                <w:color w:val="auto"/>
                <w:w w:val="89"/>
              </w:rPr>
              <w:t>Year Ended</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4"/>
          </w:tcPr>
          <w:p>
            <w:pPr>
              <w:jc w:val="center"/>
              <w:ind w:right="340"/>
              <w:spacing w:after="0"/>
              <w:rPr>
                <w:sz w:val="20"/>
                <w:szCs w:val="20"/>
                <w:color w:val="auto"/>
              </w:rPr>
            </w:pPr>
            <w:r>
              <w:rPr>
                <w:rFonts w:ascii="Arial" w:cs="Arial" w:eastAsia="Arial" w:hAnsi="Arial"/>
                <w:sz w:val="17"/>
                <w:szCs w:val="17"/>
                <w:b w:val="1"/>
                <w:bCs w:val="1"/>
                <w:color w:val="auto"/>
                <w:w w:val="90"/>
              </w:rPr>
              <w:t>Period-over-Period</w:t>
            </w:r>
          </w:p>
        </w:tc>
      </w:tr>
      <w:tr>
        <w:trPr>
          <w:trHeight w:val="222"/>
        </w:trPr>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4"/>
          </w:tcPr>
          <w:p>
            <w:pPr>
              <w:jc w:val="center"/>
              <w:ind w:left="436"/>
              <w:spacing w:after="0"/>
              <w:rPr>
                <w:sz w:val="20"/>
                <w:szCs w:val="20"/>
                <w:color w:val="auto"/>
              </w:rPr>
            </w:pPr>
            <w:r>
              <w:rPr>
                <w:rFonts w:ascii="Arial" w:cs="Arial" w:eastAsia="Arial" w:hAnsi="Arial"/>
                <w:sz w:val="17"/>
                <w:szCs w:val="17"/>
                <w:b w:val="1"/>
                <w:bCs w:val="1"/>
                <w:color w:val="auto"/>
                <w:w w:val="88"/>
              </w:rPr>
              <w:t>December 31,</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4"/>
          </w:tcPr>
          <w:p>
            <w:pPr>
              <w:jc w:val="center"/>
              <w:ind w:right="340"/>
              <w:spacing w:after="0"/>
              <w:rPr>
                <w:sz w:val="20"/>
                <w:szCs w:val="20"/>
                <w:color w:val="auto"/>
              </w:rPr>
            </w:pPr>
            <w:r>
              <w:rPr>
                <w:rFonts w:ascii="Arial" w:cs="Arial" w:eastAsia="Arial" w:hAnsi="Arial"/>
                <w:sz w:val="17"/>
                <w:szCs w:val="17"/>
                <w:b w:val="1"/>
                <w:bCs w:val="1"/>
                <w:color w:val="auto"/>
                <w:w w:val="86"/>
              </w:rPr>
              <w:t>Change</w:t>
            </w:r>
          </w:p>
        </w:tc>
      </w:tr>
      <w:tr>
        <w:trPr>
          <w:trHeight w:val="206"/>
        </w:trPr>
        <w:tc>
          <w:tcPr>
            <w:tcW w:w="59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w w:val="89"/>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Dollar</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b w:val="1"/>
                <w:bCs w:val="1"/>
                <w:color w:val="auto"/>
              </w:rPr>
              <w:t>Percentage</w:t>
            </w:r>
          </w:p>
        </w:tc>
        <w:tc>
          <w:tcPr>
            <w:tcW w:w="140" w:type="dxa"/>
            <w:vAlign w:val="bottom"/>
          </w:tcPr>
          <w:p>
            <w:pPr>
              <w:spacing w:after="0"/>
              <w:rPr>
                <w:sz w:val="17"/>
                <w:szCs w:val="17"/>
                <w:color w:val="auto"/>
              </w:rPr>
            </w:pPr>
          </w:p>
        </w:tc>
      </w:tr>
      <w:tr>
        <w:trPr>
          <w:trHeight w:val="201"/>
        </w:trPr>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w w:val="94"/>
              </w:rPr>
              <w:t>(in thousands,</w:t>
            </w:r>
          </w:p>
        </w:tc>
        <w:tc>
          <w:tcPr>
            <w:tcW w:w="1360" w:type="dxa"/>
            <w:vAlign w:val="bottom"/>
            <w:gridSpan w:val="4"/>
          </w:tcPr>
          <w:p>
            <w:pPr>
              <w:jc w:val="right"/>
              <w:spacing w:after="0"/>
              <w:rPr>
                <w:sz w:val="20"/>
                <w:szCs w:val="20"/>
                <w:color w:val="auto"/>
              </w:rPr>
            </w:pPr>
            <w:r>
              <w:rPr>
                <w:rFonts w:ascii="Arial" w:cs="Arial" w:eastAsia="Arial" w:hAnsi="Arial"/>
                <w:sz w:val="17"/>
                <w:szCs w:val="17"/>
                <w:b w:val="1"/>
                <w:bCs w:val="1"/>
                <w:color w:val="auto"/>
                <w:w w:val="79"/>
              </w:rPr>
              <w:t>except percentages)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87,208</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127,719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40,511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r>
    </w:tbl>
    <w:p>
      <w:pPr>
        <w:spacing w:after="0" w:line="188" w:lineRule="exact"/>
        <w:rPr>
          <w:sz w:val="20"/>
          <w:szCs w:val="20"/>
          <w:color w:val="auto"/>
        </w:rPr>
      </w:pPr>
    </w:p>
    <w:p>
      <w:pPr>
        <w:ind w:right="120" w:firstLine="410"/>
        <w:spacing w:after="0" w:line="251" w:lineRule="auto"/>
        <w:rPr>
          <w:sz w:val="20"/>
          <w:szCs w:val="20"/>
          <w:color w:val="auto"/>
        </w:rPr>
      </w:pPr>
      <w:r>
        <w:rPr>
          <w:rFonts w:ascii="Arial" w:cs="Arial" w:eastAsia="Arial" w:hAnsi="Arial"/>
          <w:sz w:val="17"/>
          <w:szCs w:val="17"/>
          <w:color w:val="auto"/>
        </w:rPr>
        <w:t>Sales and marketing expenses increased by $40.5 million, or 46%, to $127.7 million for the year ended December 31, 2021 compared to $87.2 million for the year ended December 31, 2020. The increase in sales and marketing expenses was primarily attributable to an increase of $44.2 million in employee-related costs as a result of increased headcount and variable compensation for our sales personnel, $7.1 million in share-based compensation expense, $5.9 million in marketing programs and $1.0 million in allocated overhead and other sales and marketing costs. These increases were partially offset by a $17.7 million increase in deferred contract acquisition costs driven by an increase in total sales.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60" w:type="dxa"/>
            <w:vAlign w:val="bottom"/>
          </w:tcPr>
          <w:p>
            <w:pPr>
              <w:ind w:left="860"/>
              <w:spacing w:after="0"/>
              <w:rPr>
                <w:sz w:val="20"/>
                <w:szCs w:val="20"/>
                <w:color w:val="auto"/>
              </w:rPr>
            </w:pPr>
            <w:r>
              <w:rPr>
                <w:rFonts w:ascii="Arial" w:cs="Arial" w:eastAsia="Arial" w:hAnsi="Arial"/>
                <w:sz w:val="17"/>
                <w:szCs w:val="17"/>
                <w:i w:val="1"/>
                <w:iCs w:val="1"/>
                <w:color w:val="auto"/>
              </w:rPr>
              <w:t>General and Administrative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85"/>
        </w:trPr>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4"/>
          </w:tcPr>
          <w:p>
            <w:pPr>
              <w:jc w:val="center"/>
              <w:ind w:left="416"/>
              <w:spacing w:after="0"/>
              <w:rPr>
                <w:sz w:val="20"/>
                <w:szCs w:val="20"/>
                <w:color w:val="auto"/>
              </w:rPr>
            </w:pPr>
            <w:r>
              <w:rPr>
                <w:rFonts w:ascii="Arial" w:cs="Arial" w:eastAsia="Arial" w:hAnsi="Arial"/>
                <w:sz w:val="17"/>
                <w:szCs w:val="17"/>
                <w:b w:val="1"/>
                <w:bCs w:val="1"/>
                <w:color w:val="auto"/>
                <w:w w:val="89"/>
              </w:rPr>
              <w:t>Year Ended</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4"/>
          </w:tcPr>
          <w:p>
            <w:pPr>
              <w:jc w:val="center"/>
              <w:ind w:right="340"/>
              <w:spacing w:after="0"/>
              <w:rPr>
                <w:sz w:val="20"/>
                <w:szCs w:val="20"/>
                <w:color w:val="auto"/>
              </w:rPr>
            </w:pPr>
            <w:r>
              <w:rPr>
                <w:rFonts w:ascii="Arial" w:cs="Arial" w:eastAsia="Arial" w:hAnsi="Arial"/>
                <w:sz w:val="17"/>
                <w:szCs w:val="17"/>
                <w:b w:val="1"/>
                <w:bCs w:val="1"/>
                <w:color w:val="auto"/>
                <w:w w:val="90"/>
              </w:rPr>
              <w:t>Period-over-Period</w:t>
            </w:r>
          </w:p>
        </w:tc>
      </w:tr>
      <w:tr>
        <w:trPr>
          <w:trHeight w:val="222"/>
        </w:trPr>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4"/>
          </w:tcPr>
          <w:p>
            <w:pPr>
              <w:jc w:val="center"/>
              <w:ind w:left="436"/>
              <w:spacing w:after="0"/>
              <w:rPr>
                <w:sz w:val="20"/>
                <w:szCs w:val="20"/>
                <w:color w:val="auto"/>
              </w:rPr>
            </w:pPr>
            <w:r>
              <w:rPr>
                <w:rFonts w:ascii="Arial" w:cs="Arial" w:eastAsia="Arial" w:hAnsi="Arial"/>
                <w:sz w:val="17"/>
                <w:szCs w:val="17"/>
                <w:b w:val="1"/>
                <w:bCs w:val="1"/>
                <w:color w:val="auto"/>
                <w:w w:val="88"/>
              </w:rPr>
              <w:t>December 31,</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4"/>
          </w:tcPr>
          <w:p>
            <w:pPr>
              <w:jc w:val="center"/>
              <w:ind w:right="340"/>
              <w:spacing w:after="0"/>
              <w:rPr>
                <w:sz w:val="20"/>
                <w:szCs w:val="20"/>
                <w:color w:val="auto"/>
              </w:rPr>
            </w:pPr>
            <w:r>
              <w:rPr>
                <w:rFonts w:ascii="Arial" w:cs="Arial" w:eastAsia="Arial" w:hAnsi="Arial"/>
                <w:sz w:val="17"/>
                <w:szCs w:val="17"/>
                <w:b w:val="1"/>
                <w:bCs w:val="1"/>
                <w:color w:val="auto"/>
                <w:w w:val="86"/>
              </w:rPr>
              <w:t>Change</w:t>
            </w:r>
          </w:p>
        </w:tc>
      </w:tr>
      <w:tr>
        <w:trPr>
          <w:trHeight w:val="206"/>
        </w:trPr>
        <w:tc>
          <w:tcPr>
            <w:tcW w:w="59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w w:val="89"/>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Dollar</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b w:val="1"/>
                <w:bCs w:val="1"/>
                <w:color w:val="auto"/>
              </w:rPr>
              <w:t>Percentage</w:t>
            </w:r>
          </w:p>
        </w:tc>
        <w:tc>
          <w:tcPr>
            <w:tcW w:w="140" w:type="dxa"/>
            <w:vAlign w:val="bottom"/>
          </w:tcPr>
          <w:p>
            <w:pPr>
              <w:spacing w:after="0"/>
              <w:rPr>
                <w:sz w:val="17"/>
                <w:szCs w:val="17"/>
                <w:color w:val="auto"/>
              </w:rPr>
            </w:pPr>
          </w:p>
        </w:tc>
      </w:tr>
      <w:tr>
        <w:trPr>
          <w:trHeight w:val="201"/>
        </w:trPr>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w w:val="94"/>
              </w:rPr>
              <w:t>(in thousands,</w:t>
            </w:r>
          </w:p>
        </w:tc>
        <w:tc>
          <w:tcPr>
            <w:tcW w:w="1360" w:type="dxa"/>
            <w:vAlign w:val="bottom"/>
            <w:gridSpan w:val="4"/>
          </w:tcPr>
          <w:p>
            <w:pPr>
              <w:jc w:val="right"/>
              <w:spacing w:after="0"/>
              <w:rPr>
                <w:sz w:val="20"/>
                <w:szCs w:val="20"/>
                <w:color w:val="auto"/>
              </w:rPr>
            </w:pPr>
            <w:r>
              <w:rPr>
                <w:rFonts w:ascii="Arial" w:cs="Arial" w:eastAsia="Arial" w:hAnsi="Arial"/>
                <w:sz w:val="17"/>
                <w:szCs w:val="17"/>
                <w:b w:val="1"/>
                <w:bCs w:val="1"/>
                <w:color w:val="auto"/>
                <w:w w:val="79"/>
              </w:rPr>
              <w:t>except percentages)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33,541</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48,557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15,016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w:t>
            </w:r>
          </w:p>
        </w:tc>
      </w:tr>
    </w:tbl>
    <w:p>
      <w:pPr>
        <w:spacing w:after="0" w:line="188" w:lineRule="exact"/>
        <w:rPr>
          <w:sz w:val="20"/>
          <w:szCs w:val="20"/>
          <w:color w:val="auto"/>
        </w:rPr>
      </w:pPr>
    </w:p>
    <w:p>
      <w:pPr>
        <w:ind w:right="120" w:firstLine="410"/>
        <w:spacing w:after="0" w:line="253" w:lineRule="auto"/>
        <w:rPr>
          <w:sz w:val="20"/>
          <w:szCs w:val="20"/>
          <w:color w:val="auto"/>
        </w:rPr>
      </w:pPr>
      <w:r>
        <w:rPr>
          <w:rFonts w:ascii="Arial" w:cs="Arial" w:eastAsia="Arial" w:hAnsi="Arial"/>
          <w:sz w:val="17"/>
          <w:szCs w:val="17"/>
          <w:color w:val="auto"/>
        </w:rPr>
        <w:t>General and administrative expenses increased by $15.0 million, or 45%, to $48.6 million for the year ended December 31, 2021 compared to $33.5 million for the year ended December 31, 2020. The increase was primarily attributable to an increase of $7.0 million in employee-related costs as a result of increased headcount, $2.3 million in share-based compensation expense, $2.2 million in outsourcing and professional services, $2.0 in insurance costs, $1.6 million in allocated overhead and other general and administrative expenses.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3"/>
        </w:trPr>
        <w:tc>
          <w:tcPr>
            <w:tcW w:w="5960" w:type="dxa"/>
            <w:vAlign w:val="bottom"/>
          </w:tcPr>
          <w:p>
            <w:pPr>
              <w:ind w:left="860"/>
              <w:spacing w:after="0"/>
              <w:rPr>
                <w:sz w:val="20"/>
                <w:szCs w:val="20"/>
                <w:color w:val="auto"/>
              </w:rPr>
            </w:pPr>
            <w:r>
              <w:rPr>
                <w:rFonts w:ascii="Arial" w:cs="Arial" w:eastAsia="Arial" w:hAnsi="Arial"/>
                <w:sz w:val="17"/>
                <w:szCs w:val="17"/>
                <w:i w:val="1"/>
                <w:iCs w:val="1"/>
                <w:color w:val="auto"/>
              </w:rPr>
              <w:t>Financial Income (Expense), Net</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85"/>
        </w:trPr>
        <w:tc>
          <w:tcPr>
            <w:tcW w:w="5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gridSpan w:val="4"/>
          </w:tcPr>
          <w:p>
            <w:pPr>
              <w:ind w:left="80"/>
              <w:spacing w:after="0"/>
              <w:rPr>
                <w:sz w:val="20"/>
                <w:szCs w:val="20"/>
                <w:color w:val="auto"/>
              </w:rPr>
            </w:pPr>
            <w:r>
              <w:rPr>
                <w:rFonts w:ascii="Arial" w:cs="Arial" w:eastAsia="Arial" w:hAnsi="Arial"/>
                <w:sz w:val="17"/>
                <w:szCs w:val="17"/>
                <w:b w:val="1"/>
                <w:bCs w:val="1"/>
                <w:color w:val="auto"/>
              </w:rPr>
              <w:t>Year Ended</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4"/>
          </w:tcPr>
          <w:p>
            <w:pPr>
              <w:jc w:val="center"/>
              <w:ind w:right="400"/>
              <w:spacing w:after="0"/>
              <w:rPr>
                <w:sz w:val="20"/>
                <w:szCs w:val="20"/>
                <w:color w:val="auto"/>
              </w:rPr>
            </w:pPr>
            <w:r>
              <w:rPr>
                <w:rFonts w:ascii="Arial" w:cs="Arial" w:eastAsia="Arial" w:hAnsi="Arial"/>
                <w:sz w:val="17"/>
                <w:szCs w:val="17"/>
                <w:b w:val="1"/>
                <w:bCs w:val="1"/>
                <w:color w:val="auto"/>
                <w:w w:val="88"/>
              </w:rPr>
              <w:t>Period-over-Period</w:t>
            </w:r>
          </w:p>
        </w:tc>
      </w:tr>
      <w:tr>
        <w:trPr>
          <w:trHeight w:val="222"/>
        </w:trPr>
        <w:tc>
          <w:tcPr>
            <w:tcW w:w="5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80" w:type="dxa"/>
            <w:vAlign w:val="bottom"/>
            <w:gridSpan w:val="4"/>
          </w:tcPr>
          <w:p>
            <w:pPr>
              <w:ind w:left="20"/>
              <w:spacing w:after="0"/>
              <w:rPr>
                <w:sz w:val="20"/>
                <w:szCs w:val="20"/>
                <w:color w:val="auto"/>
              </w:rPr>
            </w:pPr>
            <w:r>
              <w:rPr>
                <w:rFonts w:ascii="Arial" w:cs="Arial" w:eastAsia="Arial" w:hAnsi="Arial"/>
                <w:sz w:val="17"/>
                <w:szCs w:val="17"/>
                <w:b w:val="1"/>
                <w:bCs w:val="1"/>
                <w:color w:val="auto"/>
              </w:rPr>
              <w:t>December 31,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gridSpan w:val="4"/>
          </w:tcPr>
          <w:p>
            <w:pPr>
              <w:jc w:val="center"/>
              <w:ind w:right="400"/>
              <w:spacing w:after="0"/>
              <w:rPr>
                <w:sz w:val="20"/>
                <w:szCs w:val="20"/>
                <w:color w:val="auto"/>
              </w:rPr>
            </w:pPr>
            <w:r>
              <w:rPr>
                <w:rFonts w:ascii="Arial" w:cs="Arial" w:eastAsia="Arial" w:hAnsi="Arial"/>
                <w:sz w:val="17"/>
                <w:szCs w:val="17"/>
                <w:b w:val="1"/>
                <w:bCs w:val="1"/>
                <w:color w:val="auto"/>
                <w:w w:val="89"/>
              </w:rPr>
              <w:t>Change</w:t>
            </w:r>
          </w:p>
        </w:tc>
      </w:tr>
      <w:tr>
        <w:trPr>
          <w:trHeight w:val="206"/>
        </w:trPr>
        <w:tc>
          <w:tcPr>
            <w:tcW w:w="596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rPr>
              <w:t>2021</w:t>
            </w:r>
          </w:p>
        </w:tc>
        <w:tc>
          <w:tcPr>
            <w:tcW w:w="2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7"/>
                <w:szCs w:val="17"/>
                <w:b w:val="1"/>
                <w:bCs w:val="1"/>
                <w:color w:val="auto"/>
              </w:rPr>
              <w:t>Dollar</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b w:val="1"/>
                <w:bCs w:val="1"/>
                <w:color w:val="auto"/>
              </w:rPr>
              <w:t>Percentage</w:t>
            </w:r>
          </w:p>
        </w:tc>
        <w:tc>
          <w:tcPr>
            <w:tcW w:w="200" w:type="dxa"/>
            <w:vAlign w:val="bottom"/>
          </w:tcPr>
          <w:p>
            <w:pPr>
              <w:spacing w:after="0"/>
              <w:rPr>
                <w:sz w:val="17"/>
                <w:szCs w:val="17"/>
                <w:color w:val="auto"/>
              </w:rPr>
            </w:pPr>
          </w:p>
        </w:tc>
      </w:tr>
      <w:tr>
        <w:trPr>
          <w:trHeight w:val="201"/>
        </w:trPr>
        <w:tc>
          <w:tcPr>
            <w:tcW w:w="5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w w:val="94"/>
              </w:rPr>
              <w:t>(in thousands,</w:t>
            </w:r>
          </w:p>
        </w:tc>
        <w:tc>
          <w:tcPr>
            <w:tcW w:w="1300" w:type="dxa"/>
            <w:vAlign w:val="bottom"/>
            <w:gridSpan w:val="4"/>
          </w:tcPr>
          <w:p>
            <w:pPr>
              <w:spacing w:after="0"/>
              <w:rPr>
                <w:sz w:val="20"/>
                <w:szCs w:val="20"/>
                <w:color w:val="auto"/>
              </w:rPr>
            </w:pPr>
            <w:r>
              <w:rPr>
                <w:rFonts w:ascii="Arial" w:cs="Arial" w:eastAsia="Arial" w:hAnsi="Arial"/>
                <w:sz w:val="17"/>
                <w:szCs w:val="17"/>
                <w:b w:val="1"/>
                <w:bCs w:val="1"/>
                <w:color w:val="auto"/>
                <w:w w:val="77"/>
              </w:rPr>
              <w:t>except percentages)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Financial income (expense), net</w:t>
            </w:r>
          </w:p>
        </w:tc>
        <w:tc>
          <w:tcPr>
            <w:tcW w:w="740" w:type="dxa"/>
            <w:vAlign w:val="bottom"/>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(156)</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w:t>
            </w:r>
          </w:p>
        </w:tc>
      </w:tr>
    </w:tbl>
    <w:p>
      <w:pPr>
        <w:spacing w:after="0" w:line="188" w:lineRule="exact"/>
        <w:rPr>
          <w:sz w:val="20"/>
          <w:szCs w:val="20"/>
          <w:color w:val="auto"/>
        </w:rPr>
      </w:pPr>
    </w:p>
    <w:p>
      <w:pPr>
        <w:jc w:val="both"/>
        <w:ind w:right="480" w:firstLine="410"/>
        <w:spacing w:after="0" w:line="257" w:lineRule="auto"/>
        <w:rPr>
          <w:sz w:val="20"/>
          <w:szCs w:val="20"/>
          <w:color w:val="auto"/>
        </w:rPr>
      </w:pPr>
      <w:r>
        <w:rPr>
          <w:rFonts w:ascii="Arial" w:cs="Arial" w:eastAsia="Arial" w:hAnsi="Arial"/>
          <w:sz w:val="17"/>
          <w:szCs w:val="17"/>
          <w:color w:val="auto"/>
        </w:rPr>
        <w:t>Financial expense, net decreased by approximately $0.1 million, or 94%, to $(0.01) million of expense for the year ended December 31, 2021 compared to $(0.2) million of expense for the year ended December 31, 2020. This decrease was primarily attributable to an increase in interest income partially offset by an increase in foreign currency exchange rates expenses and bank fees.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60" w:type="dxa"/>
            <w:vAlign w:val="bottom"/>
          </w:tcPr>
          <w:p>
            <w:pPr>
              <w:ind w:left="860"/>
              <w:spacing w:after="0"/>
              <w:rPr>
                <w:sz w:val="20"/>
                <w:szCs w:val="20"/>
                <w:color w:val="auto"/>
              </w:rPr>
            </w:pPr>
            <w:r>
              <w:rPr>
                <w:rFonts w:ascii="Arial" w:cs="Arial" w:eastAsia="Arial" w:hAnsi="Arial"/>
                <w:sz w:val="17"/>
                <w:szCs w:val="17"/>
                <w:i w:val="1"/>
                <w:iCs w:val="1"/>
                <w:color w:val="auto"/>
              </w:rPr>
              <w:t>Income Tax Expenses</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85"/>
        </w:trPr>
        <w:tc>
          <w:tcPr>
            <w:tcW w:w="5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b w:val="1"/>
                <w:bCs w:val="1"/>
                <w:color w:val="auto"/>
                <w:w w:val="96"/>
              </w:rPr>
              <w:t>Year Ended</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4"/>
          </w:tcPr>
          <w:p>
            <w:pPr>
              <w:jc w:val="center"/>
              <w:ind w:right="340"/>
              <w:spacing w:after="0"/>
              <w:rPr>
                <w:sz w:val="20"/>
                <w:szCs w:val="20"/>
                <w:color w:val="auto"/>
              </w:rPr>
            </w:pPr>
            <w:r>
              <w:rPr>
                <w:rFonts w:ascii="Arial" w:cs="Arial" w:eastAsia="Arial" w:hAnsi="Arial"/>
                <w:sz w:val="17"/>
                <w:szCs w:val="17"/>
                <w:b w:val="1"/>
                <w:bCs w:val="1"/>
                <w:color w:val="auto"/>
                <w:w w:val="90"/>
              </w:rPr>
              <w:t>Period-over-Period</w:t>
            </w:r>
          </w:p>
        </w:tc>
      </w:tr>
      <w:tr>
        <w:trPr>
          <w:trHeight w:val="222"/>
        </w:trPr>
        <w:tc>
          <w:tcPr>
            <w:tcW w:w="5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gridSpan w:val="4"/>
          </w:tcPr>
          <w:p>
            <w:pPr>
              <w:ind w:left="20"/>
              <w:spacing w:after="0"/>
              <w:rPr>
                <w:sz w:val="20"/>
                <w:szCs w:val="20"/>
                <w:color w:val="auto"/>
              </w:rPr>
            </w:pPr>
            <w:r>
              <w:rPr>
                <w:rFonts w:ascii="Arial" w:cs="Arial" w:eastAsia="Arial" w:hAnsi="Arial"/>
                <w:sz w:val="17"/>
                <w:szCs w:val="17"/>
                <w:b w:val="1"/>
                <w:bCs w:val="1"/>
                <w:color w:val="auto"/>
                <w:w w:val="86"/>
              </w:rPr>
              <w:t>December 31,</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4"/>
          </w:tcPr>
          <w:p>
            <w:pPr>
              <w:jc w:val="center"/>
              <w:ind w:right="340"/>
              <w:spacing w:after="0"/>
              <w:rPr>
                <w:sz w:val="20"/>
                <w:szCs w:val="20"/>
                <w:color w:val="auto"/>
              </w:rPr>
            </w:pPr>
            <w:r>
              <w:rPr>
                <w:rFonts w:ascii="Arial" w:cs="Arial" w:eastAsia="Arial" w:hAnsi="Arial"/>
                <w:sz w:val="17"/>
                <w:szCs w:val="17"/>
                <w:b w:val="1"/>
                <w:bCs w:val="1"/>
                <w:color w:val="auto"/>
                <w:w w:val="86"/>
              </w:rPr>
              <w:t>Change</w:t>
            </w:r>
          </w:p>
        </w:tc>
      </w:tr>
      <w:tr>
        <w:trPr>
          <w:trHeight w:val="206"/>
        </w:trPr>
        <w:tc>
          <w:tcPr>
            <w:tcW w:w="596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w w:val="89"/>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Dollar</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b w:val="1"/>
                <w:bCs w:val="1"/>
                <w:color w:val="auto"/>
              </w:rPr>
              <w:t>Percentage</w:t>
            </w:r>
          </w:p>
        </w:tc>
        <w:tc>
          <w:tcPr>
            <w:tcW w:w="140" w:type="dxa"/>
            <w:vAlign w:val="bottom"/>
          </w:tcPr>
          <w:p>
            <w:pPr>
              <w:spacing w:after="0"/>
              <w:rPr>
                <w:sz w:val="17"/>
                <w:szCs w:val="17"/>
                <w:color w:val="auto"/>
              </w:rPr>
            </w:pPr>
          </w:p>
        </w:tc>
      </w:tr>
      <w:tr>
        <w:trPr>
          <w:trHeight w:val="201"/>
        </w:trPr>
        <w:tc>
          <w:tcPr>
            <w:tcW w:w="5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w w:val="94"/>
              </w:rPr>
              <w:t>(in thousands,</w:t>
            </w:r>
          </w:p>
        </w:tc>
        <w:tc>
          <w:tcPr>
            <w:tcW w:w="1360" w:type="dxa"/>
            <w:vAlign w:val="bottom"/>
            <w:gridSpan w:val="4"/>
          </w:tcPr>
          <w:p>
            <w:pPr>
              <w:jc w:val="right"/>
              <w:spacing w:after="0"/>
              <w:rPr>
                <w:sz w:val="20"/>
                <w:szCs w:val="20"/>
                <w:color w:val="auto"/>
              </w:rPr>
            </w:pPr>
            <w:r>
              <w:rPr>
                <w:rFonts w:ascii="Arial" w:cs="Arial" w:eastAsia="Arial" w:hAnsi="Arial"/>
                <w:sz w:val="17"/>
                <w:szCs w:val="17"/>
                <w:b w:val="1"/>
                <w:bCs w:val="1"/>
                <w:color w:val="auto"/>
                <w:w w:val="79"/>
              </w:rPr>
              <w:t>except percentages)</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expenses</w:t>
            </w:r>
          </w:p>
        </w:tc>
        <w:tc>
          <w:tcPr>
            <w:tcW w:w="740" w:type="dxa"/>
            <w:vAlign w:val="bottom"/>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1,708</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2,494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786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r>
    </w:tbl>
    <w:p>
      <w:pPr>
        <w:spacing w:after="0" w:line="188" w:lineRule="exact"/>
        <w:rPr>
          <w:sz w:val="20"/>
          <w:szCs w:val="20"/>
          <w:color w:val="auto"/>
        </w:rPr>
      </w:pPr>
    </w:p>
    <w:p>
      <w:pPr>
        <w:ind w:right="460" w:firstLine="410"/>
        <w:spacing w:after="0" w:line="299" w:lineRule="auto"/>
        <w:rPr>
          <w:sz w:val="20"/>
          <w:szCs w:val="20"/>
          <w:color w:val="auto"/>
        </w:rPr>
      </w:pPr>
      <w:r>
        <w:rPr>
          <w:rFonts w:ascii="Arial" w:cs="Arial" w:eastAsia="Arial" w:hAnsi="Arial"/>
          <w:sz w:val="16"/>
          <w:szCs w:val="16"/>
          <w:color w:val="auto"/>
        </w:rPr>
        <w:t>Income tax expenses increased by $0.8 million, or 46%, to $2.5 million for the year ended December 31, 2021 compared to $1.7 million for the year ended December 31, 2020. The increase in income tax expenses was primarily due to an increase in taxes on our operations in the United States.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Liquidity and Capital Resources</w:t>
      </w:r>
    </w:p>
    <w:p>
      <w:pPr>
        <w:spacing w:after="0" w:line="210"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auto"/>
        </w:rPr>
        <w:t>Overview</w:t>
      </w:r>
    </w:p>
    <w:p>
      <w:pPr>
        <w:spacing w:after="0" w:line="206" w:lineRule="exact"/>
        <w:rPr>
          <w:sz w:val="20"/>
          <w:szCs w:val="20"/>
          <w:color w:val="auto"/>
        </w:rPr>
      </w:pPr>
    </w:p>
    <w:p>
      <w:pPr>
        <w:ind w:right="240" w:firstLine="410"/>
        <w:spacing w:after="0" w:line="268" w:lineRule="auto"/>
        <w:rPr>
          <w:sz w:val="20"/>
          <w:szCs w:val="20"/>
          <w:color w:val="auto"/>
        </w:rPr>
      </w:pPr>
      <w:r>
        <w:rPr>
          <w:rFonts w:ascii="Arial" w:cs="Arial" w:eastAsia="Arial" w:hAnsi="Arial"/>
          <w:sz w:val="17"/>
          <w:szCs w:val="17"/>
          <w:color w:val="auto"/>
        </w:rPr>
        <w:t>In June 2021, upon completion of our IPO, we received net proceeds of $263.9 million, after deducting underwriters’ discounts and commissions and offering expenses of $22.8 million.</w:t>
      </w:r>
    </w:p>
    <w:p>
      <w:pPr>
        <w:spacing w:after="0" w:line="166" w:lineRule="exact"/>
        <w:rPr>
          <w:sz w:val="20"/>
          <w:szCs w:val="20"/>
          <w:color w:val="auto"/>
        </w:rPr>
      </w:pPr>
    </w:p>
    <w:p>
      <w:pPr>
        <w:ind w:right="140" w:firstLine="410"/>
        <w:spacing w:after="0" w:line="280" w:lineRule="auto"/>
        <w:rPr>
          <w:sz w:val="20"/>
          <w:szCs w:val="20"/>
          <w:color w:val="auto"/>
        </w:rPr>
      </w:pPr>
      <w:r>
        <w:rPr>
          <w:rFonts w:ascii="Arial" w:cs="Arial" w:eastAsia="Arial" w:hAnsi="Arial"/>
          <w:sz w:val="16"/>
          <w:szCs w:val="16"/>
          <w:color w:val="auto"/>
        </w:rPr>
        <w:t>Prior to our IPO, we have financed operations to date primarily through our operating cash flows and the net proceeds we have received from sales of equity securities. Our primary requirements for liquidity and capital are to finance working capital, capital expenditures and general corporate purposes. As of December 31, 2021, our principal sources of liquidity were cash and cash equivalents of $276.9 million and short-term bank deposits of $65.5 million.</w:t>
      </w:r>
    </w:p>
    <w:p>
      <w:pPr>
        <w:spacing w:after="0" w:line="159" w:lineRule="exact"/>
        <w:rPr>
          <w:sz w:val="20"/>
          <w:szCs w:val="20"/>
          <w:color w:val="auto"/>
        </w:rPr>
      </w:pPr>
    </w:p>
    <w:p>
      <w:pPr>
        <w:jc w:val="both"/>
        <w:ind w:right="100" w:firstLine="410"/>
        <w:spacing w:after="0" w:line="253" w:lineRule="auto"/>
        <w:rPr>
          <w:sz w:val="20"/>
          <w:szCs w:val="20"/>
          <w:color w:val="auto"/>
        </w:rPr>
      </w:pPr>
      <w:r>
        <w:rPr>
          <w:rFonts w:ascii="Arial" w:cs="Arial" w:eastAsia="Arial" w:hAnsi="Arial"/>
          <w:sz w:val="17"/>
          <w:szCs w:val="17"/>
          <w:color w:val="auto"/>
        </w:rPr>
        <w:t>In August 2021, we entered into a loan and security agreement with Silicon Valley Bank (SVB) to establish a Revolving Credit Facility. We may borrow, repay and re-borrow funds under the Revolving Credit Facility up to the amount of $50 million for a period of three years. Interest on borrowings under the revolving credit facility accrues at the greater of the Prime Rate +0.00% or 3.25%. Pursuant to the terms of the Revolving Credit Facility, we are also required to pay a yearly fixed fee for the availability of this facility.</w:t>
      </w:r>
    </w:p>
    <w:p>
      <w:pPr>
        <w:spacing w:after="0" w:line="180" w:lineRule="exact"/>
        <w:rPr>
          <w:sz w:val="20"/>
          <w:szCs w:val="20"/>
          <w:color w:val="auto"/>
        </w:rPr>
      </w:pPr>
    </w:p>
    <w:p>
      <w:pPr>
        <w:jc w:val="both"/>
        <w:ind w:firstLine="410"/>
        <w:spacing w:after="0" w:line="257" w:lineRule="auto"/>
        <w:rPr>
          <w:sz w:val="20"/>
          <w:szCs w:val="20"/>
          <w:color w:val="auto"/>
        </w:rPr>
      </w:pPr>
      <w:r>
        <w:rPr>
          <w:rFonts w:ascii="Arial" w:cs="Arial" w:eastAsia="Arial" w:hAnsi="Arial"/>
          <w:sz w:val="17"/>
          <w:szCs w:val="17"/>
          <w:color w:val="auto"/>
        </w:rPr>
        <w:t>Upon utilization of this credit facility certain covenants may apply according to the agreement. The Revolving Credit Facility is secured by a fixed and floating first priority blanket lien on all assets of the company as well as a negative pledge on our intellectual property. As of December 31, 2021 this facility remains unutilized.</w:t>
      </w:r>
    </w:p>
    <w:p>
      <w:pPr>
        <w:spacing w:after="0" w:line="175" w:lineRule="exact"/>
        <w:rPr>
          <w:sz w:val="20"/>
          <w:szCs w:val="20"/>
          <w:color w:val="auto"/>
        </w:rPr>
      </w:pPr>
    </w:p>
    <w:p>
      <w:pPr>
        <w:ind w:right="60" w:firstLine="410"/>
        <w:spacing w:after="0" w:line="286" w:lineRule="auto"/>
        <w:rPr>
          <w:sz w:val="20"/>
          <w:szCs w:val="20"/>
          <w:color w:val="auto"/>
        </w:rPr>
      </w:pPr>
      <w:r>
        <w:rPr>
          <w:rFonts w:ascii="Arial" w:cs="Arial" w:eastAsia="Arial" w:hAnsi="Arial"/>
          <w:sz w:val="15"/>
          <w:szCs w:val="15"/>
          <w:color w:val="auto"/>
        </w:rPr>
        <w:t>We believe that our existing cash and cash equivalents and short-term bank deposits, together with cash flow from operations, will be sufficient to support our liquidity and capital requirements for at least the next 12 months. Our future capital requirements will depend on many factors, including our revenue growth, the timing and extent of investments to support such growth, the expansion of sales and marketing activities, increases in general and administrative costs and many other factors, including those described elsewhere in this section under “—Key Factors Affecting Our Performance” and elsewhere in this Annual Report under “Risk Factors.” We may, in the future, enter into arrangements to acquire or invest in complementary technologies, solutions or businesses. We may be required to seek additional equity or debt financing. In the event we require additional financing, we may not be able to raise such financing on terms acceptable to us or at all. In particular, the widespread COVID-19 pandemic has resulted in, and may continue to result in, significant disruption of global financial markets, which may reduce our ability to access capital. If we are unable to raise additional capital or generate cash flows necessary to expand our operations and invest in continued innovation, we may not be able to compete successfully, which would adversely affect our business, financial condition and results of operations.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640" w:type="dxa"/>
            <w:vAlign w:val="bottom"/>
          </w:tcPr>
          <w:p>
            <w:pPr>
              <w:ind w:left="840"/>
              <w:spacing w:after="0"/>
              <w:rPr>
                <w:sz w:val="20"/>
                <w:szCs w:val="20"/>
                <w:color w:val="auto"/>
              </w:rPr>
            </w:pPr>
            <w:r>
              <w:rPr>
                <w:rFonts w:ascii="Arial" w:cs="Arial" w:eastAsia="Arial" w:hAnsi="Arial"/>
                <w:sz w:val="17"/>
                <w:szCs w:val="17"/>
                <w:b w:val="1"/>
                <w:bCs w:val="1"/>
                <w:i w:val="1"/>
                <w:iCs w:val="1"/>
                <w:color w:val="auto"/>
              </w:rPr>
              <w:t>Cash Flows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8640" w:type="dxa"/>
            <w:vAlign w:val="bottom"/>
          </w:tcPr>
          <w:p>
            <w:pPr>
              <w:ind w:left="400"/>
              <w:spacing w:after="0"/>
              <w:rPr>
                <w:sz w:val="20"/>
                <w:szCs w:val="20"/>
                <w:color w:val="auto"/>
              </w:rPr>
            </w:pPr>
            <w:r>
              <w:rPr>
                <w:rFonts w:ascii="Arial" w:cs="Arial" w:eastAsia="Arial" w:hAnsi="Arial"/>
                <w:sz w:val="17"/>
                <w:szCs w:val="17"/>
                <w:color w:val="auto"/>
              </w:rPr>
              <w:t>The following table summarizes our cash flows for the periods presented: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4"/>
          </w:tcPr>
          <w:p>
            <w:pPr>
              <w:jc w:val="right"/>
              <w:ind w:right="7"/>
              <w:spacing w:after="0"/>
              <w:rPr>
                <w:sz w:val="20"/>
                <w:szCs w:val="20"/>
                <w:color w:val="auto"/>
              </w:rPr>
            </w:pPr>
            <w:r>
              <w:rPr>
                <w:rFonts w:ascii="Arial" w:cs="Arial" w:eastAsia="Arial" w:hAnsi="Arial"/>
                <w:sz w:val="17"/>
                <w:szCs w:val="17"/>
                <w:b w:val="1"/>
                <w:bCs w:val="1"/>
                <w:color w:val="auto"/>
              </w:rPr>
              <w:t>Year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December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4"/>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(8,653)</w:t>
            </w:r>
          </w:p>
        </w:tc>
        <w:tc>
          <w:tcPr>
            <w:tcW w:w="460" w:type="dxa"/>
            <w:vAlign w:val="bottom"/>
            <w:gridSpan w:val="2"/>
            <w:shd w:val="clear" w:color="auto" w:fill="CCEEFF"/>
          </w:tcPr>
          <w:p>
            <w:pPr>
              <w:jc w:val="right"/>
              <w:ind w:right="227"/>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(34,225)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(45,729)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(27,523)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41,614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276,789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Effect of foreign currency exchange rate changes on cash, cash equivalents, and restricted cash</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(685)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(12,520)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214,356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Cash, cash equivalents and restricted cash at beginning of year</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75,415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62,895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cash equivalents and restricted cash at end of the year</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62,895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277,251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Operating Activities</w:t>
      </w:r>
    </w:p>
    <w:p>
      <w:pPr>
        <w:spacing w:after="0" w:line="206" w:lineRule="exact"/>
        <w:rPr>
          <w:sz w:val="20"/>
          <w:szCs w:val="20"/>
          <w:color w:val="auto"/>
        </w:rPr>
      </w:pPr>
    </w:p>
    <w:p>
      <w:pPr>
        <w:jc w:val="both"/>
        <w:ind w:right="240" w:firstLine="410"/>
        <w:spacing w:after="0" w:line="257" w:lineRule="auto"/>
        <w:rPr>
          <w:sz w:val="20"/>
          <w:szCs w:val="20"/>
          <w:color w:val="auto"/>
        </w:rPr>
      </w:pPr>
      <w:r>
        <w:rPr>
          <w:rFonts w:ascii="Arial" w:cs="Arial" w:eastAsia="Arial" w:hAnsi="Arial"/>
          <w:sz w:val="17"/>
          <w:szCs w:val="17"/>
          <w:color w:val="auto"/>
        </w:rPr>
        <w:t>Our largest source of operating cash is cash collection from sales of subscriptions to our customers. Our primary uses of cash from operating activities are for employee-related expenses, marketing expenses, hosting expenses and allocated overhead expenses. We have generated negative cash flows and have supplemented working capital requirements through net proceeds from the sale of equity securities.</w:t>
      </w:r>
    </w:p>
    <w:p>
      <w:pPr>
        <w:spacing w:after="0" w:line="175" w:lineRule="exact"/>
        <w:rPr>
          <w:sz w:val="20"/>
          <w:szCs w:val="20"/>
          <w:color w:val="auto"/>
        </w:rPr>
      </w:pPr>
    </w:p>
    <w:p>
      <w:pPr>
        <w:ind w:right="80" w:firstLine="410"/>
        <w:spacing w:after="0" w:line="269" w:lineRule="auto"/>
        <w:rPr>
          <w:sz w:val="20"/>
          <w:szCs w:val="20"/>
          <w:color w:val="auto"/>
        </w:rPr>
      </w:pPr>
      <w:r>
        <w:rPr>
          <w:rFonts w:ascii="Arial" w:cs="Arial" w:eastAsia="Arial" w:hAnsi="Arial"/>
          <w:sz w:val="16"/>
          <w:szCs w:val="16"/>
          <w:color w:val="auto"/>
        </w:rPr>
        <w:t>Cash used in operating activities for the year ended December 31, 2020 of $8.7 million was primarily related to our net loss of $45.0 million, adjusted for non-cash charges of $18.7 million and net cash inflows of approximately $17.6 million provided by changes in our operating assets and liabilities. Non-cash charges primarily consisted of share-based compensation, depreciation and amortization of property and equipment, amortization of capitalized software and amortization of acquired intangibles. The main drivers of the changes in operating assets and liabilities were related to a $7.9 million increase in accrued expenses and other liabilities, mainly due to an increase in rent related accruals, a $5.2 million increase in deferred revenues, mainly due to increased billing, and a $5.0 million increase in employee-related accruals due to higher commission payments and deferral of payroll taxes.</w:t>
      </w:r>
    </w:p>
    <w:p>
      <w:pPr>
        <w:spacing w:after="0" w:line="169" w:lineRule="exact"/>
        <w:rPr>
          <w:sz w:val="20"/>
          <w:szCs w:val="20"/>
          <w:color w:val="auto"/>
        </w:rPr>
      </w:pPr>
    </w:p>
    <w:p>
      <w:pPr>
        <w:ind w:right="120" w:firstLine="410"/>
        <w:spacing w:after="0" w:line="268" w:lineRule="auto"/>
        <w:rPr>
          <w:sz w:val="20"/>
          <w:szCs w:val="20"/>
          <w:color w:val="auto"/>
        </w:rPr>
      </w:pPr>
      <w:r>
        <w:rPr>
          <w:rFonts w:ascii="Arial" w:cs="Arial" w:eastAsia="Arial" w:hAnsi="Arial"/>
          <w:sz w:val="16"/>
          <w:szCs w:val="16"/>
          <w:color w:val="auto"/>
        </w:rPr>
        <w:t>Cash used in operating activities for the year ended December 31, 2021 of $34.2 million was primarily related to our net loss of $80.3 million, adjusted for non-cash charges of $32.1 million and net cash inflows of approximately $14.0 million provided by changes in our operating assets and liabilities. Non-cash charges primarily consisted of share-based compensation, depreciation of property and equipment, amortization of capitalized software and amortization of acquired intangibles. The main drivers of the changes in operating assets and liabilities were related to a $28.6 increase in deferred revenues, mainly due to increased billing, $15.0 million increase in employee-related accruals, $4.6 million increase in accrued expenses and other liabilities and $1.7 increased in deferred taxes, net. This amounts were partially offset by a $29.8 million increase in prepaid expenses and other assets primarily due to an increase in deferred contract acquisition costs and $7.0 million increase in trade receivables, net, due to increases in sales.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8" w:name="page89"/>
    <w:bookmarkEnd w:id="88"/>
    <w:p>
      <w:pPr>
        <w:ind w:left="860"/>
        <w:spacing w:after="0"/>
        <w:rPr>
          <w:sz w:val="20"/>
          <w:szCs w:val="20"/>
          <w:color w:val="auto"/>
        </w:rPr>
      </w:pPr>
      <w:r>
        <w:rPr>
          <w:rFonts w:ascii="Arial" w:cs="Arial" w:eastAsia="Arial" w:hAnsi="Arial"/>
          <w:sz w:val="17"/>
          <w:szCs w:val="17"/>
          <w:i w:val="1"/>
          <w:iCs w:val="1"/>
          <w:color w:val="auto"/>
        </w:rPr>
        <w:t>Investing Activities</w:t>
      </w:r>
    </w:p>
    <w:p>
      <w:pPr>
        <w:spacing w:after="0" w:line="206" w:lineRule="exact"/>
        <w:rPr>
          <w:sz w:val="20"/>
          <w:szCs w:val="20"/>
          <w:color w:val="auto"/>
        </w:rPr>
      </w:pPr>
    </w:p>
    <w:p>
      <w:pPr>
        <w:ind w:right="20" w:firstLine="410"/>
        <w:spacing w:after="0" w:line="268" w:lineRule="auto"/>
        <w:rPr>
          <w:sz w:val="20"/>
          <w:szCs w:val="20"/>
          <w:color w:val="auto"/>
        </w:rPr>
      </w:pPr>
      <w:r>
        <w:rPr>
          <w:rFonts w:ascii="Arial" w:cs="Arial" w:eastAsia="Arial" w:hAnsi="Arial"/>
          <w:sz w:val="17"/>
          <w:szCs w:val="17"/>
          <w:color w:val="auto"/>
        </w:rPr>
        <w:t>Cash used in investing activities of $45.7 million for the year ended December 31, 2020 was related to net investment in short-term investments of $43.4 million, capital expenditures of $0.8 million and capitalization of software development costs of $1.5 million.</w:t>
      </w:r>
    </w:p>
    <w:p>
      <w:pPr>
        <w:spacing w:after="0" w:line="166" w:lineRule="exact"/>
        <w:rPr>
          <w:sz w:val="20"/>
          <w:szCs w:val="20"/>
          <w:color w:val="auto"/>
        </w:rPr>
      </w:pPr>
    </w:p>
    <w:p>
      <w:pPr>
        <w:ind w:right="20" w:firstLine="410"/>
        <w:spacing w:after="0" w:line="335" w:lineRule="auto"/>
        <w:rPr>
          <w:sz w:val="20"/>
          <w:szCs w:val="20"/>
          <w:color w:val="auto"/>
        </w:rPr>
      </w:pPr>
      <w:r>
        <w:rPr>
          <w:rFonts w:ascii="Arial" w:cs="Arial" w:eastAsia="Arial" w:hAnsi="Arial"/>
          <w:sz w:val="15"/>
          <w:szCs w:val="15"/>
          <w:color w:val="auto"/>
        </w:rPr>
        <w:t>Cash used in investing activities of $27.5 million for the year ended December 31, 2021 was related to net investment in short-term and long-term investments of $19.6 million, capitalization of software development costs of $3.9 million, capital expenditures of $2.6 million and $1.3 purchase of intangible asset.</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Financing Activities</w:t>
      </w:r>
    </w:p>
    <w:p>
      <w:pPr>
        <w:spacing w:after="0" w:line="206" w:lineRule="exact"/>
        <w:rPr>
          <w:sz w:val="20"/>
          <w:szCs w:val="20"/>
          <w:color w:val="auto"/>
        </w:rPr>
      </w:pPr>
    </w:p>
    <w:p>
      <w:pPr>
        <w:ind w:right="120" w:firstLine="410"/>
        <w:spacing w:after="0" w:line="257" w:lineRule="auto"/>
        <w:rPr>
          <w:sz w:val="20"/>
          <w:szCs w:val="20"/>
          <w:color w:val="auto"/>
        </w:rPr>
      </w:pPr>
      <w:r>
        <w:rPr>
          <w:rFonts w:ascii="Arial" w:cs="Arial" w:eastAsia="Arial" w:hAnsi="Arial"/>
          <w:sz w:val="17"/>
          <w:szCs w:val="17"/>
          <w:color w:val="auto"/>
        </w:rPr>
        <w:t>Cash provided by financing activities of $41.6 million for the year ended December 31, 2020 was primarily related to $38.5 million in proceeds from equity financings, net of issuance costs, as well as $2.3 million in proceeds from the non-controlling interest of our Japan joint venture and $0.8 million of proceeds from the exercise of share options.</w:t>
      </w:r>
    </w:p>
    <w:p>
      <w:pPr>
        <w:spacing w:after="0" w:line="175" w:lineRule="exact"/>
        <w:rPr>
          <w:sz w:val="20"/>
          <w:szCs w:val="20"/>
          <w:color w:val="auto"/>
        </w:rPr>
      </w:pPr>
    </w:p>
    <w:p>
      <w:pPr>
        <w:ind w:right="100" w:firstLine="410"/>
        <w:spacing w:after="0" w:line="257" w:lineRule="auto"/>
        <w:rPr>
          <w:sz w:val="20"/>
          <w:szCs w:val="20"/>
          <w:color w:val="auto"/>
        </w:rPr>
      </w:pPr>
      <w:r>
        <w:rPr>
          <w:rFonts w:ascii="Arial" w:cs="Arial" w:eastAsia="Arial" w:hAnsi="Arial"/>
          <w:sz w:val="17"/>
          <w:szCs w:val="17"/>
          <w:color w:val="auto"/>
        </w:rPr>
        <w:t>Cash provided by financing activities of $276.8 million for the year ended December 31, 2021 was primarily due to net proceeds from our initial public offering of $263.9 million after deducting underwriting discounts and commissions and other issuance costs, $10.0 million in proceeds from equity financing, net of issuance costs and $2.9 million of proceeds from the exercise of share options.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and Contractual Obligations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non-cancellable contractual obligations as of December 31,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b w:val="1"/>
                <w:bCs w:val="1"/>
                <w:color w:val="auto"/>
                <w:w w:val="90"/>
              </w:rPr>
              <w:t>Less than</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7"/>
              <w:spacing w:after="0"/>
              <w:rPr>
                <w:sz w:val="20"/>
                <w:szCs w:val="20"/>
                <w:color w:val="auto"/>
              </w:rPr>
            </w:pPr>
            <w:r>
              <w:rPr>
                <w:rFonts w:ascii="Arial" w:cs="Arial" w:eastAsia="Arial" w:hAnsi="Arial"/>
                <w:sz w:val="17"/>
                <w:szCs w:val="17"/>
                <w:b w:val="1"/>
                <w:bCs w:val="1"/>
                <w:color w:val="auto"/>
              </w:rPr>
              <w:t>1 to 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3 to 5</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1 year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years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years</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16"/>
              <w:spacing w:after="0"/>
              <w:rPr>
                <w:sz w:val="20"/>
                <w:szCs w:val="20"/>
                <w:color w:val="auto"/>
              </w:rPr>
            </w:pPr>
            <w:r>
              <w:rPr>
                <w:rFonts w:ascii="Arial" w:cs="Arial" w:eastAsia="Arial" w:hAnsi="Arial"/>
                <w:sz w:val="17"/>
                <w:szCs w:val="17"/>
                <w:b w:val="1"/>
                <w:bCs w:val="1"/>
                <w:color w:val="auto"/>
              </w:rPr>
              <w:t>(in</w:t>
            </w:r>
          </w:p>
        </w:tc>
        <w:tc>
          <w:tcPr>
            <w:tcW w:w="1360" w:type="dxa"/>
            <w:vAlign w:val="bottom"/>
            <w:gridSpan w:val="4"/>
          </w:tcPr>
          <w:p>
            <w:pPr>
              <w:jc w:val="right"/>
              <w:ind w:right="656"/>
              <w:spacing w:after="0"/>
              <w:rPr>
                <w:sz w:val="20"/>
                <w:szCs w:val="20"/>
                <w:color w:val="auto"/>
              </w:rPr>
            </w:pPr>
            <w:r>
              <w:rPr>
                <w:rFonts w:ascii="Arial" w:cs="Arial" w:eastAsia="Arial" w:hAnsi="Arial"/>
                <w:sz w:val="15"/>
                <w:szCs w:val="15"/>
                <w:b w:val="1"/>
                <w:bCs w:val="1"/>
                <w:color w:val="auto"/>
                <w:w w:val="74"/>
              </w:rPr>
              <w:t>thousands)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obligations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5,621</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7"/>
              <w:spacing w:after="0"/>
              <w:rPr>
                <w:sz w:val="20"/>
                <w:szCs w:val="20"/>
                <w:color w:val="auto"/>
              </w:rPr>
            </w:pPr>
            <w:r>
              <w:rPr>
                <w:rFonts w:ascii="Arial" w:cs="Arial" w:eastAsia="Arial" w:hAnsi="Arial"/>
                <w:sz w:val="17"/>
                <w:szCs w:val="17"/>
                <w:color w:val="auto"/>
              </w:rPr>
              <w:t>8,212</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102</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13,935</w:t>
            </w:r>
          </w:p>
        </w:tc>
      </w:tr>
      <w:tr>
        <w:trPr>
          <w:trHeight w:val="206"/>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Purchase obligations, including hosting services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12,931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7"/>
              <w:spacing w:after="0"/>
              <w:rPr>
                <w:sz w:val="20"/>
                <w:szCs w:val="20"/>
                <w:color w:val="auto"/>
              </w:rPr>
            </w:pPr>
            <w:r>
              <w:rPr>
                <w:rFonts w:ascii="Arial" w:cs="Arial" w:eastAsia="Arial" w:hAnsi="Arial"/>
                <w:sz w:val="17"/>
                <w:szCs w:val="17"/>
                <w:color w:val="auto"/>
              </w:rPr>
              <w:t>13,146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154</w:t>
            </w:r>
          </w:p>
        </w:tc>
        <w:tc>
          <w:tcPr>
            <w:tcW w:w="240" w:type="dxa"/>
            <w:vAlign w:val="bottom"/>
          </w:tcPr>
          <w:p>
            <w:pPr>
              <w:spacing w:after="0"/>
              <w:rPr>
                <w:sz w:val="17"/>
                <w:szCs w:val="17"/>
                <w:color w:val="auto"/>
              </w:rPr>
            </w:pPr>
          </w:p>
        </w:tc>
        <w:tc>
          <w:tcPr>
            <w:tcW w:w="980" w:type="dxa"/>
            <w:vAlign w:val="bottom"/>
            <w:gridSpan w:val="2"/>
          </w:tcPr>
          <w:p>
            <w:pPr>
              <w:ind w:left="420"/>
              <w:spacing w:after="0"/>
              <w:rPr>
                <w:sz w:val="20"/>
                <w:szCs w:val="20"/>
                <w:color w:val="auto"/>
              </w:rPr>
            </w:pPr>
            <w:r>
              <w:rPr>
                <w:rFonts w:ascii="Arial" w:cs="Arial" w:eastAsia="Arial" w:hAnsi="Arial"/>
                <w:sz w:val="17"/>
                <w:szCs w:val="17"/>
                <w:color w:val="auto"/>
              </w:rPr>
              <w:t>26,231</w:t>
            </w:r>
          </w:p>
        </w:tc>
      </w:tr>
      <w:tr>
        <w:trPr>
          <w:trHeight w:val="241"/>
        </w:trPr>
        <w:tc>
          <w:tcPr>
            <w:tcW w:w="20" w:type="dxa"/>
            <w:vAlign w:val="bottom"/>
          </w:tcPr>
          <w:p>
            <w:pPr>
              <w:spacing w:after="0"/>
              <w:rPr>
                <w:sz w:val="20"/>
                <w:szCs w:val="20"/>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18,552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w w:val="84"/>
              </w:rPr>
              <w:t>40,166</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8"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The contractual commitment amounts in the table above are associated with agreements that are enforceable and legally binding. Obligations under contracts that we can cancel without a significant penalty are not included in the table above. For additional information, please refer to note 6 to the consolidated financial statements included elsewhere in this Annual Report.</w:t>
      </w:r>
    </w:p>
    <w:p>
      <w:pPr>
        <w:spacing w:after="0" w:line="175" w:lineRule="exact"/>
        <w:rPr>
          <w:sz w:val="20"/>
          <w:szCs w:val="20"/>
          <w:color w:val="auto"/>
        </w:rPr>
      </w:pPr>
    </w:p>
    <w:p>
      <w:pPr>
        <w:ind w:firstLine="410"/>
        <w:spacing w:after="0" w:line="268" w:lineRule="auto"/>
        <w:rPr>
          <w:sz w:val="20"/>
          <w:szCs w:val="20"/>
          <w:color w:val="auto"/>
        </w:rPr>
      </w:pPr>
      <w:r>
        <w:rPr>
          <w:rFonts w:ascii="Arial" w:cs="Arial" w:eastAsia="Arial" w:hAnsi="Arial"/>
          <w:sz w:val="16"/>
          <w:szCs w:val="16"/>
          <w:color w:val="auto"/>
        </w:rPr>
        <w:t>In addition to the obligations described above, 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any time after the execution of the agreement. Typically, these indemnification provisions do not provide for a maximum potential amount of future payments we could be required to make. However, in the past we have not been obligated to make significant payments for these obligations and no liabilities have been recorded for these obligations on our consolidated balance sheets as of December 31, 2020 or 2021.</w:t>
      </w:r>
    </w:p>
    <w:p>
      <w:pPr>
        <w:spacing w:after="0" w:line="169" w:lineRule="exact"/>
        <w:rPr>
          <w:sz w:val="20"/>
          <w:szCs w:val="20"/>
          <w:color w:val="auto"/>
        </w:rPr>
      </w:pPr>
    </w:p>
    <w:p>
      <w:pPr>
        <w:ind w:right="80" w:firstLine="410"/>
        <w:spacing w:after="0" w:line="274" w:lineRule="auto"/>
        <w:rPr>
          <w:sz w:val="20"/>
          <w:szCs w:val="20"/>
          <w:color w:val="auto"/>
        </w:rPr>
      </w:pPr>
      <w:r>
        <w:rPr>
          <w:rFonts w:ascii="Arial" w:cs="Arial" w:eastAsia="Arial" w:hAnsi="Arial"/>
          <w:sz w:val="16"/>
          <w:szCs w:val="16"/>
          <w:color w:val="auto"/>
        </w:rPr>
        <w:t>We also indemnify our officers and directors for certain events or occurrences, subject to certain limits, while the officer is or was serving at our request in such capacity. The maximum amount of potential future indemnification is unlimited. However, our director and officer insurance policy limits our exposure and enables us to recover a portion of any future amounts paid. Historically, we have not been obligated to make any payments for these obligations and no liabilities have been recorded for these obligations on our consolidated balance sheet as of December 31, 2020 or 2021.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0" w:lineRule="exact"/>
        <w:rPr>
          <w:sz w:val="20"/>
          <w:szCs w:val="20"/>
          <w:color w:val="auto"/>
        </w:rPr>
      </w:pPr>
    </w:p>
    <w:p>
      <w:pPr>
        <w:ind w:right="120" w:firstLine="410"/>
        <w:spacing w:after="0" w:line="257" w:lineRule="auto"/>
        <w:rPr>
          <w:sz w:val="20"/>
          <w:szCs w:val="20"/>
          <w:color w:val="auto"/>
        </w:rPr>
      </w:pPr>
      <w:r>
        <w:rPr>
          <w:rFonts w:ascii="Arial" w:cs="Arial" w:eastAsia="Arial" w:hAnsi="Arial"/>
          <w:sz w:val="17"/>
          <w:szCs w:val="17"/>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WalkMe K.K.</w:t>
      </w:r>
    </w:p>
    <w:p>
      <w:pPr>
        <w:spacing w:after="0" w:line="210" w:lineRule="exact"/>
        <w:rPr>
          <w:sz w:val="20"/>
          <w:szCs w:val="20"/>
          <w:color w:val="auto"/>
        </w:rPr>
      </w:pPr>
    </w:p>
    <w:p>
      <w:pPr>
        <w:ind w:firstLine="410"/>
        <w:spacing w:after="0" w:line="283" w:lineRule="auto"/>
        <w:rPr>
          <w:sz w:val="20"/>
          <w:szCs w:val="20"/>
          <w:color w:val="auto"/>
        </w:rPr>
      </w:pPr>
      <w:r>
        <w:rPr>
          <w:rFonts w:ascii="Arial" w:cs="Arial" w:eastAsia="Arial" w:hAnsi="Arial"/>
          <w:sz w:val="15"/>
          <w:szCs w:val="15"/>
          <w:color w:val="auto"/>
        </w:rPr>
        <w:t>During the year ended December 31, 2018, we established WalkMe K.K., a Japanese company in which we own a controlling interest, for purposes of facilitating our entry into the Japanese market. We have consolidated the results of operations and financial condition of WalkMe K.K. since its inception. Pursuant to an agreement with the holders of the non-controlling interest in WalkMe K.K., beginning in 2027 we may redeem the non-controlling interest, or be required to redeem such interest by the holders thereof, based on a prescribed formula derived from the relative revenues of WalkMe K.K. and the Company. The balance of</w:t>
      </w:r>
    </w:p>
    <w:p>
      <w:pPr>
        <w:spacing w:after="0" w:line="2"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the redeemable non-controlling interest is reported on our balance sheet below total liabilities but above shareholders’ equity (deficit) at the greater of the initial carrying amount adjusted for the redeemable non-controlling interest’s share of earnings or losses and other comprehensive income or loss, or its estimated redemption value. As of December 31, 2020 and 2021, the redeemable non-controlling interest of non-controlling interests in WalkMe K.K. amounted to $8.6 million and $23.9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 Research and Development, Patents and Licenses, etc.</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a discussion of our research and development policies, see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and “Our Intellectual Property” in Item 4.B above.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 Trend Information</w:t>
      </w:r>
    </w:p>
    <w:p>
      <w:pPr>
        <w:spacing w:after="0" w:line="210" w:lineRule="exact"/>
        <w:rPr>
          <w:sz w:val="20"/>
          <w:szCs w:val="20"/>
          <w:color w:val="auto"/>
        </w:rPr>
      </w:pPr>
    </w:p>
    <w:p>
      <w:pPr>
        <w:ind w:right="120" w:firstLine="410"/>
        <w:spacing w:after="0" w:line="257" w:lineRule="auto"/>
        <w:rPr>
          <w:sz w:val="20"/>
          <w:szCs w:val="20"/>
          <w:color w:val="auto"/>
        </w:rPr>
      </w:pPr>
      <w:r>
        <w:rPr>
          <w:rFonts w:ascii="Arial" w:cs="Arial" w:eastAsia="Arial" w:hAnsi="Arial"/>
          <w:sz w:val="17"/>
          <w:szCs w:val="17"/>
          <w:color w:val="auto"/>
        </w:rPr>
        <w:t>Other than as disclosed elsewhere in this Annual Report, we are not aware of any trends, uncertainties, demands, commitments or events since December 31, 2021 that are reasonably likely to have a material adverse effect on our revenues, income, profitability, liquidity or capital resources, or that would cause the disclosed financial information to be not necessarily indicative of future operating results or financial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 Critical Accounting Estimates</w:t>
      </w:r>
    </w:p>
    <w:p>
      <w:pPr>
        <w:spacing w:after="0" w:line="210" w:lineRule="exact"/>
        <w:rPr>
          <w:sz w:val="20"/>
          <w:szCs w:val="20"/>
          <w:color w:val="auto"/>
        </w:rPr>
      </w:pPr>
    </w:p>
    <w:p>
      <w:pPr>
        <w:ind w:right="20" w:firstLine="452"/>
        <w:spacing w:after="0" w:line="269" w:lineRule="auto"/>
        <w:rPr>
          <w:sz w:val="20"/>
          <w:szCs w:val="20"/>
          <w:color w:val="auto"/>
        </w:rPr>
      </w:pPr>
      <w:r>
        <w:rPr>
          <w:rFonts w:ascii="Arial" w:cs="Arial" w:eastAsia="Arial" w:hAnsi="Arial"/>
          <w:sz w:val="16"/>
          <w:szCs w:val="16"/>
          <w:color w:val="auto"/>
        </w:rPr>
        <w:t>Our consolidated financial statements and the related notes thereto included elsewhere in this Annual Report are prepared in accordance with GAAP. The preparation of consolidated financial statements in accordance with GAAP requires us to make estimates, judgments and assumptions that affect the amounts reported in our consolidated financial statements and the related disclosures. Our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as of the dates set forth in the consolidated financial statements, and the reported amounts of revenue and expenses during the applicable reporting periods. Actual results could differ from those estimates.</w:t>
      </w:r>
    </w:p>
    <w:p>
      <w:pPr>
        <w:spacing w:after="0" w:line="169" w:lineRule="exact"/>
        <w:rPr>
          <w:sz w:val="20"/>
          <w:szCs w:val="20"/>
          <w:color w:val="auto"/>
        </w:rPr>
      </w:pPr>
    </w:p>
    <w:p>
      <w:pPr>
        <w:ind w:right="80" w:firstLine="410"/>
        <w:spacing w:after="0" w:line="298" w:lineRule="auto"/>
        <w:rPr>
          <w:sz w:val="20"/>
          <w:szCs w:val="20"/>
          <w:color w:val="auto"/>
        </w:rPr>
      </w:pPr>
      <w:r>
        <w:rPr>
          <w:rFonts w:ascii="Arial" w:cs="Arial" w:eastAsia="Arial" w:hAnsi="Arial"/>
          <w:sz w:val="15"/>
          <w:szCs w:val="15"/>
          <w:color w:val="auto"/>
        </w:rPr>
        <w:t>We believe that the accounting policies described below require management’s most difficult, subjective or complex judgments. Judgments or uncertainties affecting the application of these policies may result in materially different amounts being reported under different conditions or using different assumptions. Accordingly, we believe these are the most critical to aid in fully understanding and evaluating our financial condition and results of operations. See note 2 to the consolidated financial statements included elsewhere in this Annual Report for a summary of significant accounting policies and the effect on our financial statements.</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0" w:name="page91"/>
    <w:bookmarkEnd w:id="90"/>
    <w:p>
      <w:pPr>
        <w:ind w:left="8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06" w:lineRule="exact"/>
        <w:rPr>
          <w:sz w:val="20"/>
          <w:szCs w:val="20"/>
          <w:color w:val="auto"/>
        </w:rPr>
      </w:pPr>
    </w:p>
    <w:p>
      <w:pPr>
        <w:ind w:right="140" w:firstLine="410"/>
        <w:spacing w:after="0" w:line="251" w:lineRule="auto"/>
        <w:rPr>
          <w:sz w:val="20"/>
          <w:szCs w:val="20"/>
          <w:color w:val="auto"/>
        </w:rPr>
      </w:pPr>
      <w:r>
        <w:rPr>
          <w:rFonts w:ascii="Arial" w:cs="Arial" w:eastAsia="Arial" w:hAnsi="Arial"/>
          <w:sz w:val="17"/>
          <w:szCs w:val="17"/>
          <w:color w:val="auto"/>
        </w:rPr>
        <w:t>We generate revenue primarily from sales of subscriptions to access our Digital Adoption Platform, together with related services to our customers. Arrangements with customers do not provide the customer with the right to take possession of the software operating our platform at any time. Instead, customers are granted continuous access to our platform over the contractual period. Revenue is recognized when control of these services is transferred to our customers, which is based on the customer’s usage of the product and reflects the consideration we expect to receive in exchange for those services. Revenue excludes sales and other indirect taxes.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account for revenue contracts with customers through the following steps:</w:t>
      </w:r>
    </w:p>
    <w:p>
      <w:pPr>
        <w:spacing w:after="0" w:line="206" w:lineRule="exact"/>
        <w:rPr>
          <w:sz w:val="20"/>
          <w:szCs w:val="20"/>
          <w:color w:val="auto"/>
        </w:rPr>
      </w:pPr>
    </w:p>
    <w:p>
      <w:pPr>
        <w:ind w:left="740" w:hanging="325"/>
        <w:spacing w:after="0"/>
        <w:tabs>
          <w:tab w:leader="none" w:pos="7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identify the contract with a customer;</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determine the transaction price;</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and</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recognize revenue when or as, we satisfy a performance obligation.</w:t>
      </w:r>
    </w:p>
    <w:p>
      <w:pPr>
        <w:spacing w:after="0" w:line="206" w:lineRule="exact"/>
        <w:rPr>
          <w:sz w:val="20"/>
          <w:szCs w:val="20"/>
          <w:color w:val="auto"/>
        </w:rPr>
      </w:pPr>
    </w:p>
    <w:p>
      <w:pPr>
        <w:jc w:val="both"/>
        <w:ind w:right="220" w:firstLine="410"/>
        <w:spacing w:after="0" w:line="257" w:lineRule="auto"/>
        <w:rPr>
          <w:sz w:val="20"/>
          <w:szCs w:val="20"/>
          <w:color w:val="auto"/>
        </w:rPr>
      </w:pPr>
      <w:r>
        <w:rPr>
          <w:rFonts w:ascii="Arial" w:cs="Arial" w:eastAsia="Arial" w:hAnsi="Arial"/>
          <w:sz w:val="17"/>
          <w:szCs w:val="17"/>
          <w:color w:val="auto"/>
        </w:rPr>
        <w:t>Our contracts with customers often include promises to transfer multiple performance obligations. In these contracts, we identify each performance obligation and evaluate whether the performance obligations are distinct within the context of the contract at contract inception. Performance obligations that are not distinct at contract inception are combined.</w:t>
      </w:r>
    </w:p>
    <w:p>
      <w:pPr>
        <w:spacing w:after="0" w:line="175"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color w:val="auto"/>
        </w:rPr>
        <w:t>We allocate the transaction price to each distinct performance obligation based on the stand-alone selling price for each performance obligation. Judgment is required to determine the stand-alone selling price for each distinct performance obligation. We generally estimate the stand-alone selling price of our subscription and professional services based on the actual renewal prices in stand-alone transactions.</w:t>
      </w:r>
    </w:p>
    <w:p>
      <w:pPr>
        <w:spacing w:after="0" w:line="175"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auto"/>
        </w:rPr>
        <w:t>Cost to Obtain a Contract</w:t>
      </w:r>
    </w:p>
    <w:p>
      <w:pPr>
        <w:spacing w:after="0" w:line="206" w:lineRule="exact"/>
        <w:rPr>
          <w:sz w:val="20"/>
          <w:szCs w:val="20"/>
          <w:color w:val="auto"/>
        </w:rPr>
      </w:pPr>
    </w:p>
    <w:p>
      <w:pPr>
        <w:ind w:firstLine="410"/>
        <w:spacing w:after="0" w:line="280" w:lineRule="auto"/>
        <w:rPr>
          <w:sz w:val="20"/>
          <w:szCs w:val="20"/>
          <w:color w:val="auto"/>
        </w:rPr>
      </w:pPr>
      <w:r>
        <w:rPr>
          <w:rFonts w:ascii="Arial" w:cs="Arial" w:eastAsia="Arial" w:hAnsi="Arial"/>
          <w:sz w:val="16"/>
          <w:szCs w:val="16"/>
          <w:color w:val="auto"/>
        </w:rPr>
        <w:t>We capitalize sales commissions and associated payroll taxes paid to sales personnel that are incremental to the acquisition of customer contracts. These costs are recorded as deferred contract acquisition costs on the consolidated balance sheets. We determine whether costs should be deferred based on our sales compensation plans and if the commissions are incremental and would not have occurred absent the customer contract.</w:t>
      </w:r>
    </w:p>
    <w:p>
      <w:pPr>
        <w:spacing w:after="0" w:line="159" w:lineRule="exact"/>
        <w:rPr>
          <w:sz w:val="20"/>
          <w:szCs w:val="20"/>
          <w:color w:val="auto"/>
        </w:rPr>
      </w:pPr>
    </w:p>
    <w:p>
      <w:pPr>
        <w:ind w:right="20" w:firstLine="410"/>
        <w:spacing w:after="0" w:line="271" w:lineRule="auto"/>
        <w:rPr>
          <w:sz w:val="20"/>
          <w:szCs w:val="20"/>
          <w:color w:val="auto"/>
        </w:rPr>
      </w:pPr>
      <w:r>
        <w:rPr>
          <w:rFonts w:ascii="Arial" w:cs="Arial" w:eastAsia="Arial" w:hAnsi="Arial"/>
          <w:sz w:val="16"/>
          <w:szCs w:val="16"/>
          <w:color w:val="auto"/>
        </w:rPr>
        <w:t>Sales commissions for the renewal of a contract are not considered commensurate with the sales commissions paid for the acquisition of the initial contract given a substantive difference in commission rates in proportion to their respective contract values. Sales commissions paid for the renewal of a contract to sales personnel are amortized over the contractual term of the renewals. Sales commissions paid upon the initial acquisition of a customer contract for sales personnel are amortized over a period of four years. We determine the period of benefit for sales commissions paid for the acquisition of the initial customer contract by taking into consideration the length of terms in its customer contracts, life of the technology and other factors.</w:t>
      </w:r>
    </w:p>
    <w:p>
      <w:pPr>
        <w:spacing w:after="0" w:line="166" w:lineRule="exact"/>
        <w:rPr>
          <w:sz w:val="20"/>
          <w:szCs w:val="20"/>
          <w:color w:val="auto"/>
        </w:rPr>
      </w:pPr>
    </w:p>
    <w:p>
      <w:pPr>
        <w:ind w:right="200" w:firstLine="410"/>
        <w:spacing w:after="0" w:line="253" w:lineRule="auto"/>
        <w:rPr>
          <w:sz w:val="20"/>
          <w:szCs w:val="20"/>
          <w:color w:val="auto"/>
        </w:rPr>
      </w:pPr>
      <w:r>
        <w:rPr>
          <w:rFonts w:ascii="Arial" w:cs="Arial" w:eastAsia="Arial" w:hAnsi="Arial"/>
          <w:sz w:val="17"/>
          <w:szCs w:val="17"/>
          <w:color w:val="auto"/>
        </w:rPr>
        <w:t>Amortization of sales commissions are included in sales and marketing expense in the consolidated statements of operations. We have applied the practical expedient in ASC 606 to expense costs as incurred for costs to obtain a contract with a customer when the amortization period would have been one year or less. We periodically review these deferred contract acquisition costs to determine whether events or changes in circumstances have occurred that could impact the period of benefit.</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December 31, 2021, we had $56.4 million of deferred contract acquisition costs, of which $20.4 million will be amortized over the next 12 months.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1" w:name="page92"/>
    <w:bookmarkEnd w:id="91"/>
    <w:p>
      <w:pPr>
        <w:ind w:left="860"/>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06" w:lineRule="exact"/>
        <w:rPr>
          <w:sz w:val="20"/>
          <w:szCs w:val="20"/>
          <w:color w:val="auto"/>
        </w:rPr>
      </w:pPr>
    </w:p>
    <w:p>
      <w:pPr>
        <w:ind w:right="140" w:firstLine="410"/>
        <w:spacing w:after="0" w:line="253" w:lineRule="auto"/>
        <w:rPr>
          <w:sz w:val="20"/>
          <w:szCs w:val="20"/>
          <w:color w:val="auto"/>
        </w:rPr>
      </w:pPr>
      <w:r>
        <w:rPr>
          <w:rFonts w:ascii="Arial" w:cs="Arial" w:eastAsia="Arial" w:hAnsi="Arial"/>
          <w:sz w:val="17"/>
          <w:szCs w:val="17"/>
          <w:color w:val="auto"/>
        </w:rPr>
        <w:t>Share-based compensation expense related to employees, consultants, and non-employee directors is measured based on the grant-date fair value of the awards. We establish fair value as the measurement objective in accounting for share-based payment transactions and recognize expenses on a straight-line basis over the requisite service period, which is generally the vesting term of four years. The fair value of each share option granted is estimated using the Black-Scholes option-pricing model and, for ESPP awards, we used a Monte Carlo option-pricing model.</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fair value of each RSU is based on the fair value of our ordinary shares on the date of grant.</w:t>
      </w:r>
    </w:p>
    <w:p>
      <w:pPr>
        <w:spacing w:after="0" w:line="206" w:lineRule="exact"/>
        <w:rPr>
          <w:sz w:val="20"/>
          <w:szCs w:val="20"/>
          <w:color w:val="auto"/>
        </w:rPr>
      </w:pPr>
    </w:p>
    <w:p>
      <w:pPr>
        <w:ind w:right="120" w:firstLine="410"/>
        <w:spacing w:after="0" w:line="274" w:lineRule="auto"/>
        <w:rPr>
          <w:sz w:val="20"/>
          <w:szCs w:val="20"/>
          <w:color w:val="auto"/>
        </w:rPr>
      </w:pPr>
      <w:r>
        <w:rPr>
          <w:rFonts w:ascii="Arial" w:cs="Arial" w:eastAsia="Arial" w:hAnsi="Arial"/>
          <w:sz w:val="16"/>
          <w:szCs w:val="16"/>
          <w:color w:val="auto"/>
        </w:rPr>
        <w:t>Determining the fair value of share-based awards at the grant date requires significant judgement. The determination of the grant date fair value of share-based awards using the option-pricing models was affected by our estimated ordinary share fair value as well as other subjective assumptions including the expected term of the awards, the expected volatility over the expected term of the awards, expected dividend yield and risk-free interest rates. The assumptions used in our option-pricing model represent management’s best estimates. These assumptions and estimates are as follows:</w:t>
      </w:r>
    </w:p>
    <w:p>
      <w:pPr>
        <w:spacing w:after="0" w:line="164" w:lineRule="exact"/>
        <w:rPr>
          <w:sz w:val="20"/>
          <w:szCs w:val="20"/>
          <w:color w:val="auto"/>
        </w:rPr>
      </w:pPr>
    </w:p>
    <w:p>
      <w:pPr>
        <w:ind w:left="740" w:hanging="325"/>
        <w:spacing w:after="0" w:line="268" w:lineRule="auto"/>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Fair Value of Ordinary Shares. For the period in which our ordinary shares were not publicly traded, we estimated the fair value of our ordinary shares based on contemporaneous valuations and other factors deemed relevant by management.</w:t>
      </w:r>
    </w:p>
    <w:p>
      <w:pPr>
        <w:spacing w:after="0" w:line="165" w:lineRule="exact"/>
        <w:rPr>
          <w:rFonts w:ascii="Arial" w:cs="Arial" w:eastAsia="Arial" w:hAnsi="Arial"/>
          <w:sz w:val="17"/>
          <w:szCs w:val="17"/>
          <w:color w:val="auto"/>
        </w:rPr>
      </w:pPr>
    </w:p>
    <w:p>
      <w:pPr>
        <w:ind w:left="740" w:right="160" w:hanging="325"/>
        <w:spacing w:after="0" w:line="257" w:lineRule="auto"/>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Expected Term. The expected term of the share options reflects the period for which we believe the option will remain outstanding. To determine the expected term, we generally apply the simplified method approach. The simplified method deems the term to be the average of the time-to-vesting and the contractual life of the options.</w:t>
      </w:r>
    </w:p>
    <w:p>
      <w:pPr>
        <w:spacing w:after="0" w:line="175" w:lineRule="exact"/>
        <w:rPr>
          <w:rFonts w:ascii="Arial" w:cs="Arial" w:eastAsia="Arial" w:hAnsi="Arial"/>
          <w:sz w:val="17"/>
          <w:szCs w:val="17"/>
          <w:color w:val="auto"/>
        </w:rPr>
      </w:pPr>
    </w:p>
    <w:p>
      <w:pPr>
        <w:ind w:left="740" w:right="140" w:hanging="325"/>
        <w:spacing w:after="0" w:line="335" w:lineRule="auto"/>
        <w:tabs>
          <w:tab w:leader="none" w:pos="7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Expected Volatility. As we do not have sufficient trading history for our ordinary shares, the selected volatility used is representative of expected future volatility. We base expected future volatility on the historical and implied volatility of comparable publicly traded companies over a similar expected term.</w:t>
      </w:r>
    </w:p>
    <w:p>
      <w:pPr>
        <w:spacing w:after="0" w:line="121" w:lineRule="exact"/>
        <w:rPr>
          <w:rFonts w:ascii="Arial" w:cs="Arial" w:eastAsia="Arial" w:hAnsi="Arial"/>
          <w:sz w:val="15"/>
          <w:szCs w:val="15"/>
          <w:color w:val="auto"/>
        </w:rPr>
      </w:pPr>
    </w:p>
    <w:p>
      <w:pPr>
        <w:ind w:left="740" w:right="20" w:hanging="325"/>
        <w:spacing w:after="0" w:line="268" w:lineRule="auto"/>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Expected Dividend Yield. We have never declared or paid any cash dividends and do not presently intend to pay cash dividends in the foreseeable future. As a result, we used an expected dividend yield of zero.</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Risk-Free Interest Rates. We use the U.S. Treasury yield for our risk-free interest rate that corresponds with the expected term.</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following table reflects the weighted average assumptions used to estimate the fair value of share options and ESPP granted during the years ended</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and 2021:</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6800" w:type="dxa"/>
            <w:vAlign w:val="bottom"/>
          </w:tcPr>
          <w:p>
            <w:pPr>
              <w:spacing w:after="0"/>
              <w:rPr>
                <w:sz w:val="19"/>
                <w:szCs w:val="19"/>
                <w:color w:val="auto"/>
              </w:rPr>
            </w:pPr>
          </w:p>
        </w:tc>
        <w:tc>
          <w:tcPr>
            <w:tcW w:w="2180" w:type="dxa"/>
            <w:vAlign w:val="bottom"/>
            <w:gridSpan w:val="4"/>
          </w:tcPr>
          <w:p>
            <w:pPr>
              <w:jc w:val="right"/>
              <w:ind w:right="240"/>
              <w:spacing w:after="0"/>
              <w:rPr>
                <w:sz w:val="20"/>
                <w:szCs w:val="20"/>
                <w:color w:val="auto"/>
              </w:rPr>
            </w:pPr>
            <w:r>
              <w:rPr>
                <w:rFonts w:ascii="Arial" w:cs="Arial" w:eastAsia="Arial" w:hAnsi="Arial"/>
                <w:sz w:val="17"/>
                <w:szCs w:val="17"/>
                <w:b w:val="1"/>
                <w:bCs w:val="1"/>
                <w:color w:val="auto"/>
                <w:w w:val="91"/>
              </w:rPr>
              <w:t>Year Ended December 31,</w:t>
            </w:r>
          </w:p>
        </w:tc>
      </w:tr>
      <w:tr>
        <w:trPr>
          <w:trHeight w:val="206"/>
        </w:trPr>
        <w:tc>
          <w:tcPr>
            <w:tcW w:w="68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2021</w:t>
            </w:r>
          </w:p>
        </w:tc>
        <w:tc>
          <w:tcPr>
            <w:tcW w:w="160" w:type="dxa"/>
            <w:vAlign w:val="bottom"/>
          </w:tcPr>
          <w:p>
            <w:pPr>
              <w:spacing w:after="0"/>
              <w:rPr>
                <w:sz w:val="17"/>
                <w:szCs w:val="17"/>
                <w:color w:val="auto"/>
              </w:rPr>
            </w:pPr>
          </w:p>
        </w:tc>
      </w:tr>
      <w:tr>
        <w:trPr>
          <w:trHeight w:val="20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 yield</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r>
      <w:tr>
        <w:trPr>
          <w:trHeight w:val="201"/>
        </w:trPr>
        <w:tc>
          <w:tcPr>
            <w:tcW w:w="6800" w:type="dxa"/>
            <w:vAlign w:val="bottom"/>
          </w:tcPr>
          <w:p>
            <w:pPr>
              <w:spacing w:after="0"/>
              <w:rPr>
                <w:sz w:val="20"/>
                <w:szCs w:val="20"/>
                <w:color w:val="auto"/>
              </w:rPr>
            </w:pPr>
            <w:r>
              <w:rPr>
                <w:rFonts w:ascii="Arial" w:cs="Arial" w:eastAsia="Arial" w:hAnsi="Arial"/>
                <w:sz w:val="17"/>
                <w:szCs w:val="17"/>
                <w:color w:val="auto"/>
              </w:rPr>
              <w:t>Expected volatility</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60%</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41-60%</w:t>
            </w:r>
          </w:p>
        </w:tc>
      </w:tr>
      <w:tr>
        <w:trPr>
          <w:trHeight w:val="201"/>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Expected term (years)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6.08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0.57-6.55</w:t>
            </w:r>
          </w:p>
        </w:tc>
      </w:tr>
      <w:tr>
        <w:trPr>
          <w:trHeight w:val="213"/>
        </w:trPr>
        <w:tc>
          <w:tcPr>
            <w:tcW w:w="6800" w:type="dxa"/>
            <w:vAlign w:val="bottom"/>
          </w:tcPr>
          <w:p>
            <w:pPr>
              <w:spacing w:after="0"/>
              <w:rPr>
                <w:sz w:val="20"/>
                <w:szCs w:val="20"/>
                <w:color w:val="auto"/>
              </w:rPr>
            </w:pPr>
            <w:r>
              <w:rPr>
                <w:rFonts w:ascii="Arial" w:cs="Arial" w:eastAsia="Arial" w:hAnsi="Arial"/>
                <w:sz w:val="17"/>
                <w:szCs w:val="17"/>
                <w:color w:val="auto"/>
              </w:rPr>
              <w:t>Risk-free interest rate</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0.28-1.45%</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0.06-1.06%</w:t>
            </w:r>
          </w:p>
        </w:tc>
      </w:tr>
    </w:tbl>
    <w:p>
      <w:pPr>
        <w:spacing w:after="0" w:line="176" w:lineRule="exact"/>
        <w:rPr>
          <w:sz w:val="20"/>
          <w:szCs w:val="20"/>
          <w:color w:val="auto"/>
        </w:rPr>
      </w:pPr>
    </w:p>
    <w:p>
      <w:pPr>
        <w:ind w:right="580" w:firstLine="410"/>
        <w:spacing w:after="0" w:line="268" w:lineRule="auto"/>
        <w:rPr>
          <w:sz w:val="20"/>
          <w:szCs w:val="20"/>
          <w:color w:val="auto"/>
        </w:rPr>
      </w:pPr>
      <w:r>
        <w:rPr>
          <w:rFonts w:ascii="Arial" w:cs="Arial" w:eastAsia="Arial" w:hAnsi="Arial"/>
          <w:sz w:val="17"/>
          <w:szCs w:val="17"/>
          <w:color w:val="auto"/>
        </w:rPr>
        <w:t>Assumptions used in valuing non-employee share options are generally consistent with those used for employee share options with the exception that the expected term is over the contractual life, or 10 years.</w:t>
      </w:r>
    </w:p>
    <w:p>
      <w:pPr>
        <w:spacing w:after="0" w:line="166" w:lineRule="exact"/>
        <w:rPr>
          <w:sz w:val="20"/>
          <w:szCs w:val="20"/>
          <w:color w:val="auto"/>
        </w:rPr>
      </w:pPr>
    </w:p>
    <w:p>
      <w:pPr>
        <w:ind w:right="100" w:firstLine="410"/>
        <w:spacing w:after="0" w:line="335" w:lineRule="auto"/>
        <w:rPr>
          <w:sz w:val="20"/>
          <w:szCs w:val="20"/>
          <w:color w:val="auto"/>
        </w:rPr>
      </w:pPr>
      <w:r>
        <w:rPr>
          <w:rFonts w:ascii="Arial" w:cs="Arial" w:eastAsia="Arial" w:hAnsi="Arial"/>
          <w:sz w:val="15"/>
          <w:szCs w:val="15"/>
          <w:color w:val="auto"/>
        </w:rPr>
        <w:t>We will continue to use judgment in evaluating the assumptions related to our share-based compensation on a prospective basis. As we continue to accumulate additional data related to our ordinary shares, we may have refinements to our estimates, which could materially impact our future share-based compensation expense.</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2" w:name="page93"/>
    <w:bookmarkEnd w:id="92"/>
    <w:p>
      <w:pPr>
        <w:ind w:left="860"/>
        <w:spacing w:after="0"/>
        <w:rPr>
          <w:sz w:val="20"/>
          <w:szCs w:val="20"/>
          <w:color w:val="auto"/>
        </w:rPr>
      </w:pPr>
      <w:r>
        <w:rPr>
          <w:rFonts w:ascii="Arial" w:cs="Arial" w:eastAsia="Arial" w:hAnsi="Arial"/>
          <w:sz w:val="17"/>
          <w:szCs w:val="17"/>
          <w:b w:val="1"/>
          <w:bCs w:val="1"/>
          <w:i w:val="1"/>
          <w:iCs w:val="1"/>
          <w:color w:val="auto"/>
        </w:rPr>
        <w:t>Ordinary Share Valuations</w:t>
      </w:r>
    </w:p>
    <w:p>
      <w:pPr>
        <w:spacing w:after="0" w:line="206" w:lineRule="exact"/>
        <w:rPr>
          <w:sz w:val="20"/>
          <w:szCs w:val="20"/>
          <w:color w:val="auto"/>
        </w:rPr>
      </w:pPr>
    </w:p>
    <w:p>
      <w:pPr>
        <w:ind w:firstLine="410"/>
        <w:spacing w:after="0" w:line="271" w:lineRule="auto"/>
        <w:rPr>
          <w:sz w:val="20"/>
          <w:szCs w:val="20"/>
          <w:color w:val="auto"/>
        </w:rPr>
      </w:pPr>
      <w:r>
        <w:rPr>
          <w:rFonts w:ascii="Arial" w:cs="Arial" w:eastAsia="Arial" w:hAnsi="Arial"/>
          <w:sz w:val="16"/>
          <w:szCs w:val="16"/>
          <w:color w:val="auto"/>
        </w:rPr>
        <w:t>Prior to the IPO, the fair value of our ordinary shares was determined by our board of directors, with input from management, taking into account our most recent valuations from an independent third-party valuation specialist. The valuations of our ordinary shares were determined in accordance with the guidelines outlined in the American Institute of Certified Public Accountants Practice Aid, Valuation of Privately-Held-Company Equity Securities Issued as Compensation. The assumptions we used in the valuation models were based on future expectations combined with management judgment and considered numerous objective and subjective factors to determine the fair value of our ordinary shares as of the date of each option grant, including the following factors:</w:t>
      </w:r>
    </w:p>
    <w:p>
      <w:pPr>
        <w:spacing w:after="0" w:line="166" w:lineRule="exact"/>
        <w:rPr>
          <w:sz w:val="20"/>
          <w:szCs w:val="20"/>
          <w:color w:val="auto"/>
        </w:rPr>
      </w:pPr>
    </w:p>
    <w:p>
      <w:pPr>
        <w:ind w:left="740" w:hanging="325"/>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Contemporaneous valuations performed at periodic intervals by unrelated third-party specialists;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liquidation preferences, rights, preferences and privileges of our protected shares relative to our ordinary shares;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actual operating and financial performance;</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price of ordinary shares sold to third-party investors in secondary transactions in arm’s-length transactions;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Current business conditions and projections;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stage of development;</w:t>
      </w:r>
    </w:p>
    <w:p>
      <w:pPr>
        <w:spacing w:after="0" w:line="206" w:lineRule="exact"/>
        <w:rPr>
          <w:rFonts w:ascii="Arial" w:cs="Arial" w:eastAsia="Arial" w:hAnsi="Arial"/>
          <w:sz w:val="17"/>
          <w:szCs w:val="17"/>
          <w:color w:val="auto"/>
        </w:rPr>
      </w:pPr>
    </w:p>
    <w:p>
      <w:pPr>
        <w:ind w:left="740" w:right="680" w:hanging="325"/>
        <w:spacing w:after="0" w:line="268" w:lineRule="auto"/>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likelihood and timing of achieving a liquidity event for the ordinary shares underlying the share options, such as a sale of our Company, given prevailing market conditions;</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adjustment necessary to recognize a lack of marketability of the ordinary shares underlying the granted options; and</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market performance of comparable publicly traded companies.</w:t>
      </w:r>
    </w:p>
    <w:p>
      <w:pPr>
        <w:spacing w:after="0" w:line="206" w:lineRule="exact"/>
        <w:rPr>
          <w:sz w:val="20"/>
          <w:szCs w:val="20"/>
          <w:color w:val="auto"/>
        </w:rPr>
      </w:pPr>
    </w:p>
    <w:p>
      <w:pPr>
        <w:ind w:right="200" w:firstLine="410"/>
        <w:spacing w:after="0" w:line="290" w:lineRule="auto"/>
        <w:rPr>
          <w:sz w:val="20"/>
          <w:szCs w:val="20"/>
          <w:color w:val="auto"/>
        </w:rPr>
      </w:pPr>
      <w:r>
        <w:rPr>
          <w:rFonts w:ascii="Arial" w:cs="Arial" w:eastAsia="Arial" w:hAnsi="Arial"/>
          <w:sz w:val="15"/>
          <w:szCs w:val="15"/>
          <w:color w:val="auto"/>
        </w:rPr>
        <w:t>In valuing our ordinary shares, the fair value of our business was determined using various valuation methods, including combinations of income and market approaches with input from management. The income approach estimates value based on the expectation of future cash flows that a company will generate. These future cash flows are discounted to their present values using a discount rate that is derived from an analysis of the cost of capital of comparable publicly traded companies in our industry or similar business operations as of each valuation date and is adjusted to reflect the risks inherent in our cash flows. The market approach estimates value based on a comparison of the subject company to comparable public companies in a similar line of business. From the comparable companies, a representative market value multiple is determined and then applied to the subject company’s financial forecasts to estimate the value of the subject company.</w:t>
      </w:r>
    </w:p>
    <w:p>
      <w:pPr>
        <w:spacing w:after="0" w:line="155" w:lineRule="exact"/>
        <w:rPr>
          <w:sz w:val="20"/>
          <w:szCs w:val="20"/>
          <w:color w:val="auto"/>
        </w:rPr>
      </w:pPr>
    </w:p>
    <w:p>
      <w:pPr>
        <w:ind w:right="360" w:firstLine="410"/>
        <w:spacing w:after="0" w:line="299" w:lineRule="auto"/>
        <w:rPr>
          <w:sz w:val="20"/>
          <w:szCs w:val="20"/>
          <w:color w:val="auto"/>
        </w:rPr>
      </w:pPr>
      <w:r>
        <w:rPr>
          <w:rFonts w:ascii="Arial" w:cs="Arial" w:eastAsia="Arial" w:hAnsi="Arial"/>
          <w:sz w:val="16"/>
          <w:szCs w:val="16"/>
          <w:color w:val="auto"/>
        </w:rPr>
        <w:t>For each valuation, the fair value of our business determined by the income and market approaches was then allocated to the ordinary shares using either the option-pricing method (“OPM”), or a hybrid of the probability-weighted expected return method (“PWERM”) and OPM methods.</w:t>
      </w:r>
    </w:p>
    <w:p>
      <w:pPr>
        <w:spacing w:after="0" w:line="144" w:lineRule="exact"/>
        <w:rPr>
          <w:sz w:val="20"/>
          <w:szCs w:val="20"/>
          <w:color w:val="auto"/>
        </w:rPr>
      </w:pPr>
    </w:p>
    <w:p>
      <w:pPr>
        <w:ind w:right="60" w:firstLine="410"/>
        <w:spacing w:after="0" w:line="298" w:lineRule="auto"/>
        <w:rPr>
          <w:sz w:val="20"/>
          <w:szCs w:val="20"/>
          <w:color w:val="auto"/>
        </w:rPr>
      </w:pPr>
      <w:r>
        <w:rPr>
          <w:rFonts w:ascii="Arial" w:cs="Arial" w:eastAsia="Arial" w:hAnsi="Arial"/>
          <w:sz w:val="15"/>
          <w:szCs w:val="15"/>
          <w:color w:val="auto"/>
        </w:rPr>
        <w:t>In addition, we also considered any secondary transactions involving our ordinary shares. In our evaluation of those transactions, we considered the facts and circumstances of each transaction to determine the extent to which they represented a fair value exchange and assigned the transactions an appropriate weighting in the valuation of our ordinary shares. Factors considered include the number of different buyers and sellers, transaction volume, timing relative to the valuation date, whether the transactions occurred between willing and unrelated parties, and whether the transactions involved investors with access to our financial information.</w:t>
      </w:r>
    </w:p>
    <w:p>
      <w:pPr>
        <w:spacing w:after="0" w:line="148" w:lineRule="exact"/>
        <w:rPr>
          <w:sz w:val="20"/>
          <w:szCs w:val="20"/>
          <w:color w:val="auto"/>
        </w:rPr>
      </w:pPr>
    </w:p>
    <w:p>
      <w:pPr>
        <w:ind w:firstLine="410"/>
        <w:spacing w:after="0" w:line="307" w:lineRule="auto"/>
        <w:rPr>
          <w:sz w:val="20"/>
          <w:szCs w:val="20"/>
          <w:color w:val="auto"/>
        </w:rPr>
      </w:pPr>
      <w:r>
        <w:rPr>
          <w:rFonts w:ascii="Arial" w:cs="Arial" w:eastAsia="Arial" w:hAnsi="Arial"/>
          <w:sz w:val="15"/>
          <w:szCs w:val="15"/>
          <w:color w:val="auto"/>
        </w:rPr>
        <w:t>In some cases, we considered the amount of time between the valuation date and the grant date to determine whether to use the latest ordinary share valuation determined pursuant to the method described above or a straight-line calculation between two valuation dates. This determination included an evaluation of whether the subsequent valuation indicated that any significant change in valuation had occurred between the previous valuation and the grant date.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ind w:right="100" w:firstLine="410"/>
        <w:spacing w:after="0" w:line="298" w:lineRule="auto"/>
        <w:rPr>
          <w:sz w:val="20"/>
          <w:szCs w:val="20"/>
          <w:color w:val="auto"/>
        </w:rPr>
      </w:pPr>
      <w:r>
        <w:rPr>
          <w:rFonts w:ascii="Arial" w:cs="Arial" w:eastAsia="Arial" w:hAnsi="Arial"/>
          <w:sz w:val="15"/>
          <w:szCs w:val="15"/>
          <w:color w:val="auto"/>
        </w:rPr>
        <w:t>Application of these approaches and methodologies involves the use of estimates, judgments, and assumptions that are highly complex and subjective, such as those regarding our expected future revenue, expenses, and future cash flows, discount rates, market multiples, the selection of comparable public companies, and the probability of and timing associated with possible future events. Changes in any or all of these estimates and assumptions or the relationships between those assumptions impact our valuations as of each valuation date and may have a material impact on the valuation of our ordinary shares.</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auto"/>
        </w:rPr>
        <w:t>Internal Use Software Development Costs</w:t>
      </w:r>
    </w:p>
    <w:p>
      <w:pPr>
        <w:spacing w:after="0" w:line="206" w:lineRule="exact"/>
        <w:rPr>
          <w:sz w:val="20"/>
          <w:szCs w:val="20"/>
          <w:color w:val="auto"/>
        </w:rPr>
      </w:pPr>
    </w:p>
    <w:p>
      <w:pPr>
        <w:ind w:firstLine="410"/>
        <w:spacing w:after="0" w:line="267" w:lineRule="auto"/>
        <w:rPr>
          <w:sz w:val="20"/>
          <w:szCs w:val="20"/>
          <w:color w:val="auto"/>
        </w:rPr>
      </w:pPr>
      <w:r>
        <w:rPr>
          <w:rFonts w:ascii="Arial" w:cs="Arial" w:eastAsia="Arial" w:hAnsi="Arial"/>
          <w:sz w:val="16"/>
          <w:szCs w:val="16"/>
          <w:color w:val="auto"/>
        </w:rPr>
        <w:t>We capitalize certain costs related to the development of our platform and other software applications for internal use. In accordance with authoritative guidance, we begin to capitalize our costs to develop software when preliminary development efforts are successfully completed, management has authorized and committed project funding, and it is probable that the project will be completed and the software will be used as intended. We stop capitalizing these costs when the software is substantially complete and ready for its intended use, including the completion of all significant testing. These costs are amortized on a straight-line basis over the estimated useful life of the related asset, generally estimated to be three years. We also capitalize costs related to specific upgrades and enhancements when it is probable the expenditure will result in additional functionality and expense costs incurred for maintenance and minor upgrades and enhancements. Costs incurred prior to meeting these criteria together with costs incurred for training and maintenance are expensed as incurred and recorded within research and development expenses in our consolidated statements of operations.</w:t>
      </w:r>
    </w:p>
    <w:p>
      <w:pPr>
        <w:spacing w:after="0" w:line="170" w:lineRule="exact"/>
        <w:rPr>
          <w:sz w:val="20"/>
          <w:szCs w:val="20"/>
          <w:color w:val="auto"/>
        </w:rPr>
      </w:pPr>
    </w:p>
    <w:p>
      <w:pPr>
        <w:ind w:right="300" w:firstLine="410"/>
        <w:spacing w:after="0" w:line="274" w:lineRule="auto"/>
        <w:rPr>
          <w:sz w:val="20"/>
          <w:szCs w:val="20"/>
          <w:color w:val="auto"/>
        </w:rPr>
      </w:pPr>
      <w:r>
        <w:rPr>
          <w:rFonts w:ascii="Arial" w:cs="Arial" w:eastAsia="Arial" w:hAnsi="Arial"/>
          <w:sz w:val="16"/>
          <w:szCs w:val="16"/>
          <w:color w:val="auto"/>
        </w:rPr>
        <w:t>We exercise judgment in determining the point at which various projects may be capitalized, in assessing the ongoing value of the capitalized costs and in determining the estimated useful lives over which the costs are amortized. To the extent that we change the manner in which we develop and test new features and functionalities related to our platform, assess the ongoing value of capitalized assets or determine the estimated useful lives over which the costs are amortized, the amount of internal-use software development costs we capitalize and amortize could change in future periods.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year ended December 31, 2021, we capitalized internal use software development costs in the amount of $3.9 million.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210" w:lineRule="exact"/>
        <w:rPr>
          <w:sz w:val="20"/>
          <w:szCs w:val="20"/>
          <w:color w:val="auto"/>
        </w:rPr>
      </w:pPr>
    </w:p>
    <w:p>
      <w:pPr>
        <w:ind w:right="60" w:firstLine="410"/>
        <w:spacing w:after="0" w:line="268" w:lineRule="auto"/>
        <w:rPr>
          <w:sz w:val="20"/>
          <w:szCs w:val="20"/>
          <w:color w:val="auto"/>
        </w:rPr>
      </w:pPr>
      <w:r>
        <w:rPr>
          <w:rFonts w:ascii="Arial" w:cs="Arial" w:eastAsia="Arial" w:hAnsi="Arial"/>
          <w:sz w:val="17"/>
          <w:szCs w:val="17"/>
          <w:color w:val="auto"/>
        </w:rPr>
        <w:t>See the section titled “Summary of Significant Accounting Policies” in note 2 to our consolidated financial statements included elsewhere in this Annual Report for more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210" w:lineRule="exact"/>
        <w:rPr>
          <w:sz w:val="20"/>
          <w:szCs w:val="20"/>
          <w:color w:val="auto"/>
        </w:rPr>
      </w:pPr>
    </w:p>
    <w:p>
      <w:pPr>
        <w:ind w:right="40" w:firstLine="410"/>
        <w:spacing w:after="0" w:line="250" w:lineRule="auto"/>
        <w:rPr>
          <w:sz w:val="20"/>
          <w:szCs w:val="20"/>
          <w:color w:val="auto"/>
        </w:rPr>
      </w:pPr>
      <w:r>
        <w:rPr>
          <w:rFonts w:ascii="Arial" w:cs="Arial" w:eastAsia="Arial" w:hAnsi="Arial"/>
          <w:sz w:val="17"/>
          <w:szCs w:val="17"/>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certain accounting standards until those standards would otherwise apply to private companies. We have elected to take advantage of this extended transition period until the earlier of the date we (x) are no longer an emerging growth company, or (y) affirmatively and irrevocably opt out of the extended transition period. As a result, our operating results and financial statements may not be comparable to those of companies that comply with new or revised accounting pronouncements as of public company effective dates.</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color w:val="auto"/>
        </w:rPr>
        <w:t>Item 6. Directors, Senior Management and Employees</w:t>
      </w:r>
    </w:p>
    <w:p>
      <w:pPr>
        <w:spacing w:after="0" w:line="206" w:lineRule="exact"/>
        <w:rPr>
          <w:sz w:val="20"/>
          <w:szCs w:val="20"/>
          <w:color w:val="auto"/>
        </w:rPr>
      </w:pPr>
    </w:p>
    <w:p>
      <w:pPr>
        <w:ind w:left="420" w:hanging="282"/>
        <w:spacing w:after="0"/>
        <w:tabs>
          <w:tab w:leader="none" w:pos="42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Directors and Senior Management</w:t>
      </w:r>
    </w:p>
    <w:p>
      <w:pPr>
        <w:spacing w:after="0" w:line="210" w:lineRule="exact"/>
        <w:rPr>
          <w:rFonts w:ascii="Arial" w:cs="Arial" w:eastAsia="Arial" w:hAnsi="Arial"/>
          <w:sz w:val="17"/>
          <w:szCs w:val="17"/>
          <w:b w:val="1"/>
          <w:bCs w:val="1"/>
          <w:color w:val="auto"/>
        </w:rPr>
      </w:pPr>
    </w:p>
    <w:p>
      <w:pPr>
        <w:ind w:left="42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sets forth the name and position of each of our executive officers and directors as of February 28, 2022: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0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2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7"/>
                <w:szCs w:val="17"/>
                <w:b w:val="1"/>
                <w:bCs w:val="1"/>
                <w:color w:val="auto"/>
                <w:w w:val="87"/>
              </w:rPr>
              <w:t>Age</w:t>
            </w:r>
          </w:p>
        </w:tc>
        <w:tc>
          <w:tcPr>
            <w:tcW w:w="200" w:type="dxa"/>
            <w:vAlign w:val="bottom"/>
          </w:tcPr>
          <w:p>
            <w:pPr>
              <w:spacing w:after="0"/>
              <w:rPr>
                <w:sz w:val="18"/>
                <w:szCs w:val="18"/>
                <w:color w:val="auto"/>
              </w:rPr>
            </w:pPr>
          </w:p>
        </w:tc>
        <w:tc>
          <w:tcPr>
            <w:tcW w:w="6400" w:type="dxa"/>
            <w:vAlign w:val="bottom"/>
          </w:tcPr>
          <w:p>
            <w:pPr>
              <w:ind w:left="40"/>
              <w:spacing w:after="0"/>
              <w:rPr>
                <w:sz w:val="20"/>
                <w:szCs w:val="20"/>
                <w:color w:val="auto"/>
              </w:rPr>
            </w:pPr>
            <w:r>
              <w:rPr>
                <w:rFonts w:ascii="Arial" w:cs="Arial" w:eastAsia="Arial" w:hAnsi="Arial"/>
                <w:sz w:val="17"/>
                <w:szCs w:val="17"/>
                <w:b w:val="1"/>
                <w:bCs w:val="1"/>
                <w:color w:val="auto"/>
              </w:rPr>
              <w:t>Position</w:t>
            </w:r>
          </w:p>
        </w:tc>
      </w:tr>
      <w:tr>
        <w:trPr>
          <w:trHeight w:val="30"/>
        </w:trPr>
        <w:tc>
          <w:tcPr>
            <w:tcW w:w="3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r>
      <w:tr>
        <w:trPr>
          <w:trHeight w:val="251"/>
        </w:trPr>
        <w:tc>
          <w:tcPr>
            <w:tcW w:w="3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0" w:type="dxa"/>
            <w:vAlign w:val="bottom"/>
          </w:tcPr>
          <w:p>
            <w:pPr>
              <w:spacing w:after="0"/>
              <w:rPr>
                <w:sz w:val="21"/>
                <w:szCs w:val="21"/>
                <w:color w:val="auto"/>
              </w:rPr>
            </w:pPr>
          </w:p>
        </w:tc>
      </w:tr>
      <w:tr>
        <w:trPr>
          <w:trHeight w:val="231"/>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Executive Officers</w:t>
            </w:r>
          </w:p>
        </w:tc>
        <w:tc>
          <w:tcPr>
            <w:tcW w:w="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0" w:type="dxa"/>
            <w:vAlign w:val="bottom"/>
            <w:tcBorders>
              <w:bottom w:val="single" w:sz="8" w:color="CCEEFF"/>
            </w:tcBorders>
            <w:shd w:val="clear" w:color="auto" w:fill="CCEEFF"/>
          </w:tcPr>
          <w:p>
            <w:pPr>
              <w:spacing w:after="0"/>
              <w:rPr>
                <w:sz w:val="20"/>
                <w:szCs w:val="20"/>
                <w:color w:val="auto"/>
              </w:rPr>
            </w:pPr>
          </w:p>
        </w:tc>
      </w:tr>
      <w:tr>
        <w:trPr>
          <w:trHeight w:val="226"/>
        </w:trPr>
        <w:tc>
          <w:tcPr>
            <w:tcW w:w="3900" w:type="dxa"/>
            <w:vAlign w:val="bottom"/>
          </w:tcPr>
          <w:p>
            <w:pPr>
              <w:ind w:left="20"/>
              <w:spacing w:after="0"/>
              <w:rPr>
                <w:sz w:val="20"/>
                <w:szCs w:val="20"/>
                <w:color w:val="auto"/>
              </w:rPr>
            </w:pPr>
            <w:r>
              <w:rPr>
                <w:rFonts w:ascii="Arial" w:cs="Arial" w:eastAsia="Arial" w:hAnsi="Arial"/>
                <w:sz w:val="17"/>
                <w:szCs w:val="17"/>
                <w:color w:val="auto"/>
              </w:rPr>
              <w:t>Dan Adika</w:t>
            </w:r>
          </w:p>
        </w:tc>
        <w:tc>
          <w:tcPr>
            <w:tcW w:w="740" w:type="dxa"/>
            <w:vAlign w:val="bottom"/>
            <w:gridSpan w:val="2"/>
          </w:tcPr>
          <w:p>
            <w:pPr>
              <w:jc w:val="center"/>
              <w:ind w:left="136"/>
              <w:spacing w:after="0"/>
              <w:rPr>
                <w:sz w:val="20"/>
                <w:szCs w:val="20"/>
                <w:color w:val="auto"/>
              </w:rPr>
            </w:pPr>
            <w:r>
              <w:rPr>
                <w:rFonts w:ascii="Arial" w:cs="Arial" w:eastAsia="Arial" w:hAnsi="Arial"/>
                <w:sz w:val="17"/>
                <w:szCs w:val="17"/>
                <w:color w:val="auto"/>
                <w:w w:val="84"/>
              </w:rPr>
              <w:t>36</w:t>
            </w:r>
          </w:p>
        </w:tc>
        <w:tc>
          <w:tcPr>
            <w:tcW w:w="200" w:type="dxa"/>
            <w:vAlign w:val="bottom"/>
          </w:tcPr>
          <w:p>
            <w:pPr>
              <w:spacing w:after="0"/>
              <w:rPr>
                <w:sz w:val="19"/>
                <w:szCs w:val="19"/>
                <w:color w:val="auto"/>
              </w:rPr>
            </w:pPr>
          </w:p>
        </w:tc>
        <w:tc>
          <w:tcPr>
            <w:tcW w:w="6400" w:type="dxa"/>
            <w:vAlign w:val="bottom"/>
          </w:tcPr>
          <w:p>
            <w:pPr>
              <w:ind w:left="40"/>
              <w:spacing w:after="0"/>
              <w:rPr>
                <w:sz w:val="20"/>
                <w:szCs w:val="20"/>
                <w:color w:val="auto"/>
              </w:rPr>
            </w:pPr>
            <w:r>
              <w:rPr>
                <w:rFonts w:ascii="Arial" w:cs="Arial" w:eastAsia="Arial" w:hAnsi="Arial"/>
                <w:sz w:val="17"/>
                <w:szCs w:val="17"/>
                <w:color w:val="auto"/>
              </w:rPr>
              <w:t>Chief Executive Officer and Chairperson</w:t>
            </w:r>
          </w:p>
        </w:tc>
      </w:tr>
      <w:tr>
        <w:trPr>
          <w:trHeight w:val="25"/>
        </w:trPr>
        <w:tc>
          <w:tcPr>
            <w:tcW w:w="39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31"/>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Rafael Sweary</w:t>
            </w:r>
          </w:p>
        </w:tc>
        <w:tc>
          <w:tcPr>
            <w:tcW w:w="740" w:type="dxa"/>
            <w:vAlign w:val="bottom"/>
            <w:tcBorders>
              <w:bottom w:val="single" w:sz="8" w:color="CCEEFF"/>
            </w:tcBorders>
            <w:gridSpan w:val="2"/>
            <w:shd w:val="clear" w:color="auto" w:fill="CCEEFF"/>
          </w:tcPr>
          <w:p>
            <w:pPr>
              <w:jc w:val="center"/>
              <w:ind w:left="136"/>
              <w:spacing w:after="0"/>
              <w:rPr>
                <w:sz w:val="20"/>
                <w:szCs w:val="20"/>
                <w:color w:val="auto"/>
              </w:rPr>
            </w:pPr>
            <w:r>
              <w:rPr>
                <w:rFonts w:ascii="Arial" w:cs="Arial" w:eastAsia="Arial" w:hAnsi="Arial"/>
                <w:sz w:val="17"/>
                <w:szCs w:val="17"/>
                <w:color w:val="auto"/>
                <w:w w:val="84"/>
              </w:rPr>
              <w:t>50</w:t>
            </w:r>
          </w:p>
        </w:tc>
        <w:tc>
          <w:tcPr>
            <w:tcW w:w="200" w:type="dxa"/>
            <w:vAlign w:val="bottom"/>
            <w:tcBorders>
              <w:bottom w:val="single" w:sz="8" w:color="CCEEFF"/>
            </w:tcBorders>
            <w:shd w:val="clear" w:color="auto" w:fill="CCEEFF"/>
          </w:tcPr>
          <w:p>
            <w:pPr>
              <w:spacing w:after="0"/>
              <w:rPr>
                <w:sz w:val="20"/>
                <w:szCs w:val="20"/>
                <w:color w:val="auto"/>
              </w:rPr>
            </w:pPr>
          </w:p>
        </w:tc>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President and Director</w:t>
            </w:r>
          </w:p>
        </w:tc>
      </w:tr>
      <w:tr>
        <w:trPr>
          <w:trHeight w:val="226"/>
        </w:trPr>
        <w:tc>
          <w:tcPr>
            <w:tcW w:w="3900" w:type="dxa"/>
            <w:vAlign w:val="bottom"/>
          </w:tcPr>
          <w:p>
            <w:pPr>
              <w:ind w:left="20"/>
              <w:spacing w:after="0"/>
              <w:rPr>
                <w:sz w:val="20"/>
                <w:szCs w:val="20"/>
                <w:color w:val="auto"/>
              </w:rPr>
            </w:pPr>
            <w:r>
              <w:rPr>
                <w:rFonts w:ascii="Arial" w:cs="Arial" w:eastAsia="Arial" w:hAnsi="Arial"/>
                <w:sz w:val="17"/>
                <w:szCs w:val="17"/>
                <w:color w:val="auto"/>
              </w:rPr>
              <w:t>Andrew Casey</w:t>
            </w:r>
          </w:p>
        </w:tc>
        <w:tc>
          <w:tcPr>
            <w:tcW w:w="740" w:type="dxa"/>
            <w:vAlign w:val="bottom"/>
            <w:gridSpan w:val="2"/>
          </w:tcPr>
          <w:p>
            <w:pPr>
              <w:jc w:val="center"/>
              <w:ind w:left="136"/>
              <w:spacing w:after="0"/>
              <w:rPr>
                <w:sz w:val="20"/>
                <w:szCs w:val="20"/>
                <w:color w:val="auto"/>
              </w:rPr>
            </w:pPr>
            <w:r>
              <w:rPr>
                <w:rFonts w:ascii="Arial" w:cs="Arial" w:eastAsia="Arial" w:hAnsi="Arial"/>
                <w:sz w:val="17"/>
                <w:szCs w:val="17"/>
                <w:color w:val="auto"/>
                <w:w w:val="84"/>
              </w:rPr>
              <w:t>52</w:t>
            </w:r>
          </w:p>
        </w:tc>
        <w:tc>
          <w:tcPr>
            <w:tcW w:w="200" w:type="dxa"/>
            <w:vAlign w:val="bottom"/>
          </w:tcPr>
          <w:p>
            <w:pPr>
              <w:spacing w:after="0"/>
              <w:rPr>
                <w:sz w:val="19"/>
                <w:szCs w:val="19"/>
                <w:color w:val="auto"/>
              </w:rPr>
            </w:pPr>
          </w:p>
        </w:tc>
        <w:tc>
          <w:tcPr>
            <w:tcW w:w="6400" w:type="dxa"/>
            <w:vAlign w:val="bottom"/>
          </w:tcPr>
          <w:p>
            <w:pPr>
              <w:ind w:left="40"/>
              <w:spacing w:after="0"/>
              <w:rPr>
                <w:sz w:val="20"/>
                <w:szCs w:val="20"/>
                <w:color w:val="auto"/>
              </w:rPr>
            </w:pPr>
            <w:r>
              <w:rPr>
                <w:rFonts w:ascii="Arial" w:cs="Arial" w:eastAsia="Arial" w:hAnsi="Arial"/>
                <w:sz w:val="17"/>
                <w:szCs w:val="17"/>
                <w:color w:val="auto"/>
              </w:rPr>
              <w:t>Chief Financial Officer</w:t>
            </w:r>
          </w:p>
        </w:tc>
      </w:tr>
      <w:tr>
        <w:trPr>
          <w:trHeight w:val="25"/>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31"/>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Non-Employee Directors</w:t>
            </w:r>
          </w:p>
        </w:tc>
        <w:tc>
          <w:tcPr>
            <w:tcW w:w="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0" w:type="dxa"/>
            <w:vAlign w:val="bottom"/>
            <w:tcBorders>
              <w:bottom w:val="single" w:sz="8" w:color="CCEEFF"/>
            </w:tcBorders>
            <w:shd w:val="clear" w:color="auto" w:fill="CCEEFF"/>
          </w:tcPr>
          <w:p>
            <w:pPr>
              <w:spacing w:after="0"/>
              <w:rPr>
                <w:sz w:val="20"/>
                <w:szCs w:val="20"/>
                <w:color w:val="auto"/>
              </w:rPr>
            </w:pPr>
          </w:p>
        </w:tc>
      </w:tr>
      <w:tr>
        <w:trPr>
          <w:trHeight w:val="226"/>
        </w:trPr>
        <w:tc>
          <w:tcPr>
            <w:tcW w:w="3900" w:type="dxa"/>
            <w:vAlign w:val="bottom"/>
          </w:tcPr>
          <w:p>
            <w:pPr>
              <w:ind w:left="20"/>
              <w:spacing w:after="0"/>
              <w:rPr>
                <w:sz w:val="20"/>
                <w:szCs w:val="20"/>
                <w:color w:val="auto"/>
              </w:rPr>
            </w:pPr>
            <w:r>
              <w:rPr>
                <w:rFonts w:ascii="Arial" w:cs="Arial" w:eastAsia="Arial" w:hAnsi="Arial"/>
                <w:sz w:val="17"/>
                <w:szCs w:val="17"/>
                <w:color w:val="auto"/>
              </w:rPr>
              <w:t>Haleli Barath</w:t>
            </w:r>
          </w:p>
        </w:tc>
        <w:tc>
          <w:tcPr>
            <w:tcW w:w="740" w:type="dxa"/>
            <w:vAlign w:val="bottom"/>
            <w:gridSpan w:val="2"/>
          </w:tcPr>
          <w:p>
            <w:pPr>
              <w:jc w:val="center"/>
              <w:ind w:left="136"/>
              <w:spacing w:after="0"/>
              <w:rPr>
                <w:sz w:val="20"/>
                <w:szCs w:val="20"/>
                <w:color w:val="auto"/>
              </w:rPr>
            </w:pPr>
            <w:r>
              <w:rPr>
                <w:rFonts w:ascii="Arial" w:cs="Arial" w:eastAsia="Arial" w:hAnsi="Arial"/>
                <w:sz w:val="17"/>
                <w:szCs w:val="17"/>
                <w:color w:val="auto"/>
                <w:w w:val="84"/>
              </w:rPr>
              <w:t>47</w:t>
            </w:r>
          </w:p>
        </w:tc>
        <w:tc>
          <w:tcPr>
            <w:tcW w:w="200" w:type="dxa"/>
            <w:vAlign w:val="bottom"/>
          </w:tcPr>
          <w:p>
            <w:pPr>
              <w:spacing w:after="0"/>
              <w:rPr>
                <w:sz w:val="19"/>
                <w:szCs w:val="19"/>
                <w:color w:val="auto"/>
              </w:rPr>
            </w:pPr>
          </w:p>
        </w:tc>
        <w:tc>
          <w:tcPr>
            <w:tcW w:w="6400" w:type="dxa"/>
            <w:vAlign w:val="bottom"/>
          </w:tcPr>
          <w:p>
            <w:pPr>
              <w:ind w:left="40"/>
              <w:spacing w:after="0"/>
              <w:rPr>
                <w:sz w:val="20"/>
                <w:szCs w:val="20"/>
                <w:color w:val="auto"/>
              </w:rPr>
            </w:pPr>
            <w:r>
              <w:rPr>
                <w:rFonts w:ascii="Arial" w:cs="Arial" w:eastAsia="Arial" w:hAnsi="Arial"/>
                <w:sz w:val="17"/>
                <w:szCs w:val="17"/>
                <w:color w:val="auto"/>
              </w:rPr>
              <w:t>Director</w:t>
            </w:r>
          </w:p>
        </w:tc>
      </w:tr>
      <w:tr>
        <w:trPr>
          <w:trHeight w:val="25"/>
        </w:trPr>
        <w:tc>
          <w:tcPr>
            <w:tcW w:w="39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400" w:type="dxa"/>
            <w:vAlign w:val="bottom"/>
          </w:tcPr>
          <w:p>
            <w:pPr>
              <w:spacing w:after="0"/>
              <w:rPr>
                <w:sz w:val="2"/>
                <w:szCs w:val="2"/>
                <w:color w:val="auto"/>
              </w:rPr>
            </w:pPr>
          </w:p>
        </w:tc>
      </w:tr>
      <w:tr>
        <w:trPr>
          <w:trHeight w:val="251"/>
        </w:trPr>
        <w:tc>
          <w:tcPr>
            <w:tcW w:w="3900" w:type="dxa"/>
            <w:vAlign w:val="bottom"/>
            <w:shd w:val="clear" w:color="auto" w:fill="CCEEFF"/>
          </w:tcPr>
          <w:p>
            <w:pPr>
              <w:ind w:left="20"/>
              <w:spacing w:after="0" w:line="251" w:lineRule="exact"/>
              <w:rPr>
                <w:sz w:val="20"/>
                <w:szCs w:val="20"/>
                <w:color w:val="auto"/>
              </w:rPr>
            </w:pPr>
            <w:r>
              <w:rPr>
                <w:rFonts w:ascii="Arial" w:cs="Arial" w:eastAsia="Arial" w:hAnsi="Arial"/>
                <w:sz w:val="17"/>
                <w:szCs w:val="17"/>
                <w:color w:val="auto"/>
              </w:rPr>
              <w:t xml:space="preserve">Michele Bettencourt </w:t>
            </w:r>
            <w:r>
              <w:rPr>
                <w:rFonts w:ascii="Arial" w:cs="Arial" w:eastAsia="Arial" w:hAnsi="Arial"/>
                <w:sz w:val="27"/>
                <w:szCs w:val="27"/>
                <w:color w:val="auto"/>
                <w:vertAlign w:val="superscript"/>
              </w:rPr>
              <w:t>(1)</w:t>
            </w:r>
          </w:p>
        </w:tc>
        <w:tc>
          <w:tcPr>
            <w:tcW w:w="740" w:type="dxa"/>
            <w:vAlign w:val="bottom"/>
            <w:gridSpan w:val="2"/>
            <w:shd w:val="clear" w:color="auto" w:fill="CCEEFF"/>
          </w:tcPr>
          <w:p>
            <w:pPr>
              <w:jc w:val="center"/>
              <w:ind w:left="136"/>
              <w:spacing w:after="0"/>
              <w:rPr>
                <w:sz w:val="20"/>
                <w:szCs w:val="20"/>
                <w:color w:val="auto"/>
              </w:rPr>
            </w:pPr>
            <w:r>
              <w:rPr>
                <w:rFonts w:ascii="Arial" w:cs="Arial" w:eastAsia="Arial" w:hAnsi="Arial"/>
                <w:sz w:val="17"/>
                <w:szCs w:val="17"/>
                <w:color w:val="auto"/>
                <w:w w:val="84"/>
              </w:rPr>
              <w:t>61</w:t>
            </w:r>
          </w:p>
        </w:tc>
        <w:tc>
          <w:tcPr>
            <w:tcW w:w="200" w:type="dxa"/>
            <w:vAlign w:val="bottom"/>
            <w:shd w:val="clear" w:color="auto" w:fill="CCEEFF"/>
          </w:tcPr>
          <w:p>
            <w:pPr>
              <w:spacing w:after="0"/>
              <w:rPr>
                <w:sz w:val="21"/>
                <w:szCs w:val="21"/>
                <w:color w:val="auto"/>
              </w:rPr>
            </w:pPr>
          </w:p>
        </w:tc>
        <w:tc>
          <w:tcPr>
            <w:tcW w:w="6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Director</w:t>
            </w:r>
          </w:p>
        </w:tc>
      </w:tr>
      <w:tr>
        <w:trPr>
          <w:trHeight w:val="251"/>
        </w:trPr>
        <w:tc>
          <w:tcPr>
            <w:tcW w:w="3900" w:type="dxa"/>
            <w:vAlign w:val="bottom"/>
          </w:tcPr>
          <w:p>
            <w:pPr>
              <w:ind w:left="20"/>
              <w:spacing w:after="0" w:line="251" w:lineRule="exact"/>
              <w:rPr>
                <w:sz w:val="20"/>
                <w:szCs w:val="20"/>
                <w:color w:val="auto"/>
              </w:rPr>
            </w:pPr>
            <w:r>
              <w:rPr>
                <w:rFonts w:ascii="Arial" w:cs="Arial" w:eastAsia="Arial" w:hAnsi="Arial"/>
                <w:sz w:val="17"/>
                <w:szCs w:val="17"/>
                <w:color w:val="auto"/>
              </w:rPr>
              <w:t xml:space="preserve">Menashe Ezra </w:t>
            </w:r>
            <w:r>
              <w:rPr>
                <w:rFonts w:ascii="Arial" w:cs="Arial" w:eastAsia="Arial" w:hAnsi="Arial"/>
                <w:sz w:val="27"/>
                <w:szCs w:val="27"/>
                <w:color w:val="auto"/>
                <w:vertAlign w:val="superscript"/>
              </w:rPr>
              <w:t>(3)</w:t>
            </w:r>
          </w:p>
        </w:tc>
        <w:tc>
          <w:tcPr>
            <w:tcW w:w="740" w:type="dxa"/>
            <w:vAlign w:val="bottom"/>
            <w:gridSpan w:val="2"/>
          </w:tcPr>
          <w:p>
            <w:pPr>
              <w:jc w:val="center"/>
              <w:ind w:left="136"/>
              <w:spacing w:after="0"/>
              <w:rPr>
                <w:sz w:val="20"/>
                <w:szCs w:val="20"/>
                <w:color w:val="auto"/>
              </w:rPr>
            </w:pPr>
            <w:r>
              <w:rPr>
                <w:rFonts w:ascii="Arial" w:cs="Arial" w:eastAsia="Arial" w:hAnsi="Arial"/>
                <w:sz w:val="17"/>
                <w:szCs w:val="17"/>
                <w:color w:val="auto"/>
                <w:w w:val="84"/>
              </w:rPr>
              <w:t>69</w:t>
            </w:r>
          </w:p>
        </w:tc>
        <w:tc>
          <w:tcPr>
            <w:tcW w:w="200" w:type="dxa"/>
            <w:vAlign w:val="bottom"/>
          </w:tcPr>
          <w:p>
            <w:pPr>
              <w:spacing w:after="0"/>
              <w:rPr>
                <w:sz w:val="21"/>
                <w:szCs w:val="21"/>
                <w:color w:val="auto"/>
              </w:rPr>
            </w:pPr>
          </w:p>
        </w:tc>
        <w:tc>
          <w:tcPr>
            <w:tcW w:w="6400" w:type="dxa"/>
            <w:vAlign w:val="bottom"/>
          </w:tcPr>
          <w:p>
            <w:pPr>
              <w:ind w:left="40"/>
              <w:spacing w:after="0"/>
              <w:rPr>
                <w:sz w:val="20"/>
                <w:szCs w:val="20"/>
                <w:color w:val="auto"/>
              </w:rPr>
            </w:pPr>
            <w:r>
              <w:rPr>
                <w:rFonts w:ascii="Arial" w:cs="Arial" w:eastAsia="Arial" w:hAnsi="Arial"/>
                <w:sz w:val="17"/>
                <w:szCs w:val="17"/>
                <w:color w:val="auto"/>
              </w:rPr>
              <w:t>Director</w:t>
            </w:r>
          </w:p>
        </w:tc>
      </w:tr>
      <w:tr>
        <w:trPr>
          <w:trHeight w:val="251"/>
        </w:trPr>
        <w:tc>
          <w:tcPr>
            <w:tcW w:w="3900" w:type="dxa"/>
            <w:vAlign w:val="bottom"/>
            <w:shd w:val="clear" w:color="auto" w:fill="CCEEFF"/>
          </w:tcPr>
          <w:p>
            <w:pPr>
              <w:ind w:left="20"/>
              <w:spacing w:after="0" w:line="251" w:lineRule="exact"/>
              <w:rPr>
                <w:sz w:val="20"/>
                <w:szCs w:val="20"/>
                <w:color w:val="auto"/>
              </w:rPr>
            </w:pPr>
            <w:r>
              <w:rPr>
                <w:rFonts w:ascii="Arial" w:cs="Arial" w:eastAsia="Arial" w:hAnsi="Arial"/>
                <w:sz w:val="29"/>
                <w:szCs w:val="29"/>
                <w:color w:val="auto"/>
                <w:vertAlign w:val="subscript"/>
              </w:rPr>
              <w:t>Ron Gutler</w:t>
            </w:r>
            <w:r>
              <w:rPr>
                <w:rFonts w:ascii="Arial" w:cs="Arial" w:eastAsia="Arial" w:hAnsi="Arial"/>
                <w:sz w:val="13"/>
                <w:szCs w:val="13"/>
                <w:color w:val="auto"/>
              </w:rPr>
              <w:t xml:space="preserve"> (1) (2) (3)</w:t>
            </w:r>
          </w:p>
        </w:tc>
        <w:tc>
          <w:tcPr>
            <w:tcW w:w="740" w:type="dxa"/>
            <w:vAlign w:val="bottom"/>
            <w:gridSpan w:val="2"/>
            <w:shd w:val="clear" w:color="auto" w:fill="CCEEFF"/>
          </w:tcPr>
          <w:p>
            <w:pPr>
              <w:jc w:val="center"/>
              <w:ind w:left="136"/>
              <w:spacing w:after="0"/>
              <w:rPr>
                <w:sz w:val="20"/>
                <w:szCs w:val="20"/>
                <w:color w:val="auto"/>
              </w:rPr>
            </w:pPr>
            <w:r>
              <w:rPr>
                <w:rFonts w:ascii="Arial" w:cs="Arial" w:eastAsia="Arial" w:hAnsi="Arial"/>
                <w:sz w:val="17"/>
                <w:szCs w:val="17"/>
                <w:color w:val="auto"/>
                <w:w w:val="84"/>
              </w:rPr>
              <w:t>64</w:t>
            </w:r>
          </w:p>
        </w:tc>
        <w:tc>
          <w:tcPr>
            <w:tcW w:w="200" w:type="dxa"/>
            <w:vAlign w:val="bottom"/>
            <w:shd w:val="clear" w:color="auto" w:fill="CCEEFF"/>
          </w:tcPr>
          <w:p>
            <w:pPr>
              <w:spacing w:after="0"/>
              <w:rPr>
                <w:sz w:val="21"/>
                <w:szCs w:val="21"/>
                <w:color w:val="auto"/>
              </w:rPr>
            </w:pPr>
          </w:p>
        </w:tc>
        <w:tc>
          <w:tcPr>
            <w:tcW w:w="6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Director</w:t>
            </w:r>
          </w:p>
        </w:tc>
      </w:tr>
      <w:tr>
        <w:trPr>
          <w:trHeight w:val="251"/>
        </w:trPr>
        <w:tc>
          <w:tcPr>
            <w:tcW w:w="3900" w:type="dxa"/>
            <w:vAlign w:val="bottom"/>
          </w:tcPr>
          <w:p>
            <w:pPr>
              <w:ind w:left="20"/>
              <w:spacing w:after="0" w:line="251" w:lineRule="exact"/>
              <w:rPr>
                <w:sz w:val="20"/>
                <w:szCs w:val="20"/>
                <w:color w:val="auto"/>
              </w:rPr>
            </w:pPr>
            <w:r>
              <w:rPr>
                <w:rFonts w:ascii="Arial" w:cs="Arial" w:eastAsia="Arial" w:hAnsi="Arial"/>
                <w:sz w:val="17"/>
                <w:szCs w:val="17"/>
                <w:color w:val="auto"/>
              </w:rPr>
              <w:t xml:space="preserve">Jeff Horing </w:t>
            </w:r>
            <w:r>
              <w:rPr>
                <w:rFonts w:ascii="Arial" w:cs="Arial" w:eastAsia="Arial" w:hAnsi="Arial"/>
                <w:sz w:val="27"/>
                <w:szCs w:val="27"/>
                <w:color w:val="auto"/>
                <w:vertAlign w:val="superscript"/>
              </w:rPr>
              <w:t>(3)</w:t>
            </w:r>
          </w:p>
        </w:tc>
        <w:tc>
          <w:tcPr>
            <w:tcW w:w="740" w:type="dxa"/>
            <w:vAlign w:val="bottom"/>
            <w:gridSpan w:val="2"/>
          </w:tcPr>
          <w:p>
            <w:pPr>
              <w:jc w:val="center"/>
              <w:ind w:left="136"/>
              <w:spacing w:after="0"/>
              <w:rPr>
                <w:sz w:val="20"/>
                <w:szCs w:val="20"/>
                <w:color w:val="auto"/>
              </w:rPr>
            </w:pPr>
            <w:r>
              <w:rPr>
                <w:rFonts w:ascii="Arial" w:cs="Arial" w:eastAsia="Arial" w:hAnsi="Arial"/>
                <w:sz w:val="17"/>
                <w:szCs w:val="17"/>
                <w:color w:val="auto"/>
                <w:w w:val="84"/>
              </w:rPr>
              <w:t>57</w:t>
            </w:r>
          </w:p>
        </w:tc>
        <w:tc>
          <w:tcPr>
            <w:tcW w:w="200" w:type="dxa"/>
            <w:vAlign w:val="bottom"/>
          </w:tcPr>
          <w:p>
            <w:pPr>
              <w:spacing w:after="0"/>
              <w:rPr>
                <w:sz w:val="21"/>
                <w:szCs w:val="21"/>
                <w:color w:val="auto"/>
              </w:rPr>
            </w:pPr>
          </w:p>
        </w:tc>
        <w:tc>
          <w:tcPr>
            <w:tcW w:w="6400" w:type="dxa"/>
            <w:vAlign w:val="bottom"/>
          </w:tcPr>
          <w:p>
            <w:pPr>
              <w:ind w:left="40"/>
              <w:spacing w:after="0"/>
              <w:rPr>
                <w:sz w:val="20"/>
                <w:szCs w:val="20"/>
                <w:color w:val="auto"/>
              </w:rPr>
            </w:pPr>
            <w:r>
              <w:rPr>
                <w:rFonts w:ascii="Arial" w:cs="Arial" w:eastAsia="Arial" w:hAnsi="Arial"/>
                <w:sz w:val="17"/>
                <w:szCs w:val="17"/>
                <w:color w:val="auto"/>
              </w:rPr>
              <w:t>Director</w:t>
            </w:r>
          </w:p>
        </w:tc>
      </w:tr>
      <w:tr>
        <w:trPr>
          <w:trHeight w:val="251"/>
        </w:trPr>
        <w:tc>
          <w:tcPr>
            <w:tcW w:w="3900" w:type="dxa"/>
            <w:vAlign w:val="bottom"/>
            <w:shd w:val="clear" w:color="auto" w:fill="CCEEFF"/>
          </w:tcPr>
          <w:p>
            <w:pPr>
              <w:ind w:left="20"/>
              <w:spacing w:after="0" w:line="251" w:lineRule="exact"/>
              <w:rPr>
                <w:sz w:val="20"/>
                <w:szCs w:val="20"/>
                <w:color w:val="auto"/>
              </w:rPr>
            </w:pPr>
            <w:r>
              <w:rPr>
                <w:rFonts w:ascii="Arial" w:cs="Arial" w:eastAsia="Arial" w:hAnsi="Arial"/>
                <w:sz w:val="17"/>
                <w:szCs w:val="17"/>
                <w:color w:val="auto"/>
              </w:rPr>
              <w:t xml:space="preserve">Rory O’Driscoll </w:t>
            </w:r>
            <w:r>
              <w:rPr>
                <w:rFonts w:ascii="Arial" w:cs="Arial" w:eastAsia="Arial" w:hAnsi="Arial"/>
                <w:sz w:val="27"/>
                <w:szCs w:val="27"/>
                <w:color w:val="auto"/>
                <w:vertAlign w:val="superscript"/>
              </w:rPr>
              <w:t>(2)</w:t>
            </w:r>
          </w:p>
        </w:tc>
        <w:tc>
          <w:tcPr>
            <w:tcW w:w="740" w:type="dxa"/>
            <w:vAlign w:val="bottom"/>
            <w:gridSpan w:val="2"/>
            <w:shd w:val="clear" w:color="auto" w:fill="CCEEFF"/>
          </w:tcPr>
          <w:p>
            <w:pPr>
              <w:jc w:val="center"/>
              <w:ind w:left="136"/>
              <w:spacing w:after="0"/>
              <w:rPr>
                <w:sz w:val="20"/>
                <w:szCs w:val="20"/>
                <w:color w:val="auto"/>
              </w:rPr>
            </w:pPr>
            <w:r>
              <w:rPr>
                <w:rFonts w:ascii="Arial" w:cs="Arial" w:eastAsia="Arial" w:hAnsi="Arial"/>
                <w:sz w:val="17"/>
                <w:szCs w:val="17"/>
                <w:color w:val="auto"/>
                <w:w w:val="84"/>
              </w:rPr>
              <w:t>57</w:t>
            </w:r>
          </w:p>
        </w:tc>
        <w:tc>
          <w:tcPr>
            <w:tcW w:w="200" w:type="dxa"/>
            <w:vAlign w:val="bottom"/>
            <w:shd w:val="clear" w:color="auto" w:fill="CCEEFF"/>
          </w:tcPr>
          <w:p>
            <w:pPr>
              <w:spacing w:after="0"/>
              <w:rPr>
                <w:sz w:val="21"/>
                <w:szCs w:val="21"/>
                <w:color w:val="auto"/>
              </w:rPr>
            </w:pPr>
          </w:p>
        </w:tc>
        <w:tc>
          <w:tcPr>
            <w:tcW w:w="6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Director</w:t>
            </w:r>
          </w:p>
        </w:tc>
      </w:tr>
      <w:tr>
        <w:trPr>
          <w:trHeight w:val="251"/>
        </w:trPr>
        <w:tc>
          <w:tcPr>
            <w:tcW w:w="3900" w:type="dxa"/>
            <w:vAlign w:val="bottom"/>
          </w:tcPr>
          <w:p>
            <w:pPr>
              <w:ind w:left="20"/>
              <w:spacing w:after="0" w:line="251" w:lineRule="exact"/>
              <w:rPr>
                <w:sz w:val="20"/>
                <w:szCs w:val="20"/>
                <w:color w:val="auto"/>
              </w:rPr>
            </w:pPr>
            <w:r>
              <w:rPr>
                <w:rFonts w:ascii="Arial" w:cs="Arial" w:eastAsia="Arial" w:hAnsi="Arial"/>
                <w:sz w:val="17"/>
                <w:szCs w:val="17"/>
                <w:color w:val="auto"/>
              </w:rPr>
              <w:t xml:space="preserve">Michael Risman </w:t>
            </w:r>
            <w:r>
              <w:rPr>
                <w:rFonts w:ascii="Arial" w:cs="Arial" w:eastAsia="Arial" w:hAnsi="Arial"/>
                <w:sz w:val="27"/>
                <w:szCs w:val="27"/>
                <w:color w:val="auto"/>
                <w:vertAlign w:val="superscript"/>
              </w:rPr>
              <w:t>(3)</w:t>
            </w:r>
          </w:p>
        </w:tc>
        <w:tc>
          <w:tcPr>
            <w:tcW w:w="740" w:type="dxa"/>
            <w:vAlign w:val="bottom"/>
            <w:gridSpan w:val="2"/>
          </w:tcPr>
          <w:p>
            <w:pPr>
              <w:jc w:val="center"/>
              <w:ind w:left="136"/>
              <w:spacing w:after="0"/>
              <w:rPr>
                <w:sz w:val="20"/>
                <w:szCs w:val="20"/>
                <w:color w:val="auto"/>
              </w:rPr>
            </w:pPr>
            <w:r>
              <w:rPr>
                <w:rFonts w:ascii="Arial" w:cs="Arial" w:eastAsia="Arial" w:hAnsi="Arial"/>
                <w:sz w:val="17"/>
                <w:szCs w:val="17"/>
                <w:color w:val="auto"/>
                <w:w w:val="84"/>
              </w:rPr>
              <w:t>53</w:t>
            </w:r>
          </w:p>
        </w:tc>
        <w:tc>
          <w:tcPr>
            <w:tcW w:w="200" w:type="dxa"/>
            <w:vAlign w:val="bottom"/>
          </w:tcPr>
          <w:p>
            <w:pPr>
              <w:spacing w:after="0"/>
              <w:rPr>
                <w:sz w:val="21"/>
                <w:szCs w:val="21"/>
                <w:color w:val="auto"/>
              </w:rPr>
            </w:pPr>
          </w:p>
        </w:tc>
        <w:tc>
          <w:tcPr>
            <w:tcW w:w="6400" w:type="dxa"/>
            <w:vAlign w:val="bottom"/>
          </w:tcPr>
          <w:p>
            <w:pPr>
              <w:ind w:left="40"/>
              <w:spacing w:after="0"/>
              <w:rPr>
                <w:sz w:val="20"/>
                <w:szCs w:val="20"/>
                <w:color w:val="auto"/>
              </w:rPr>
            </w:pPr>
            <w:r>
              <w:rPr>
                <w:rFonts w:ascii="Arial" w:cs="Arial" w:eastAsia="Arial" w:hAnsi="Arial"/>
                <w:sz w:val="17"/>
                <w:szCs w:val="17"/>
                <w:color w:val="auto"/>
              </w:rPr>
              <w:t>Director</w:t>
            </w:r>
          </w:p>
        </w:tc>
      </w:tr>
      <w:tr>
        <w:trPr>
          <w:trHeight w:val="251"/>
        </w:trPr>
        <w:tc>
          <w:tcPr>
            <w:tcW w:w="3900" w:type="dxa"/>
            <w:vAlign w:val="bottom"/>
            <w:shd w:val="clear" w:color="auto" w:fill="CCEEFF"/>
          </w:tcPr>
          <w:p>
            <w:pPr>
              <w:ind w:left="20"/>
              <w:spacing w:after="0" w:line="251" w:lineRule="exact"/>
              <w:rPr>
                <w:sz w:val="20"/>
                <w:szCs w:val="20"/>
                <w:color w:val="auto"/>
              </w:rPr>
            </w:pPr>
            <w:r>
              <w:rPr>
                <w:rFonts w:ascii="Arial" w:cs="Arial" w:eastAsia="Arial" w:hAnsi="Arial"/>
                <w:sz w:val="17"/>
                <w:szCs w:val="17"/>
                <w:color w:val="auto"/>
              </w:rPr>
              <w:t xml:space="preserve">Roy Saar </w:t>
            </w:r>
            <w:r>
              <w:rPr>
                <w:rFonts w:ascii="Arial" w:cs="Arial" w:eastAsia="Arial" w:hAnsi="Arial"/>
                <w:sz w:val="27"/>
                <w:szCs w:val="27"/>
                <w:color w:val="auto"/>
                <w:vertAlign w:val="superscript"/>
              </w:rPr>
              <w:t>(1) (2)</w:t>
            </w:r>
          </w:p>
        </w:tc>
        <w:tc>
          <w:tcPr>
            <w:tcW w:w="740" w:type="dxa"/>
            <w:vAlign w:val="bottom"/>
            <w:gridSpan w:val="2"/>
            <w:shd w:val="clear" w:color="auto" w:fill="CCEEFF"/>
          </w:tcPr>
          <w:p>
            <w:pPr>
              <w:jc w:val="center"/>
              <w:ind w:left="136"/>
              <w:spacing w:after="0"/>
              <w:rPr>
                <w:sz w:val="20"/>
                <w:szCs w:val="20"/>
                <w:color w:val="auto"/>
              </w:rPr>
            </w:pPr>
            <w:r>
              <w:rPr>
                <w:rFonts w:ascii="Arial" w:cs="Arial" w:eastAsia="Arial" w:hAnsi="Arial"/>
                <w:sz w:val="17"/>
                <w:szCs w:val="17"/>
                <w:color w:val="auto"/>
                <w:w w:val="84"/>
              </w:rPr>
              <w:t>51</w:t>
            </w:r>
          </w:p>
        </w:tc>
        <w:tc>
          <w:tcPr>
            <w:tcW w:w="200" w:type="dxa"/>
            <w:vAlign w:val="bottom"/>
            <w:shd w:val="clear" w:color="auto" w:fill="CCEEFF"/>
          </w:tcPr>
          <w:p>
            <w:pPr>
              <w:spacing w:after="0"/>
              <w:rPr>
                <w:sz w:val="21"/>
                <w:szCs w:val="21"/>
                <w:color w:val="auto"/>
              </w:rPr>
            </w:pPr>
          </w:p>
        </w:tc>
        <w:tc>
          <w:tcPr>
            <w:tcW w:w="6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183515</wp:posOffset>
            </wp:positionV>
            <wp:extent cx="71418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235" w:lineRule="exact"/>
        <w:rPr>
          <w:sz w:val="20"/>
          <w:szCs w:val="20"/>
          <w:color w:val="auto"/>
        </w:rPr>
      </w:pPr>
    </w:p>
    <w:p>
      <w:pPr>
        <w:ind w:left="460" w:hanging="460"/>
        <w:spacing w:after="0"/>
        <w:tabs>
          <w:tab w:leader="none" w:pos="460" w:val="left"/>
        </w:tabs>
        <w:numPr>
          <w:ilvl w:val="0"/>
          <w:numId w:val="49"/>
        </w:numPr>
        <w:rPr>
          <w:rFonts w:ascii="Arial" w:cs="Arial" w:eastAsia="Arial" w:hAnsi="Arial"/>
          <w:sz w:val="28"/>
          <w:szCs w:val="28"/>
          <w:color w:val="auto"/>
          <w:vertAlign w:val="superscript"/>
        </w:rPr>
      </w:pPr>
      <w:r>
        <w:rPr>
          <w:rFonts w:ascii="Arial" w:cs="Arial" w:eastAsia="Arial" w:hAnsi="Arial"/>
          <w:sz w:val="17"/>
          <w:szCs w:val="17"/>
          <w:color w:val="auto"/>
        </w:rPr>
        <w:t>Member of the audit committee</w:t>
      </w:r>
    </w:p>
    <w:p>
      <w:pPr>
        <w:spacing w:after="0" w:line="1" w:lineRule="exact"/>
        <w:rPr>
          <w:rFonts w:ascii="Arial" w:cs="Arial" w:eastAsia="Arial" w:hAnsi="Arial"/>
          <w:sz w:val="28"/>
          <w:szCs w:val="28"/>
          <w:color w:val="auto"/>
          <w:vertAlign w:val="superscript"/>
        </w:rPr>
      </w:pPr>
    </w:p>
    <w:p>
      <w:pPr>
        <w:ind w:left="460" w:hanging="460"/>
        <w:spacing w:after="0" w:line="188" w:lineRule="auto"/>
        <w:tabs>
          <w:tab w:leader="none" w:pos="46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Member of the compensation committee</w:t>
      </w:r>
    </w:p>
    <w:p>
      <w:pPr>
        <w:spacing w:after="0" w:line="2" w:lineRule="exact"/>
        <w:rPr>
          <w:rFonts w:ascii="Arial" w:cs="Arial" w:eastAsia="Arial" w:hAnsi="Arial"/>
          <w:sz w:val="22"/>
          <w:szCs w:val="22"/>
          <w:color w:val="auto"/>
          <w:vertAlign w:val="superscript"/>
        </w:rPr>
      </w:pPr>
    </w:p>
    <w:p>
      <w:pPr>
        <w:ind w:left="460" w:hanging="460"/>
        <w:spacing w:after="0" w:line="188" w:lineRule="auto"/>
        <w:tabs>
          <w:tab w:leader="none" w:pos="46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Member of the nominating, governance and sustainability committee</w:t>
      </w:r>
    </w:p>
    <w:p>
      <w:pPr>
        <w:spacing w:after="0" w:line="190" w:lineRule="exact"/>
        <w:rPr>
          <w:sz w:val="20"/>
          <w:szCs w:val="20"/>
          <w:color w:val="auto"/>
        </w:rPr>
      </w:pPr>
    </w:p>
    <w:p>
      <w:pPr>
        <w:ind w:left="860"/>
        <w:spacing w:after="0"/>
        <w:rPr>
          <w:sz w:val="20"/>
          <w:szCs w:val="20"/>
          <w:color w:val="auto"/>
        </w:rPr>
      </w:pPr>
      <w:r>
        <w:rPr>
          <w:rFonts w:ascii="Arial" w:cs="Arial" w:eastAsia="Arial" w:hAnsi="Arial"/>
          <w:sz w:val="17"/>
          <w:szCs w:val="17"/>
          <w:b w:val="1"/>
          <w:bCs w:val="1"/>
          <w:i w:val="1"/>
          <w:iCs w:val="1"/>
          <w:color w:val="auto"/>
        </w:rPr>
        <w:t>Executive Officers</w:t>
      </w:r>
    </w:p>
    <w:p>
      <w:pPr>
        <w:spacing w:after="0" w:line="206" w:lineRule="exact"/>
        <w:rPr>
          <w:sz w:val="20"/>
          <w:szCs w:val="20"/>
          <w:color w:val="auto"/>
        </w:rPr>
      </w:pPr>
    </w:p>
    <w:p>
      <w:pPr>
        <w:ind w:right="100" w:firstLine="410"/>
        <w:spacing w:after="0" w:line="253" w:lineRule="auto"/>
        <w:rPr>
          <w:sz w:val="20"/>
          <w:szCs w:val="20"/>
          <w:color w:val="auto"/>
        </w:rPr>
      </w:pPr>
      <w:r>
        <w:rPr>
          <w:rFonts w:ascii="Arial" w:cs="Arial" w:eastAsia="Arial" w:hAnsi="Arial"/>
          <w:sz w:val="17"/>
          <w:szCs w:val="17"/>
          <w:i w:val="1"/>
          <w:iCs w:val="1"/>
          <w:color w:val="auto"/>
        </w:rPr>
        <w:t xml:space="preserve">Dan Adika </w:t>
      </w:r>
      <w:r>
        <w:rPr>
          <w:rFonts w:ascii="Arial" w:cs="Arial" w:eastAsia="Arial" w:hAnsi="Arial"/>
          <w:sz w:val="17"/>
          <w:szCs w:val="17"/>
          <w:color w:val="auto"/>
        </w:rPr>
        <w:t>is our Co-Founder and has served as our Chief Executive Officer and a member of our board of directors since March 2012. Prior to co-founding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Mr. Adika served as a software engineer at Hewlett-Packard Company, a computer and information technology company, from May 2010 to May 2011. Before that, from January 2005 to March 2010, Mr. Adika served as a computer programmer in the Israel Defense Forces. We believe that Mr. Adika’s technical experience and knowledge of our Company qualify him to serve on our board of directors.</w:t>
      </w:r>
    </w:p>
    <w:p>
      <w:pPr>
        <w:spacing w:after="0" w:line="180" w:lineRule="exact"/>
        <w:rPr>
          <w:sz w:val="20"/>
          <w:szCs w:val="20"/>
          <w:color w:val="auto"/>
        </w:rPr>
      </w:pPr>
    </w:p>
    <w:p>
      <w:pPr>
        <w:ind w:right="580" w:firstLine="410"/>
        <w:spacing w:after="0" w:line="308" w:lineRule="auto"/>
        <w:rPr>
          <w:sz w:val="20"/>
          <w:szCs w:val="20"/>
          <w:color w:val="auto"/>
        </w:rPr>
      </w:pPr>
      <w:r>
        <w:rPr>
          <w:rFonts w:ascii="Arial" w:cs="Arial" w:eastAsia="Arial" w:hAnsi="Arial"/>
          <w:sz w:val="14"/>
          <w:szCs w:val="14"/>
          <w:i w:val="1"/>
          <w:iCs w:val="1"/>
          <w:color w:val="auto"/>
        </w:rPr>
        <w:t xml:space="preserve">Rafael Sweary </w:t>
      </w:r>
      <w:r>
        <w:rPr>
          <w:rFonts w:ascii="Arial" w:cs="Arial" w:eastAsia="Arial" w:hAnsi="Arial"/>
          <w:sz w:val="14"/>
          <w:szCs w:val="14"/>
          <w:color w:val="auto"/>
        </w:rPr>
        <w:t>is our Co-Founder and has served as our President and as a member of our board of directors since March 2012. Prior to co-founding our</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Mr. Sweary served as the Entrepreneur-in-Residence at Ocean Assets from June 2005 to November 2007. Before that, from June 2001 to June 2005,</w:t>
      </w:r>
    </w:p>
    <w:p>
      <w:pPr>
        <w:spacing w:after="0" w:line="1"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Mr. Sweary served as the President and Chief Executive Officer at Jetro Platforms, an enterprise software company which he co-founded. Mr. Sweary holds a B.A. in economics from the College of Management Academic Studies in Israel and an M.B.A. from the University of Baltimore. We believe that Mr. Sweary’s broad leadership and industry experience and knowledge of our Company qualify him to serve on our board of directors.</w:t>
      </w:r>
    </w:p>
    <w:p>
      <w:pPr>
        <w:spacing w:after="0" w:line="183" w:lineRule="exact"/>
        <w:rPr>
          <w:sz w:val="20"/>
          <w:szCs w:val="20"/>
          <w:color w:val="auto"/>
        </w:rPr>
      </w:pPr>
    </w:p>
    <w:p>
      <w:pPr>
        <w:ind w:firstLine="410"/>
        <w:spacing w:after="0" w:line="269" w:lineRule="auto"/>
        <w:rPr>
          <w:sz w:val="20"/>
          <w:szCs w:val="20"/>
          <w:color w:val="auto"/>
        </w:rPr>
      </w:pPr>
      <w:r>
        <w:rPr>
          <w:rFonts w:ascii="Arial" w:cs="Arial" w:eastAsia="Arial" w:hAnsi="Arial"/>
          <w:sz w:val="16"/>
          <w:szCs w:val="16"/>
          <w:i w:val="1"/>
          <w:iCs w:val="1"/>
          <w:color w:val="auto"/>
        </w:rPr>
        <w:t xml:space="preserve">Andrew Casey </w:t>
      </w:r>
      <w:r>
        <w:rPr>
          <w:rFonts w:ascii="Arial" w:cs="Arial" w:eastAsia="Arial" w:hAnsi="Arial"/>
          <w:sz w:val="16"/>
          <w:szCs w:val="16"/>
          <w:color w:val="auto"/>
        </w:rPr>
        <w:t>has served as our Chief Financial Officer since March 2020. Prior to joining our Company, Mr. Casey served as Senior Vice President Finance and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Operations at ServiceNow, Inc., a cloud computing company, from June 2014 to March 2020. Before that, Mr. Casey served in senior finance roles at several technology companies, including Vice President, Finance at Hewlett-Packard from September 2011 to June 2014; Senior Director Finance, Enterprise Sales and Services at NortonLifeLock Inc. (formerly Symantec) from September 2007 to October 2011; Senior Director, Corporate Finance at Oracle Corporation from July 2005 to September 2007; and Director, FP&amp;A at Sun Microsystems from June 1996 to July 2005. Mr. Casey holds a B.A. in economics from the University of Redlands, an M.B.A. from Claremont Graduate University and is a certified Managerial Accountant.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5" w:name="page96"/>
    <w:bookmarkEnd w:id="95"/>
    <w:p>
      <w:pPr>
        <w:ind w:left="860"/>
        <w:spacing w:after="0"/>
        <w:rPr>
          <w:sz w:val="20"/>
          <w:szCs w:val="20"/>
          <w:color w:val="auto"/>
        </w:rPr>
      </w:pPr>
      <w:r>
        <w:rPr>
          <w:rFonts w:ascii="Arial" w:cs="Arial" w:eastAsia="Arial" w:hAnsi="Arial"/>
          <w:sz w:val="17"/>
          <w:szCs w:val="17"/>
          <w:b w:val="1"/>
          <w:bCs w:val="1"/>
          <w:i w:val="1"/>
          <w:iCs w:val="1"/>
          <w:color w:val="auto"/>
        </w:rPr>
        <w:t>Non-Employee Directors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5"/>
          <w:szCs w:val="15"/>
          <w:i w:val="1"/>
          <w:iCs w:val="1"/>
          <w:color w:val="auto"/>
        </w:rPr>
        <w:t xml:space="preserve">Haleli Barath </w:t>
      </w:r>
      <w:r>
        <w:rPr>
          <w:rFonts w:ascii="Arial" w:cs="Arial" w:eastAsia="Arial" w:hAnsi="Arial"/>
          <w:sz w:val="15"/>
          <w:szCs w:val="15"/>
          <w:color w:val="auto"/>
        </w:rPr>
        <w:t>has served as a member of our board of directors since February 2021. Since 2009, Ms. Barath has served as Managing Partner at BFP &amp; Co. law</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firm which she co-founded. Since 2014, Ms. Barath has served as a General Partner at Cerca Partners, a venture capital firm which she co-founded. Since</w:t>
      </w:r>
    </w:p>
    <w:p>
      <w:pPr>
        <w:spacing w:after="0" w:line="1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February 2021, Ms. Barath has also served on the board of IM Cannabis Corp., a publicly traded company. Ms. Barath also currently serves on the boards of directors of several privately-held companies. Ms. Barath holds a Bachelor of Laws (LL.B.) from Hebrew University in Jerusalem, Israel. We believe that Ms. Barath’s corporate law and business expertise gained from her experience in the legal profession and in the venture capital industry, including her time spent serving on boards of directors of various companies and familiarity with Israeli companies, qualifies her to serve on our board of directors.</w:t>
      </w:r>
    </w:p>
    <w:p>
      <w:pPr>
        <w:spacing w:after="0" w:line="167" w:lineRule="exact"/>
        <w:rPr>
          <w:sz w:val="20"/>
          <w:szCs w:val="20"/>
          <w:color w:val="auto"/>
        </w:rPr>
      </w:pPr>
    </w:p>
    <w:p>
      <w:pPr>
        <w:ind w:right="20" w:firstLine="410"/>
        <w:spacing w:after="0" w:line="285" w:lineRule="auto"/>
        <w:rPr>
          <w:sz w:val="20"/>
          <w:szCs w:val="20"/>
          <w:color w:val="auto"/>
        </w:rPr>
      </w:pPr>
      <w:r>
        <w:rPr>
          <w:rFonts w:ascii="Arial" w:cs="Arial" w:eastAsia="Arial" w:hAnsi="Arial"/>
          <w:sz w:val="15"/>
          <w:szCs w:val="15"/>
          <w:i w:val="1"/>
          <w:iCs w:val="1"/>
          <w:color w:val="auto"/>
        </w:rPr>
        <w:t xml:space="preserve">Michele Bettencourt </w:t>
      </w:r>
      <w:r>
        <w:rPr>
          <w:rFonts w:ascii="Arial" w:cs="Arial" w:eastAsia="Arial" w:hAnsi="Arial"/>
          <w:sz w:val="15"/>
          <w:szCs w:val="15"/>
          <w:color w:val="auto"/>
        </w:rPr>
        <w:t>has served as a member of our board of directors since March 2021. From February 2017 to February 2020, Ms. Bettencourt served as Co-Chief Executive Officer of He Said She Said Productions NYC, a film production company which she founded. From August 2014 to February 2018, Ms. Bettencourt also served as chairperson of the board of directors of Imperva, Inc., a cybersecurity company, where she also served as Chief Executive Officer from August 2014 to July 2017. Before that, from November 2010 to March 2014, Ms. Bettencourt served as Chief Executive Officer of Coverity Inc., a software company, through its acquisition by Synopsys, Inc. From January 2006 to October 2009, Ms. Bettencourt served as Senior Vice President of Special Projects at Autonomy Corporation plc. Before that, from 2003 to 2005, Ms. Bettencourt served as Chief Executive Officer of Verity Inc., an enterprise search company, and led the company through its acquisition by Autonomy in 2005. Ms. Bettencourt served on the board of directors of Proofpoint, Inc., an enterprise security company, from April 2012 until January 2017, and on the board of directors of Versant Corporation from January 2012 to December 2012 through its acquisition by Actian Corporation. Ms. Bettencourt holds a B.A. in English from Santa Clara University. We believe that Ms. Bettencourt’s extensive management experience and service on the board of directors of technology companies qualifies her to serve on our board of directors.</w:t>
      </w:r>
    </w:p>
    <w:p>
      <w:pPr>
        <w:spacing w:after="0" w:line="161" w:lineRule="exact"/>
        <w:rPr>
          <w:sz w:val="20"/>
          <w:szCs w:val="20"/>
          <w:color w:val="auto"/>
        </w:rPr>
      </w:pPr>
    </w:p>
    <w:p>
      <w:pPr>
        <w:ind w:right="100" w:firstLine="410"/>
        <w:spacing w:after="0" w:line="288" w:lineRule="auto"/>
        <w:rPr>
          <w:sz w:val="20"/>
          <w:szCs w:val="20"/>
          <w:color w:val="auto"/>
        </w:rPr>
      </w:pPr>
      <w:r>
        <w:rPr>
          <w:rFonts w:ascii="Arial" w:cs="Arial" w:eastAsia="Arial" w:hAnsi="Arial"/>
          <w:sz w:val="15"/>
          <w:szCs w:val="15"/>
          <w:i w:val="1"/>
          <w:iCs w:val="1"/>
          <w:color w:val="auto"/>
        </w:rPr>
        <w:t xml:space="preserve">Menashe Ezra </w:t>
      </w:r>
      <w:r>
        <w:rPr>
          <w:rFonts w:ascii="Arial" w:cs="Arial" w:eastAsia="Arial" w:hAnsi="Arial"/>
          <w:sz w:val="15"/>
          <w:szCs w:val="15"/>
          <w:color w:val="auto"/>
        </w:rPr>
        <w:t>has served as a member of our board of directors since December 2014. Since 2008, Mr. Ezra has served as Managing Partner at Gemini Israel</w:t>
      </w:r>
      <w:r>
        <w:rPr>
          <w:rFonts w:ascii="Arial" w:cs="Arial" w:eastAsia="Arial" w:hAnsi="Arial"/>
          <w:sz w:val="15"/>
          <w:szCs w:val="15"/>
          <w:i w:val="1"/>
          <w:iCs w:val="1"/>
          <w:color w:val="auto"/>
        </w:rPr>
        <w:t xml:space="preserve"> </w:t>
      </w:r>
      <w:r>
        <w:rPr>
          <w:rFonts w:ascii="Arial" w:cs="Arial" w:eastAsia="Arial" w:hAnsi="Arial"/>
          <w:sz w:val="15"/>
          <w:szCs w:val="15"/>
          <w:color w:val="auto"/>
        </w:rPr>
        <w:t>Ventures, a venture capital firm. Before joining Gemini Israel Ventures, from October 2001 to October 2007, Mr. Ezra served as Managing Partner at BRM Capital, a venture capital firm. Before that, from 1993 to 1998, Mr. Ezra served as Chief Executive Officer at WaveAccess, a wireless communications company which he founded and which was sold to Lucent Technologies Inc., a telecommunications company, or Lucent, in 1998. From December 1998 to April 2001, Mr. Ezra served as VP Wireless Network Solutions at Lucent. Mr. Ezra also serves on the boards of directors of several privately-held companies. Mr. Ezra holds a B.Sc. in electrical engineering from Tel Aviv University. We believe that Mr. Ezra’s experience in the venture capital industry, including his time spent serving on the boards of directors of various companies and familiarity with Israeli companies, qualifies him to serve on our board of directors.</w:t>
      </w:r>
    </w:p>
    <w:p>
      <w:pPr>
        <w:spacing w:after="0" w:line="158" w:lineRule="exact"/>
        <w:rPr>
          <w:sz w:val="20"/>
          <w:szCs w:val="20"/>
          <w:color w:val="auto"/>
        </w:rPr>
      </w:pPr>
    </w:p>
    <w:p>
      <w:pPr>
        <w:ind w:firstLine="410"/>
        <w:spacing w:after="0" w:line="290" w:lineRule="auto"/>
        <w:rPr>
          <w:sz w:val="20"/>
          <w:szCs w:val="20"/>
          <w:color w:val="auto"/>
        </w:rPr>
      </w:pPr>
      <w:r>
        <w:rPr>
          <w:rFonts w:ascii="Arial" w:cs="Arial" w:eastAsia="Arial" w:hAnsi="Arial"/>
          <w:sz w:val="15"/>
          <w:szCs w:val="15"/>
          <w:i w:val="1"/>
          <w:iCs w:val="1"/>
          <w:color w:val="auto"/>
        </w:rPr>
        <w:t xml:space="preserve">Ron Gutler </w:t>
      </w:r>
      <w:r>
        <w:rPr>
          <w:rFonts w:ascii="Arial" w:cs="Arial" w:eastAsia="Arial" w:hAnsi="Arial"/>
          <w:sz w:val="15"/>
          <w:szCs w:val="15"/>
          <w:color w:val="auto"/>
        </w:rPr>
        <w:t>has served as a member of our board of directors since October 2020. Mr. Gutler currently serves on the boards of directors of Fiverr International</w:t>
      </w:r>
      <w:r>
        <w:rPr>
          <w:rFonts w:ascii="Arial" w:cs="Arial" w:eastAsia="Arial" w:hAnsi="Arial"/>
          <w:sz w:val="15"/>
          <w:szCs w:val="15"/>
          <w:i w:val="1"/>
          <w:iCs w:val="1"/>
          <w:color w:val="auto"/>
        </w:rPr>
        <w:t xml:space="preserve"> </w:t>
      </w:r>
      <w:r>
        <w:rPr>
          <w:rFonts w:ascii="Arial" w:cs="Arial" w:eastAsia="Arial" w:hAnsi="Arial"/>
          <w:sz w:val="15"/>
          <w:szCs w:val="15"/>
          <w:color w:val="auto"/>
        </w:rPr>
        <w:t>Ltd., Wix.com Ltd., CyberArk Software Ltd. and several private companies. From May 2002 through February 2013, Mr. Gutler served as the Chairman of the board of directors of NICE Systems Ltd., a public company specializing in voice recognition, data security and surveillance. Between 2002 and 2011, Mr. Gutler served as the Chairman of G.J.E. 121 Promoting Investments Ltd., a real estate company. Mr. Gutler is a former Managing Director and Partner of Bankers Trust Company, which is currently part of Deutsche Bank. Mr. Gutler holds a B.A. and an M.B.A. from the Hebrew University of Jerusalem. We believe that Mr. Gutler’s extensive management experience serving on the board of directors of technology companies qualifies him to serve on our board of directors.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5"/>
          <w:szCs w:val="15"/>
          <w:i w:val="1"/>
          <w:iCs w:val="1"/>
          <w:color w:val="auto"/>
        </w:rPr>
        <w:t xml:space="preserve">Jeff Horing </w:t>
      </w:r>
      <w:r>
        <w:rPr>
          <w:rFonts w:ascii="Arial" w:cs="Arial" w:eastAsia="Arial" w:hAnsi="Arial"/>
          <w:sz w:val="15"/>
          <w:szCs w:val="15"/>
          <w:color w:val="auto"/>
        </w:rPr>
        <w:t>has served as a member of our board of directors since December 2015. Since January 1995, Mr. Horing has served as Managing Director at Insight</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Venture Partners, a private equity firm which he co-founded. Mr. Horing has served on the boards of directors of JFrog Ltd., a software company, since September</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2018; nCino, Inc., a financial technology company, since February 2015; and Alteryx, Inc., a software company, since September 2014. Mr. Horing also currently</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serves on the boards of directors of several privately-held companies and has previously served on the boards of directors of numerous publicly-held companies,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including the board of directors of Tintri, Inc., a software company, from February 2014 to June 2017. Mr. Horing holds a B.S. and B.A. from the University of</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Pennsylvania’s Moore School of Engineering and the Wharton School, respectively, and an M.B.A. from the M.I.T. Sloan School of Management. We believe that</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Mr. Horing’s corporate finance and business expertise gained from his experience in the venture capital industry, including his time spent serving on boards of directors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of various companies and familiarity with Israeli companies, qualifies him to serve on our board of directors.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p>
      <w:pPr>
        <w:ind w:right="180" w:firstLine="410"/>
        <w:spacing w:after="0" w:line="290" w:lineRule="auto"/>
        <w:rPr>
          <w:sz w:val="20"/>
          <w:szCs w:val="20"/>
          <w:color w:val="auto"/>
        </w:rPr>
      </w:pPr>
      <w:r>
        <w:rPr>
          <w:rFonts w:ascii="Arial" w:cs="Arial" w:eastAsia="Arial" w:hAnsi="Arial"/>
          <w:sz w:val="15"/>
          <w:szCs w:val="15"/>
          <w:i w:val="1"/>
          <w:iCs w:val="1"/>
          <w:color w:val="auto"/>
        </w:rPr>
        <w:t xml:space="preserve">Rory O’Driscoll </w:t>
      </w:r>
      <w:r>
        <w:rPr>
          <w:rFonts w:ascii="Arial" w:cs="Arial" w:eastAsia="Arial" w:hAnsi="Arial"/>
          <w:sz w:val="15"/>
          <w:szCs w:val="15"/>
          <w:color w:val="auto"/>
        </w:rPr>
        <w:t>has served as a member of our board of directors since February 2014. Since 2007, Mr. O’Driscoll has served as a Managing Partner at Scale</w:t>
      </w:r>
      <w:r>
        <w:rPr>
          <w:rFonts w:ascii="Arial" w:cs="Arial" w:eastAsia="Arial" w:hAnsi="Arial"/>
          <w:sz w:val="15"/>
          <w:szCs w:val="15"/>
          <w:i w:val="1"/>
          <w:iCs w:val="1"/>
          <w:color w:val="auto"/>
        </w:rPr>
        <w:t xml:space="preserve"> </w:t>
      </w:r>
      <w:r>
        <w:rPr>
          <w:rFonts w:ascii="Arial" w:cs="Arial" w:eastAsia="Arial" w:hAnsi="Arial"/>
          <w:sz w:val="15"/>
          <w:szCs w:val="15"/>
          <w:color w:val="auto"/>
        </w:rPr>
        <w:t>Venture Partners, a venture capital firm. Mr. O’Driscoll has also served as a member of the board of directors of Bill.com Holdings, Inc., a software company, since July 2013. Mr. O’Driscoll previously served on the board of directors of Box, Inc., a data storage and file management software company, from March 2010 to July 2020, and DocuSign, Inc., an eSignature and digital transaction management company, from December 2010 to August 2018. Mr. O’Driscoll also currently serves on the boards of directors of several privately held companies. Mr. O’Driscoll holds a B.Sc. in Economics from the London School of Economics. We believe that Mr. O’Driscoll’s extensive experience in the venture capital industry and his knowledge of technology companies qualify him to serve on our board of directors.</w:t>
      </w:r>
    </w:p>
    <w:p>
      <w:pPr>
        <w:spacing w:after="0" w:line="155" w:lineRule="exact"/>
        <w:rPr>
          <w:sz w:val="20"/>
          <w:szCs w:val="20"/>
          <w:color w:val="auto"/>
        </w:rPr>
      </w:pPr>
    </w:p>
    <w:p>
      <w:pPr>
        <w:ind w:right="20" w:firstLine="410"/>
        <w:spacing w:after="0" w:line="266" w:lineRule="auto"/>
        <w:rPr>
          <w:sz w:val="20"/>
          <w:szCs w:val="20"/>
          <w:color w:val="auto"/>
        </w:rPr>
      </w:pPr>
      <w:r>
        <w:rPr>
          <w:rFonts w:ascii="Arial" w:cs="Arial" w:eastAsia="Arial" w:hAnsi="Arial"/>
          <w:sz w:val="16"/>
          <w:szCs w:val="16"/>
          <w:i w:val="1"/>
          <w:iCs w:val="1"/>
          <w:color w:val="auto"/>
        </w:rPr>
        <w:t xml:space="preserve">Michael Risman </w:t>
      </w:r>
      <w:r>
        <w:rPr>
          <w:rFonts w:ascii="Arial" w:cs="Arial" w:eastAsia="Arial" w:hAnsi="Arial"/>
          <w:sz w:val="16"/>
          <w:szCs w:val="16"/>
          <w:color w:val="auto"/>
        </w:rPr>
        <w:t>has served as a member of our board of directors since June 2021. Prior to then and since December 2019, he also served as the representative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former corporate director, Vitruvian Directors I Limited. Since May 2006, Mr. Risman has served as Managing Partner of Vitruvian Partners, a private equity firm which he co-founded. Prior to that, from September 1995 to May 2006, Mr. Risman served as a Global Equity Partner at Apax Partners, a private equity firm, where he led their Information Technology Investment Team in Europe. Mr. Risman has previously served on the boards of directors of Farfetch, a fashion technology company, from November 2014 to August 2020; Just Eat, an online food ordering company from April 2012 to March 2016; and Dialog Semiconductor, a semiconductor solutions manufacturer, from August 1999 to July 2006. Mr. Risman also currently serves on the board of directors of several privately-held companies in which funds managed by Vitruvian Partners have invested. Mr. Risman holds an M.A. in electrical engineering from Cambridge University and an M.B.A. from the Harvard Business School. We believe that Mr. Risman’s extensive experience in the venture capital industry and his knowledge of technology companies qualify him to serve on our board of directors.</w:t>
      </w:r>
    </w:p>
    <w:p>
      <w:pPr>
        <w:spacing w:after="0" w:line="173" w:lineRule="exact"/>
        <w:rPr>
          <w:sz w:val="20"/>
          <w:szCs w:val="20"/>
          <w:color w:val="auto"/>
        </w:rPr>
      </w:pPr>
    </w:p>
    <w:p>
      <w:pPr>
        <w:ind w:right="160" w:firstLine="410"/>
        <w:spacing w:after="0" w:line="290" w:lineRule="auto"/>
        <w:rPr>
          <w:sz w:val="20"/>
          <w:szCs w:val="20"/>
          <w:color w:val="auto"/>
        </w:rPr>
      </w:pPr>
      <w:r>
        <w:rPr>
          <w:rFonts w:ascii="Arial" w:cs="Arial" w:eastAsia="Arial" w:hAnsi="Arial"/>
          <w:sz w:val="15"/>
          <w:szCs w:val="15"/>
          <w:i w:val="1"/>
          <w:iCs w:val="1"/>
          <w:color w:val="auto"/>
        </w:rPr>
        <w:t xml:space="preserve">Roy Saar </w:t>
      </w:r>
      <w:r>
        <w:rPr>
          <w:rFonts w:ascii="Arial" w:cs="Arial" w:eastAsia="Arial" w:hAnsi="Arial"/>
          <w:sz w:val="15"/>
          <w:szCs w:val="15"/>
          <w:color w:val="auto"/>
        </w:rPr>
        <w:t>has served as a member of our board of directors since March 2012. Since 2008, Mr. Saar has served in positions of increasing responsibility at</w:t>
      </w:r>
      <w:r>
        <w:rPr>
          <w:rFonts w:ascii="Arial" w:cs="Arial" w:eastAsia="Arial" w:hAnsi="Arial"/>
          <w:sz w:val="15"/>
          <w:szCs w:val="15"/>
          <w:i w:val="1"/>
          <w:iCs w:val="1"/>
          <w:color w:val="auto"/>
        </w:rPr>
        <w:t xml:space="preserve"> </w:t>
      </w:r>
      <w:r>
        <w:rPr>
          <w:rFonts w:ascii="Arial" w:cs="Arial" w:eastAsia="Arial" w:hAnsi="Arial"/>
          <w:sz w:val="15"/>
          <w:szCs w:val="15"/>
          <w:color w:val="auto"/>
        </w:rPr>
        <w:t>Mangrove Capital Partners, an investment firm, most recently serving as Partner. In 2002, Mr. Saar co-founded RFcell Technologies Ltd., a wireless product and service provider. Before that, in 1999, he co-founded Sphera Corporation, a virtual server technology vendor for SaaS providers, which was acquired by Parallels in 2007. Since January 2007, Mr. Saar has also served as a member of the board of directors of Wix.com Ltd. Mr. Saar also currently serves on the boards of directors of several privately-held companies. Mr. Saar holds a B.A. in Business Administration and Economics from Tel Aviv University. We believe that Mr. Saar’s extensive experience in the venture capital industry and with technology companies qualify him to serve on our board of directors.</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Board Diversity Matrix</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below provides certain information regarding the diversity of our board of directors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141845" cy="2272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1845" cy="2272030"/>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Board Diversity Matrix</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Country of Principal Executive Offices:</w:t>
            </w:r>
          </w:p>
        </w:tc>
        <w:tc>
          <w:tcPr>
            <w:tcW w:w="15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center"/>
              <w:ind w:right="1636"/>
              <w:spacing w:after="0"/>
              <w:rPr>
                <w:sz w:val="20"/>
                <w:szCs w:val="20"/>
                <w:color w:val="auto"/>
              </w:rPr>
            </w:pPr>
            <w:r>
              <w:rPr>
                <w:rFonts w:ascii="Arial" w:cs="Arial" w:eastAsia="Arial" w:hAnsi="Arial"/>
                <w:sz w:val="17"/>
                <w:szCs w:val="17"/>
                <w:color w:val="auto"/>
                <w:w w:val="86"/>
              </w:rPr>
              <w:t>Israel</w:t>
            </w:r>
          </w:p>
        </w:tc>
        <w:tc>
          <w:tcPr>
            <w:tcW w:w="1180" w:type="dxa"/>
            <w:vAlign w:val="bottom"/>
            <w:tcBorders>
              <w:top w:val="single" w:sz="8" w:color="auto"/>
            </w:tcBorders>
          </w:tcPr>
          <w:p>
            <w:pPr>
              <w:spacing w:after="0"/>
              <w:rPr>
                <w:sz w:val="20"/>
                <w:szCs w:val="20"/>
                <w:color w:val="auto"/>
              </w:rPr>
            </w:pPr>
          </w:p>
        </w:tc>
      </w:tr>
      <w:tr>
        <w:trPr>
          <w:trHeight w:val="25"/>
        </w:trPr>
        <w:tc>
          <w:tcPr>
            <w:tcW w:w="51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516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Foreign Private Issuer</w:t>
            </w: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80" w:type="dxa"/>
            <w:vAlign w:val="bottom"/>
          </w:tcPr>
          <w:p>
            <w:pPr>
              <w:jc w:val="center"/>
              <w:ind w:right="1636"/>
              <w:spacing w:after="0"/>
              <w:rPr>
                <w:sz w:val="20"/>
                <w:szCs w:val="20"/>
                <w:color w:val="auto"/>
              </w:rPr>
            </w:pPr>
            <w:r>
              <w:rPr>
                <w:rFonts w:ascii="Arial" w:cs="Arial" w:eastAsia="Arial" w:hAnsi="Arial"/>
                <w:sz w:val="17"/>
                <w:szCs w:val="17"/>
                <w:color w:val="auto"/>
                <w:w w:val="81"/>
              </w:rPr>
              <w:t>Yes</w:t>
            </w:r>
          </w:p>
        </w:tc>
        <w:tc>
          <w:tcPr>
            <w:tcW w:w="1180" w:type="dxa"/>
            <w:vAlign w:val="bottom"/>
          </w:tcPr>
          <w:p>
            <w:pPr>
              <w:spacing w:after="0"/>
              <w:rPr>
                <w:sz w:val="18"/>
                <w:szCs w:val="18"/>
                <w:color w:val="auto"/>
              </w:rPr>
            </w:pPr>
          </w:p>
        </w:tc>
      </w:tr>
      <w:tr>
        <w:trPr>
          <w:trHeight w:val="25"/>
        </w:trPr>
        <w:tc>
          <w:tcPr>
            <w:tcW w:w="51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516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Disclosure Prohibited under Home Country Law</w:t>
            </w: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80" w:type="dxa"/>
            <w:vAlign w:val="bottom"/>
          </w:tcPr>
          <w:p>
            <w:pPr>
              <w:jc w:val="center"/>
              <w:ind w:right="1636"/>
              <w:spacing w:after="0"/>
              <w:rPr>
                <w:sz w:val="20"/>
                <w:szCs w:val="20"/>
                <w:color w:val="auto"/>
              </w:rPr>
            </w:pPr>
            <w:r>
              <w:rPr>
                <w:rFonts w:ascii="Arial" w:cs="Arial" w:eastAsia="Arial" w:hAnsi="Arial"/>
                <w:sz w:val="17"/>
                <w:szCs w:val="17"/>
                <w:color w:val="auto"/>
                <w:w w:val="91"/>
              </w:rPr>
              <w:t>No</w:t>
            </w:r>
          </w:p>
        </w:tc>
        <w:tc>
          <w:tcPr>
            <w:tcW w:w="1180" w:type="dxa"/>
            <w:vAlign w:val="bottom"/>
          </w:tcPr>
          <w:p>
            <w:pPr>
              <w:spacing w:after="0"/>
              <w:rPr>
                <w:sz w:val="18"/>
                <w:szCs w:val="18"/>
                <w:color w:val="auto"/>
              </w:rPr>
            </w:pPr>
          </w:p>
        </w:tc>
      </w:tr>
      <w:tr>
        <w:trPr>
          <w:trHeight w:val="25"/>
        </w:trPr>
        <w:tc>
          <w:tcPr>
            <w:tcW w:w="51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516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Total Number of Directors</w:t>
            </w: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80" w:type="dxa"/>
            <w:vAlign w:val="bottom"/>
          </w:tcPr>
          <w:p>
            <w:pPr>
              <w:jc w:val="center"/>
              <w:ind w:right="1636"/>
              <w:spacing w:after="0"/>
              <w:rPr>
                <w:sz w:val="20"/>
                <w:szCs w:val="20"/>
                <w:color w:val="auto"/>
              </w:rPr>
            </w:pPr>
            <w:r>
              <w:rPr>
                <w:rFonts w:ascii="Arial" w:cs="Arial" w:eastAsia="Arial" w:hAnsi="Arial"/>
                <w:sz w:val="17"/>
                <w:szCs w:val="17"/>
                <w:color w:val="auto"/>
                <w:w w:val="84"/>
              </w:rPr>
              <w:t>10</w:t>
            </w:r>
          </w:p>
        </w:tc>
        <w:tc>
          <w:tcPr>
            <w:tcW w:w="1180" w:type="dxa"/>
            <w:vAlign w:val="bottom"/>
          </w:tcPr>
          <w:p>
            <w:pPr>
              <w:spacing w:after="0"/>
              <w:rPr>
                <w:sz w:val="18"/>
                <w:szCs w:val="18"/>
                <w:color w:val="auto"/>
              </w:rPr>
            </w:pPr>
          </w:p>
        </w:tc>
      </w:tr>
      <w:tr>
        <w:trPr>
          <w:trHeight w:val="25"/>
        </w:trPr>
        <w:tc>
          <w:tcPr>
            <w:tcW w:w="51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2"/>
        </w:trPr>
        <w:tc>
          <w:tcPr>
            <w:tcW w:w="5160" w:type="dxa"/>
            <w:vAlign w:val="bottom"/>
            <w:tcBorders>
              <w:right w:val="single" w:sz="8" w:color="auto"/>
            </w:tcBorders>
            <w:shd w:val="clear" w:color="auto" w:fill="D9D9D9"/>
          </w:tcPr>
          <w:p>
            <w:pPr>
              <w:spacing w:after="0"/>
              <w:rPr>
                <w:sz w:val="17"/>
                <w:szCs w:val="17"/>
                <w:color w:val="auto"/>
              </w:rPr>
            </w:pPr>
          </w:p>
        </w:tc>
        <w:tc>
          <w:tcPr>
            <w:tcW w:w="15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7"/>
                <w:szCs w:val="17"/>
                <w:b w:val="1"/>
                <w:bCs w:val="1"/>
                <w:color w:val="auto"/>
                <w:w w:val="88"/>
              </w:rPr>
              <w:t>Female</w:t>
            </w:r>
          </w:p>
        </w:tc>
        <w:tc>
          <w:tcPr>
            <w:tcW w:w="13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7"/>
                <w:szCs w:val="17"/>
                <w:b w:val="1"/>
                <w:bCs w:val="1"/>
                <w:color w:val="auto"/>
                <w:w w:val="95"/>
              </w:rPr>
              <w:t>Male</w:t>
            </w:r>
          </w:p>
        </w:tc>
        <w:tc>
          <w:tcPr>
            <w:tcW w:w="20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7"/>
                <w:szCs w:val="17"/>
                <w:b w:val="1"/>
                <w:bCs w:val="1"/>
                <w:color w:val="auto"/>
                <w:w w:val="92"/>
              </w:rPr>
              <w:t>Non-</w:t>
            </w:r>
          </w:p>
        </w:tc>
        <w:tc>
          <w:tcPr>
            <w:tcW w:w="118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7"/>
                <w:szCs w:val="17"/>
                <w:b w:val="1"/>
                <w:bCs w:val="1"/>
                <w:color w:val="auto"/>
                <w:w w:val="92"/>
              </w:rPr>
              <w:t>Did Not</w:t>
            </w:r>
          </w:p>
        </w:tc>
      </w:tr>
      <w:tr>
        <w:trPr>
          <w:trHeight w:val="201"/>
        </w:trPr>
        <w:tc>
          <w:tcPr>
            <w:tcW w:w="5160" w:type="dxa"/>
            <w:vAlign w:val="bottom"/>
            <w:tcBorders>
              <w:right w:val="single" w:sz="8" w:color="auto"/>
            </w:tcBorders>
            <w:shd w:val="clear" w:color="auto" w:fill="D9D9D9"/>
          </w:tcPr>
          <w:p>
            <w:pPr>
              <w:spacing w:after="0"/>
              <w:rPr>
                <w:sz w:val="17"/>
                <w:szCs w:val="17"/>
                <w:color w:val="auto"/>
              </w:rPr>
            </w:pPr>
          </w:p>
        </w:tc>
        <w:tc>
          <w:tcPr>
            <w:tcW w:w="1520" w:type="dxa"/>
            <w:vAlign w:val="bottom"/>
            <w:tcBorders>
              <w:right w:val="single" w:sz="8" w:color="auto"/>
            </w:tcBorders>
            <w:shd w:val="clear" w:color="auto" w:fill="D9D9D9"/>
          </w:tcPr>
          <w:p>
            <w:pPr>
              <w:spacing w:after="0"/>
              <w:rPr>
                <w:sz w:val="17"/>
                <w:szCs w:val="17"/>
                <w:color w:val="auto"/>
              </w:rPr>
            </w:pPr>
          </w:p>
        </w:tc>
        <w:tc>
          <w:tcPr>
            <w:tcW w:w="1320" w:type="dxa"/>
            <w:vAlign w:val="bottom"/>
            <w:tcBorders>
              <w:right w:val="single" w:sz="8" w:color="auto"/>
            </w:tcBorders>
            <w:shd w:val="clear" w:color="auto" w:fill="D9D9D9"/>
          </w:tcPr>
          <w:p>
            <w:pPr>
              <w:spacing w:after="0"/>
              <w:rPr>
                <w:sz w:val="17"/>
                <w:szCs w:val="17"/>
                <w:color w:val="auto"/>
              </w:rPr>
            </w:pPr>
          </w:p>
        </w:tc>
        <w:tc>
          <w:tcPr>
            <w:tcW w:w="20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7"/>
                <w:szCs w:val="17"/>
                <w:b w:val="1"/>
                <w:bCs w:val="1"/>
                <w:color w:val="auto"/>
                <w:w w:val="89"/>
              </w:rPr>
              <w:t>Binary/Transgender</w:t>
            </w:r>
          </w:p>
        </w:tc>
        <w:tc>
          <w:tcPr>
            <w:tcW w:w="1180" w:type="dxa"/>
            <w:vAlign w:val="bottom"/>
            <w:tcBorders>
              <w:right w:val="single" w:sz="8" w:color="D9D9D9"/>
            </w:tcBorders>
            <w:shd w:val="clear" w:color="auto" w:fill="D9D9D9"/>
          </w:tcPr>
          <w:p>
            <w:pPr>
              <w:jc w:val="center"/>
              <w:spacing w:after="0"/>
              <w:rPr>
                <w:sz w:val="20"/>
                <w:szCs w:val="20"/>
                <w:color w:val="auto"/>
              </w:rPr>
            </w:pPr>
            <w:r>
              <w:rPr>
                <w:rFonts w:ascii="Arial" w:cs="Arial" w:eastAsia="Arial" w:hAnsi="Arial"/>
                <w:sz w:val="17"/>
                <w:szCs w:val="17"/>
                <w:b w:val="1"/>
                <w:bCs w:val="1"/>
                <w:color w:val="auto"/>
                <w:w w:val="82"/>
              </w:rPr>
              <w:t>Disclose</w:t>
            </w:r>
          </w:p>
        </w:tc>
      </w:tr>
      <w:tr>
        <w:trPr>
          <w:trHeight w:val="247"/>
        </w:trPr>
        <w:tc>
          <w:tcPr>
            <w:tcW w:w="5160" w:type="dxa"/>
            <w:vAlign w:val="bottom"/>
            <w:tcBorders>
              <w:bottom w:val="single" w:sz="8" w:color="D9D9D9"/>
              <w:right w:val="single" w:sz="8" w:color="auto"/>
            </w:tcBorders>
            <w:shd w:val="clear" w:color="auto" w:fill="D9D9D9"/>
          </w:tcPr>
          <w:p>
            <w:pPr>
              <w:spacing w:after="0"/>
              <w:rPr>
                <w:sz w:val="21"/>
                <w:szCs w:val="21"/>
                <w:color w:val="auto"/>
              </w:rPr>
            </w:pPr>
          </w:p>
        </w:tc>
        <w:tc>
          <w:tcPr>
            <w:tcW w:w="1520" w:type="dxa"/>
            <w:vAlign w:val="bottom"/>
            <w:tcBorders>
              <w:bottom w:val="single" w:sz="8" w:color="D9D9D9"/>
              <w:right w:val="single" w:sz="8" w:color="auto"/>
            </w:tcBorders>
            <w:shd w:val="clear" w:color="auto" w:fill="D9D9D9"/>
          </w:tcPr>
          <w:p>
            <w:pPr>
              <w:spacing w:after="0"/>
              <w:rPr>
                <w:sz w:val="21"/>
                <w:szCs w:val="21"/>
                <w:color w:val="auto"/>
              </w:rPr>
            </w:pPr>
          </w:p>
        </w:tc>
        <w:tc>
          <w:tcPr>
            <w:tcW w:w="1320" w:type="dxa"/>
            <w:vAlign w:val="bottom"/>
            <w:tcBorders>
              <w:bottom w:val="single" w:sz="8" w:color="D9D9D9"/>
              <w:right w:val="single" w:sz="8" w:color="auto"/>
            </w:tcBorders>
            <w:shd w:val="clear" w:color="auto" w:fill="D9D9D9"/>
          </w:tcPr>
          <w:p>
            <w:pPr>
              <w:spacing w:after="0"/>
              <w:rPr>
                <w:sz w:val="21"/>
                <w:szCs w:val="21"/>
                <w:color w:val="auto"/>
              </w:rPr>
            </w:pPr>
          </w:p>
        </w:tc>
        <w:tc>
          <w:tcPr>
            <w:tcW w:w="2080" w:type="dxa"/>
            <w:vAlign w:val="bottom"/>
            <w:tcBorders>
              <w:bottom w:val="single" w:sz="8" w:color="D9D9D9"/>
              <w:right w:val="single" w:sz="8" w:color="auto"/>
            </w:tcBorders>
            <w:shd w:val="clear" w:color="auto" w:fill="D9D9D9"/>
          </w:tcPr>
          <w:p>
            <w:pPr>
              <w:spacing w:after="0"/>
              <w:rPr>
                <w:sz w:val="21"/>
                <w:szCs w:val="21"/>
                <w:color w:val="auto"/>
              </w:rPr>
            </w:pPr>
          </w:p>
        </w:tc>
        <w:tc>
          <w:tcPr>
            <w:tcW w:w="1180" w:type="dxa"/>
            <w:vAlign w:val="bottom"/>
            <w:tcBorders>
              <w:bottom w:val="single" w:sz="8" w:color="D9D9D9"/>
              <w:right w:val="single" w:sz="8" w:color="D9D9D9"/>
            </w:tcBorders>
            <w:shd w:val="clear" w:color="auto" w:fill="D9D9D9"/>
          </w:tcPr>
          <w:p>
            <w:pPr>
              <w:jc w:val="center"/>
              <w:spacing w:after="0"/>
              <w:rPr>
                <w:sz w:val="20"/>
                <w:szCs w:val="20"/>
                <w:color w:val="auto"/>
              </w:rPr>
            </w:pPr>
            <w:r>
              <w:rPr>
                <w:rFonts w:ascii="Arial" w:cs="Arial" w:eastAsia="Arial" w:hAnsi="Arial"/>
                <w:sz w:val="17"/>
                <w:szCs w:val="17"/>
                <w:b w:val="1"/>
                <w:bCs w:val="1"/>
                <w:color w:val="auto"/>
                <w:w w:val="90"/>
              </w:rPr>
              <w:t>Gender</w:t>
            </w:r>
          </w:p>
        </w:tc>
      </w:tr>
      <w:tr>
        <w:trPr>
          <w:trHeight w:val="249"/>
        </w:trPr>
        <w:tc>
          <w:tcPr>
            <w:tcW w:w="5160" w:type="dxa"/>
            <w:vAlign w:val="bottom"/>
            <w:tcBorders>
              <w:top w:val="single" w:sz="8" w:color="auto"/>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17"/>
                <w:szCs w:val="17"/>
                <w:b w:val="1"/>
                <w:bCs w:val="1"/>
                <w:color w:val="auto"/>
              </w:rPr>
              <w:t>Part I: Gender Identity</w:t>
            </w:r>
          </w:p>
        </w:tc>
        <w:tc>
          <w:tcPr>
            <w:tcW w:w="1520" w:type="dxa"/>
            <w:vAlign w:val="bottom"/>
            <w:tcBorders>
              <w:top w:val="single" w:sz="8" w:color="auto"/>
              <w:bottom w:val="single" w:sz="8" w:color="D9D9D9"/>
              <w:right w:val="single" w:sz="8" w:color="D9D9D9"/>
            </w:tcBorders>
            <w:shd w:val="clear" w:color="auto" w:fill="D9D9D9"/>
          </w:tcPr>
          <w:p>
            <w:pPr>
              <w:spacing w:after="0"/>
              <w:rPr>
                <w:sz w:val="21"/>
                <w:szCs w:val="21"/>
                <w:color w:val="auto"/>
              </w:rPr>
            </w:pPr>
          </w:p>
        </w:tc>
        <w:tc>
          <w:tcPr>
            <w:tcW w:w="1320" w:type="dxa"/>
            <w:vAlign w:val="bottom"/>
            <w:tcBorders>
              <w:top w:val="single" w:sz="8" w:color="auto"/>
              <w:bottom w:val="single" w:sz="8" w:color="D9D9D9"/>
              <w:right w:val="single" w:sz="8" w:color="D9D9D9"/>
            </w:tcBorders>
            <w:shd w:val="clear" w:color="auto" w:fill="D9D9D9"/>
          </w:tcPr>
          <w:p>
            <w:pPr>
              <w:spacing w:after="0"/>
              <w:rPr>
                <w:sz w:val="21"/>
                <w:szCs w:val="21"/>
                <w:color w:val="auto"/>
              </w:rPr>
            </w:pPr>
          </w:p>
        </w:tc>
        <w:tc>
          <w:tcPr>
            <w:tcW w:w="2080" w:type="dxa"/>
            <w:vAlign w:val="bottom"/>
            <w:tcBorders>
              <w:top w:val="single" w:sz="8" w:color="auto"/>
              <w:bottom w:val="single" w:sz="8" w:color="D9D9D9"/>
              <w:right w:val="single" w:sz="8" w:color="D9D9D9"/>
            </w:tcBorders>
            <w:shd w:val="clear" w:color="auto" w:fill="D9D9D9"/>
          </w:tcPr>
          <w:p>
            <w:pPr>
              <w:spacing w:after="0"/>
              <w:rPr>
                <w:sz w:val="21"/>
                <w:szCs w:val="21"/>
                <w:color w:val="auto"/>
              </w:rPr>
            </w:pPr>
          </w:p>
        </w:tc>
        <w:tc>
          <w:tcPr>
            <w:tcW w:w="1180" w:type="dxa"/>
            <w:vAlign w:val="bottom"/>
            <w:tcBorders>
              <w:top w:val="single" w:sz="8" w:color="auto"/>
              <w:bottom w:val="single" w:sz="8" w:color="D9D9D9"/>
              <w:right w:val="single" w:sz="8" w:color="D9D9D9"/>
            </w:tcBorders>
            <w:shd w:val="clear" w:color="auto" w:fill="D9D9D9"/>
          </w:tcPr>
          <w:p>
            <w:pPr>
              <w:spacing w:after="0"/>
              <w:rPr>
                <w:sz w:val="21"/>
                <w:szCs w:val="21"/>
                <w:color w:val="auto"/>
              </w:rPr>
            </w:pPr>
          </w:p>
        </w:tc>
      </w:tr>
      <w:tr>
        <w:trPr>
          <w:trHeight w:val="218"/>
        </w:trPr>
        <w:tc>
          <w:tcPr>
            <w:tcW w:w="51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Directors</w:t>
            </w:r>
          </w:p>
        </w:tc>
        <w:tc>
          <w:tcPr>
            <w:tcW w:w="1520" w:type="dxa"/>
            <w:vAlign w:val="bottom"/>
            <w:tcBorders>
              <w:top w:val="single" w:sz="8" w:color="auto"/>
              <w:right w:val="single" w:sz="8" w:color="auto"/>
            </w:tcBorders>
          </w:tcPr>
          <w:p>
            <w:pPr>
              <w:jc w:val="right"/>
              <w:ind w:right="676"/>
              <w:spacing w:after="0"/>
              <w:rPr>
                <w:sz w:val="20"/>
                <w:szCs w:val="20"/>
                <w:color w:val="auto"/>
              </w:rPr>
            </w:pPr>
            <w:r>
              <w:rPr>
                <w:rFonts w:ascii="Arial" w:cs="Arial" w:eastAsia="Arial" w:hAnsi="Arial"/>
                <w:sz w:val="17"/>
                <w:szCs w:val="17"/>
                <w:color w:val="auto"/>
              </w:rPr>
              <w:t>1</w:t>
            </w:r>
          </w:p>
        </w:tc>
        <w:tc>
          <w:tcPr>
            <w:tcW w:w="1320" w:type="dxa"/>
            <w:vAlign w:val="bottom"/>
            <w:tcBorders>
              <w:top w:val="single" w:sz="8" w:color="auto"/>
              <w:right w:val="single" w:sz="8" w:color="auto"/>
            </w:tcBorders>
          </w:tcPr>
          <w:p>
            <w:pPr>
              <w:jc w:val="right"/>
              <w:ind w:right="556"/>
              <w:spacing w:after="0"/>
              <w:rPr>
                <w:sz w:val="20"/>
                <w:szCs w:val="20"/>
                <w:color w:val="auto"/>
              </w:rPr>
            </w:pPr>
            <w:r>
              <w:rPr>
                <w:rFonts w:ascii="Arial" w:cs="Arial" w:eastAsia="Arial" w:hAnsi="Arial"/>
                <w:sz w:val="17"/>
                <w:szCs w:val="17"/>
                <w:color w:val="auto"/>
              </w:rPr>
              <w:t>6</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4"/>
              </w:rPr>
              <w:t>1</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4"/>
              </w:rPr>
              <w:t>2</w:t>
            </w:r>
          </w:p>
        </w:tc>
      </w:tr>
      <w:tr>
        <w:trPr>
          <w:trHeight w:val="25"/>
        </w:trPr>
        <w:tc>
          <w:tcPr>
            <w:tcW w:w="51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9"/>
        </w:trPr>
        <w:tc>
          <w:tcPr>
            <w:tcW w:w="5160" w:type="dxa"/>
            <w:vAlign w:val="bottom"/>
            <w:tcBorders>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17"/>
                <w:szCs w:val="17"/>
                <w:b w:val="1"/>
                <w:bCs w:val="1"/>
                <w:color w:val="auto"/>
              </w:rPr>
              <w:t>Part II: Demographic Background</w:t>
            </w:r>
          </w:p>
        </w:tc>
        <w:tc>
          <w:tcPr>
            <w:tcW w:w="1520" w:type="dxa"/>
            <w:vAlign w:val="bottom"/>
            <w:tcBorders>
              <w:bottom w:val="single" w:sz="8" w:color="D9D9D9"/>
              <w:right w:val="single" w:sz="8" w:color="D9D9D9"/>
            </w:tcBorders>
            <w:shd w:val="clear" w:color="auto" w:fill="D9D9D9"/>
          </w:tcPr>
          <w:p>
            <w:pPr>
              <w:spacing w:after="0"/>
              <w:rPr>
                <w:sz w:val="21"/>
                <w:szCs w:val="21"/>
                <w:color w:val="auto"/>
              </w:rPr>
            </w:pPr>
          </w:p>
        </w:tc>
        <w:tc>
          <w:tcPr>
            <w:tcW w:w="1320" w:type="dxa"/>
            <w:vAlign w:val="bottom"/>
            <w:tcBorders>
              <w:bottom w:val="single" w:sz="8" w:color="D9D9D9"/>
              <w:right w:val="single" w:sz="8" w:color="D9D9D9"/>
            </w:tcBorders>
            <w:shd w:val="clear" w:color="auto" w:fill="D9D9D9"/>
          </w:tcPr>
          <w:p>
            <w:pPr>
              <w:spacing w:after="0"/>
              <w:rPr>
                <w:sz w:val="21"/>
                <w:szCs w:val="21"/>
                <w:color w:val="auto"/>
              </w:rPr>
            </w:pPr>
          </w:p>
        </w:tc>
        <w:tc>
          <w:tcPr>
            <w:tcW w:w="2080" w:type="dxa"/>
            <w:vAlign w:val="bottom"/>
            <w:tcBorders>
              <w:bottom w:val="single" w:sz="8" w:color="D9D9D9"/>
              <w:right w:val="single" w:sz="8" w:color="D9D9D9"/>
            </w:tcBorders>
            <w:shd w:val="clear" w:color="auto" w:fill="D9D9D9"/>
          </w:tcPr>
          <w:p>
            <w:pPr>
              <w:spacing w:after="0"/>
              <w:rPr>
                <w:sz w:val="21"/>
                <w:szCs w:val="21"/>
                <w:color w:val="auto"/>
              </w:rPr>
            </w:pPr>
          </w:p>
        </w:tc>
        <w:tc>
          <w:tcPr>
            <w:tcW w:w="1180" w:type="dxa"/>
            <w:vAlign w:val="bottom"/>
            <w:tcBorders>
              <w:bottom w:val="single" w:sz="8" w:color="D9D9D9"/>
              <w:right w:val="single" w:sz="8" w:color="D9D9D9"/>
            </w:tcBorders>
            <w:shd w:val="clear" w:color="auto" w:fill="D9D9D9"/>
          </w:tcPr>
          <w:p>
            <w:pPr>
              <w:spacing w:after="0"/>
              <w:rPr>
                <w:sz w:val="21"/>
                <w:szCs w:val="21"/>
                <w:color w:val="auto"/>
              </w:rPr>
            </w:pPr>
          </w:p>
        </w:tc>
      </w:tr>
      <w:tr>
        <w:trPr>
          <w:trHeight w:val="218"/>
        </w:trPr>
        <w:tc>
          <w:tcPr>
            <w:tcW w:w="51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Underrepresented Individual in Home Country Jurisdiction</w:t>
            </w:r>
          </w:p>
        </w:tc>
        <w:tc>
          <w:tcPr>
            <w:tcW w:w="15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jc w:val="center"/>
              <w:ind w:right="1636"/>
              <w:spacing w:after="0"/>
              <w:rPr>
                <w:sz w:val="20"/>
                <w:szCs w:val="20"/>
                <w:color w:val="auto"/>
              </w:rPr>
            </w:pPr>
            <w:r>
              <w:rPr>
                <w:rFonts w:ascii="Arial" w:cs="Arial" w:eastAsia="Arial" w:hAnsi="Arial"/>
                <w:sz w:val="17"/>
                <w:szCs w:val="17"/>
                <w:color w:val="auto"/>
                <w:w w:val="84"/>
              </w:rPr>
              <w:t>1</w:t>
            </w:r>
          </w:p>
        </w:tc>
        <w:tc>
          <w:tcPr>
            <w:tcW w:w="1180" w:type="dxa"/>
            <w:vAlign w:val="bottom"/>
            <w:tcBorders>
              <w:top w:val="single" w:sz="8" w:color="auto"/>
            </w:tcBorders>
          </w:tcPr>
          <w:p>
            <w:pPr>
              <w:spacing w:after="0"/>
              <w:rPr>
                <w:sz w:val="18"/>
                <w:szCs w:val="18"/>
                <w:color w:val="auto"/>
              </w:rPr>
            </w:pPr>
          </w:p>
        </w:tc>
      </w:tr>
      <w:tr>
        <w:trPr>
          <w:trHeight w:val="25"/>
        </w:trPr>
        <w:tc>
          <w:tcPr>
            <w:tcW w:w="51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516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LGBTQ+</w:t>
            </w:r>
          </w:p>
        </w:tc>
        <w:tc>
          <w:tcPr>
            <w:tcW w:w="1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80" w:type="dxa"/>
            <w:vAlign w:val="bottom"/>
          </w:tcPr>
          <w:p>
            <w:pPr>
              <w:jc w:val="center"/>
              <w:ind w:right="1636"/>
              <w:spacing w:after="0"/>
              <w:rPr>
                <w:sz w:val="20"/>
                <w:szCs w:val="20"/>
                <w:color w:val="auto"/>
              </w:rPr>
            </w:pPr>
            <w:r>
              <w:rPr>
                <w:rFonts w:ascii="Arial" w:cs="Arial" w:eastAsia="Arial" w:hAnsi="Arial"/>
                <w:sz w:val="17"/>
                <w:szCs w:val="17"/>
                <w:color w:val="auto"/>
                <w:w w:val="84"/>
              </w:rPr>
              <w:t>1</w:t>
            </w:r>
          </w:p>
        </w:tc>
        <w:tc>
          <w:tcPr>
            <w:tcW w:w="1180" w:type="dxa"/>
            <w:vAlign w:val="bottom"/>
          </w:tcPr>
          <w:p>
            <w:pPr>
              <w:spacing w:after="0"/>
              <w:rPr>
                <w:sz w:val="18"/>
                <w:szCs w:val="18"/>
                <w:color w:val="auto"/>
              </w:rPr>
            </w:pPr>
          </w:p>
        </w:tc>
      </w:tr>
      <w:tr>
        <w:trPr>
          <w:trHeight w:val="22"/>
        </w:trPr>
        <w:tc>
          <w:tcPr>
            <w:tcW w:w="516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2"/>
        </w:trPr>
        <w:tc>
          <w:tcPr>
            <w:tcW w:w="516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Did Not Disclose Demographic Background</w:t>
            </w:r>
          </w:p>
        </w:tc>
        <w:tc>
          <w:tcPr>
            <w:tcW w:w="15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80" w:type="dxa"/>
            <w:vAlign w:val="bottom"/>
          </w:tcPr>
          <w:p>
            <w:pPr>
              <w:jc w:val="center"/>
              <w:ind w:right="1636"/>
              <w:spacing w:after="0"/>
              <w:rPr>
                <w:sz w:val="20"/>
                <w:szCs w:val="20"/>
                <w:color w:val="auto"/>
              </w:rPr>
            </w:pPr>
            <w:r>
              <w:rPr>
                <w:rFonts w:ascii="Arial" w:cs="Arial" w:eastAsia="Arial" w:hAnsi="Arial"/>
                <w:sz w:val="17"/>
                <w:szCs w:val="17"/>
                <w:color w:val="auto"/>
                <w:w w:val="84"/>
              </w:rPr>
              <w:t>5</w:t>
            </w:r>
          </w:p>
        </w:tc>
        <w:tc>
          <w:tcPr>
            <w:tcW w:w="1180" w:type="dxa"/>
            <w:vAlign w:val="bottom"/>
            <w:tcBorders>
              <w:right w:val="single" w:sz="8" w:color="auto"/>
            </w:tcBorders>
          </w:tcPr>
          <w:p>
            <w:pPr>
              <w:spacing w:after="0"/>
              <w:rPr>
                <w:sz w:val="19"/>
                <w:szCs w:val="19"/>
                <w:color w:val="auto"/>
              </w:rPr>
            </w:pPr>
          </w:p>
        </w:tc>
      </w:tr>
      <w:tr>
        <w:trPr>
          <w:trHeight w:val="22"/>
        </w:trPr>
        <w:tc>
          <w:tcPr>
            <w:tcW w:w="516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61"/>
        </w:trPr>
        <w:tc>
          <w:tcPr>
            <w:tcW w:w="5160" w:type="dxa"/>
            <w:vAlign w:val="bottom"/>
          </w:tcPr>
          <w:p>
            <w:pPr>
              <w:spacing w:after="0"/>
              <w:rPr>
                <w:sz w:val="24"/>
                <w:szCs w:val="24"/>
                <w:color w:val="auto"/>
              </w:rPr>
            </w:pPr>
          </w:p>
        </w:tc>
        <w:tc>
          <w:tcPr>
            <w:tcW w:w="1520" w:type="dxa"/>
            <w:vAlign w:val="bottom"/>
          </w:tcPr>
          <w:p>
            <w:pPr>
              <w:jc w:val="right"/>
              <w:ind w:right="896"/>
              <w:spacing w:after="0"/>
              <w:rPr>
                <w:sz w:val="20"/>
                <w:szCs w:val="20"/>
                <w:color w:val="auto"/>
              </w:rPr>
            </w:pPr>
            <w:r>
              <w:rPr>
                <w:rFonts w:ascii="Arial" w:cs="Arial" w:eastAsia="Arial" w:hAnsi="Arial"/>
                <w:sz w:val="17"/>
                <w:szCs w:val="17"/>
                <w:color w:val="auto"/>
              </w:rPr>
              <w:t>97</w:t>
            </w:r>
          </w:p>
        </w:tc>
        <w:tc>
          <w:tcPr>
            <w:tcW w:w="1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6"/>
        </w:trPr>
        <w:tc>
          <w:tcPr>
            <w:tcW w:w="5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328" w:right="319" w:bottom="1440" w:gutter="0" w:footer="0" w:header="0"/>
        </w:sectPr>
      </w:pPr>
    </w:p>
    <w:bookmarkStart w:id="97" w:name="page98"/>
    <w:bookmarkEnd w:id="97"/>
    <w:p>
      <w:pPr>
        <w:ind w:left="140"/>
        <w:spacing w:after="0"/>
        <w:rPr>
          <w:sz w:val="20"/>
          <w:szCs w:val="20"/>
          <w:color w:val="auto"/>
        </w:rPr>
      </w:pPr>
      <w:r>
        <w:rPr>
          <w:rFonts w:ascii="Arial" w:cs="Arial" w:eastAsia="Arial" w:hAnsi="Arial"/>
          <w:sz w:val="17"/>
          <w:szCs w:val="17"/>
          <w:b w:val="1"/>
          <w:bCs w:val="1"/>
          <w:color w:val="auto"/>
        </w:rPr>
        <w:t>B.  Compensation</w:t>
      </w:r>
    </w:p>
    <w:p>
      <w:pPr>
        <w:spacing w:after="0" w:line="210" w:lineRule="exact"/>
        <w:rPr>
          <w:sz w:val="20"/>
          <w:szCs w:val="20"/>
          <w:color w:val="auto"/>
        </w:rPr>
      </w:pPr>
    </w:p>
    <w:p>
      <w:pPr>
        <w:ind w:right="40" w:firstLine="452"/>
        <w:spacing w:after="0" w:line="251" w:lineRule="auto"/>
        <w:rPr>
          <w:sz w:val="20"/>
          <w:szCs w:val="20"/>
          <w:color w:val="auto"/>
        </w:rPr>
      </w:pPr>
      <w:r>
        <w:rPr>
          <w:rFonts w:ascii="Arial" w:cs="Arial" w:eastAsia="Arial" w:hAnsi="Arial"/>
          <w:sz w:val="17"/>
          <w:szCs w:val="17"/>
          <w:i w:val="1"/>
          <w:iCs w:val="1"/>
          <w:color w:val="auto"/>
        </w:rPr>
        <w:t xml:space="preserve">Directors. </w:t>
      </w:r>
      <w:r>
        <w:rPr>
          <w:rFonts w:ascii="Arial" w:cs="Arial" w:eastAsia="Arial" w:hAnsi="Arial"/>
          <w:sz w:val="17"/>
          <w:szCs w:val="17"/>
          <w:color w:val="auto"/>
        </w:rPr>
        <w:t>Under the Companies Law, the compensation of our directors requires the approval of our compensation committee, the subsequent approval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and, unless exempted under regulations promulgated under the Companies Law, the approval of the shareholders at a general meeting. If the compensation of our directors is inconsistent with our stated compensation policy, then, those provisions that must be included in the compensation policy according to the Companies Law must have been considered by the compensation committee and board of directors, and shareholder approval by a simple majority will also be required, provided that:</w:t>
      </w:r>
    </w:p>
    <w:p>
      <w:pPr>
        <w:spacing w:after="0" w:line="183" w:lineRule="exact"/>
        <w:rPr>
          <w:sz w:val="20"/>
          <w:szCs w:val="20"/>
          <w:color w:val="auto"/>
        </w:rPr>
      </w:pPr>
    </w:p>
    <w:p>
      <w:pPr>
        <w:ind w:left="740" w:right="80" w:hanging="325"/>
        <w:spacing w:after="0" w:line="268" w:lineRule="auto"/>
        <w:tabs>
          <w:tab w:leader="none" w:pos="7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at least a majority of the shares held by all shareholders who are not controlling shareholders and do not have a personal interest in such matter, present and voting at such meeting, are voted in favor of the compensation package, excluding abstentions; or</w:t>
      </w:r>
    </w:p>
    <w:p>
      <w:pPr>
        <w:spacing w:after="0" w:line="165" w:lineRule="exact"/>
        <w:rPr>
          <w:rFonts w:ascii="Arial" w:cs="Arial" w:eastAsia="Arial" w:hAnsi="Arial"/>
          <w:sz w:val="17"/>
          <w:szCs w:val="17"/>
          <w:color w:val="auto"/>
        </w:rPr>
      </w:pPr>
    </w:p>
    <w:p>
      <w:pPr>
        <w:ind w:left="740" w:right="800" w:hanging="325"/>
        <w:spacing w:after="0" w:line="268" w:lineRule="auto"/>
        <w:tabs>
          <w:tab w:leader="none" w:pos="7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total number of shares of non-controlling shareholders and shareholders who do not have a personal interest in such matter voting against the compensation package does not exceed two percent (2%) of the aggregate voting rights in the Company.</w:t>
      </w:r>
    </w:p>
    <w:p>
      <w:pPr>
        <w:spacing w:after="0" w:line="166" w:lineRule="exact"/>
        <w:rPr>
          <w:sz w:val="20"/>
          <w:szCs w:val="20"/>
          <w:color w:val="auto"/>
        </w:rPr>
      </w:pPr>
    </w:p>
    <w:p>
      <w:pPr>
        <w:ind w:right="60" w:firstLine="452"/>
        <w:spacing w:after="0" w:line="290" w:lineRule="auto"/>
        <w:rPr>
          <w:sz w:val="20"/>
          <w:szCs w:val="20"/>
          <w:color w:val="auto"/>
        </w:rPr>
      </w:pPr>
      <w:r>
        <w:rPr>
          <w:rFonts w:ascii="Arial" w:cs="Arial" w:eastAsia="Arial" w:hAnsi="Arial"/>
          <w:sz w:val="15"/>
          <w:szCs w:val="15"/>
          <w:i w:val="1"/>
          <w:iCs w:val="1"/>
          <w:color w:val="auto"/>
        </w:rPr>
        <w:t>Executive Officers other than the Chief Executive Officer</w:t>
      </w:r>
      <w:r>
        <w:rPr>
          <w:rFonts w:ascii="Arial" w:cs="Arial" w:eastAsia="Arial" w:hAnsi="Arial"/>
          <w:sz w:val="15"/>
          <w:szCs w:val="15"/>
          <w:color w:val="auto"/>
        </w:rPr>
        <w:t>. The Companies Law requires the approval of the compensation of a public company’s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officers (other than the chief executive officer) in the following order: (1) the compensation committee, (2) the company’s board of directors, and (3) if such compensation arrangement is inconsistent with the company’s stated compensation policy, the company’s shareholders (by a special majority vote as discussed above with respect to the approval of director compensation). However, if the shareholders of the company do not approve a compensation arrangement with such executive officer that is inconsistent with the company’s stated compensation policy, the compensation committee and board of directors may override the shareholders’ decision if each of the compensation committee and the board of directors provide detailed reasons for their decision.</w:t>
      </w:r>
    </w:p>
    <w:p>
      <w:pPr>
        <w:spacing w:after="0" w:line="155" w:lineRule="exact"/>
        <w:rPr>
          <w:sz w:val="20"/>
          <w:szCs w:val="20"/>
          <w:color w:val="auto"/>
        </w:rPr>
      </w:pPr>
    </w:p>
    <w:p>
      <w:pPr>
        <w:ind w:right="40" w:firstLine="452"/>
        <w:spacing w:after="0" w:line="250" w:lineRule="auto"/>
        <w:rPr>
          <w:sz w:val="20"/>
          <w:szCs w:val="20"/>
          <w:color w:val="auto"/>
        </w:rPr>
      </w:pPr>
      <w:r>
        <w:rPr>
          <w:rFonts w:ascii="Arial" w:cs="Arial" w:eastAsia="Arial" w:hAnsi="Arial"/>
          <w:sz w:val="17"/>
          <w:szCs w:val="17"/>
          <w:color w:val="auto"/>
        </w:rPr>
        <w:t>An amendment to an existing arrangement with an office holder (who is not a director) requires only the approval of the compensation committee, if the compensation committee determines that the amendment is not material in comparison to the existing arrangement. However, under the Companies Law, an amendment to an existing arrangement with an office holder (who is not a director) who is subordinate to the chief executive officer will not require the approval of the compensation committee, if (1) the amendment is approved by the chief executive officer, (2) the company’s compensation policy provides that a non-material amendment to the terms of service of an office holder (other than the chief executive officer) may be approved by the chief executive officer and (3) the engagement terms are consistent with the company’s compensation policy.</w:t>
      </w:r>
    </w:p>
    <w:p>
      <w:pPr>
        <w:spacing w:after="0" w:line="184" w:lineRule="exact"/>
        <w:rPr>
          <w:sz w:val="20"/>
          <w:szCs w:val="20"/>
          <w:color w:val="auto"/>
        </w:rPr>
      </w:pPr>
    </w:p>
    <w:p>
      <w:pPr>
        <w:ind w:firstLine="452"/>
        <w:spacing w:after="0" w:line="284" w:lineRule="auto"/>
        <w:rPr>
          <w:sz w:val="20"/>
          <w:szCs w:val="20"/>
          <w:color w:val="auto"/>
        </w:rPr>
      </w:pPr>
      <w:r>
        <w:rPr>
          <w:rFonts w:ascii="Arial" w:cs="Arial" w:eastAsia="Arial" w:hAnsi="Arial"/>
          <w:sz w:val="15"/>
          <w:szCs w:val="15"/>
          <w:i w:val="1"/>
          <w:iCs w:val="1"/>
          <w:color w:val="auto"/>
        </w:rPr>
        <w:t>Chief Executive Officer</w:t>
      </w:r>
      <w:r>
        <w:rPr>
          <w:rFonts w:ascii="Arial" w:cs="Arial" w:eastAsia="Arial" w:hAnsi="Arial"/>
          <w:sz w:val="15"/>
          <w:szCs w:val="15"/>
          <w:color w:val="auto"/>
        </w:rPr>
        <w:t>. Under the Companies Law, the compensation of a public company’s chief executive officer is required to be approved by: (1)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company’s compensation committee; (2) the company’s board of directors, and (3) the company’s shareholders (by a special majority vote as discussed above with respect to the approval of director compensation). However, if the shareholders of the company do not approve the compensation arrangement with the chief executive officer, the compensation committee and board of directors may override the shareholders’ decision if each of the compensation committee and the board of directors provide detailed reasons for their decision. The approval of each of the compensation committee and the board of directors should be in accordance with the company’s stated compensation policy; however, in special circumstances, they may approve compensation terms of a chief executive officer that are inconsistent with such policy provided that they have considered those provisions that must be included in the compensation policy according to the Companies Law and that shareholder approval is obtained (by a special majority vote as discussed above with respect to the approval of director compensation). In addition, the compensation committee may waive the shareholder approval requirement with regards to the approval of the engagement terms of a candidate for the chief executive officer position, if they determine that the compensation arrangement is consistent with the company’s compensation policy and that the chief executive officer candidate did not have a prior business relationship with the company or a controlling shareholder of the company and that subjecting the approval of the engagement to a shareholder vote would impede the company’s ability to employ the chief executive officer candidate.</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color w:val="auto"/>
        </w:rPr>
        <w:t>Compensation of Directors and Executive Officers</w:t>
      </w:r>
    </w:p>
    <w:p>
      <w:pPr>
        <w:spacing w:after="0" w:line="210" w:lineRule="exact"/>
        <w:rPr>
          <w:sz w:val="20"/>
          <w:szCs w:val="20"/>
          <w:color w:val="auto"/>
        </w:rPr>
      </w:pPr>
    </w:p>
    <w:p>
      <w:pPr>
        <w:ind w:right="40" w:firstLine="410"/>
        <w:spacing w:after="0" w:line="293" w:lineRule="auto"/>
        <w:rPr>
          <w:sz w:val="20"/>
          <w:szCs w:val="20"/>
          <w:color w:val="auto"/>
        </w:rPr>
      </w:pPr>
      <w:r>
        <w:rPr>
          <w:rFonts w:ascii="Arial" w:cs="Arial" w:eastAsia="Arial" w:hAnsi="Arial"/>
          <w:sz w:val="15"/>
          <w:szCs w:val="15"/>
          <w:color w:val="auto"/>
        </w:rPr>
        <w:t>The aggregate compensation paid by us and our subsidiaries to our directors and executive officers, including share-based compensation expenses recorded in our financial statements, for the year ended December 31, 2021, was approximately $12.2 million. This amount includes deferred or contingent compensation accrued for such year (and excludes deferred or contingent amounts accrued for during the year ended December 31, 2020 and paid during the year ended December 31, 2021). This amount includes approximately $0.2 million set aside or accrued to provide pension, severance, retirement or similar benefits or expenses, but does not include business travel, relocation, professional and business association dues and expenses reimbursed to our directors and executive officers.</w:t>
      </w:r>
    </w:p>
    <w:p>
      <w:pPr>
        <w:spacing w:after="0" w:line="152"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During the year ended December 31, 2021, our directors and officers were granted options to purchase an aggregate of 2,201,035 ordinary shares, at a weighted average exercise price of $13.85 per share, and 16,440 restricted share units under our 2021 Share Incentive Plan, or the 2021 Plan, our 2021 Employee Share Purchase Plan, or the 2021 ESPP Plan, and our Restated 2012 Share Option Plan, or the Restated 2012 Plan.</w:t>
      </w:r>
    </w:p>
    <w:p>
      <w:pPr>
        <w:spacing w:after="0" w:line="175" w:lineRule="exact"/>
        <w:rPr>
          <w:sz w:val="20"/>
          <w:szCs w:val="20"/>
          <w:color w:val="auto"/>
        </w:rPr>
      </w:pPr>
    </w:p>
    <w:p>
      <w:pPr>
        <w:ind w:right="400" w:firstLine="410"/>
        <w:spacing w:after="0" w:line="257" w:lineRule="auto"/>
        <w:rPr>
          <w:sz w:val="20"/>
          <w:szCs w:val="20"/>
          <w:color w:val="auto"/>
        </w:rPr>
      </w:pPr>
      <w:r>
        <w:rPr>
          <w:rFonts w:ascii="Arial" w:cs="Arial" w:eastAsia="Arial" w:hAnsi="Arial"/>
          <w:sz w:val="17"/>
          <w:szCs w:val="17"/>
          <w:color w:val="auto"/>
        </w:rPr>
        <w:t>The following is a summary of the salary expenses and social benefit costs of our five most highly compensated executive officers in 2021, or the “Covered Executives.” All amounts reported reflect the cost to the Company as recognized in our financial statements for the year ended December 31, 2021. U.S. dollar amounts indicated for compensation of our Covered Executives are in thousands of dollars.</w:t>
      </w:r>
    </w:p>
    <w:p>
      <w:pPr>
        <w:spacing w:after="0" w:line="175" w:lineRule="exact"/>
        <w:rPr>
          <w:sz w:val="20"/>
          <w:szCs w:val="20"/>
          <w:color w:val="auto"/>
        </w:rPr>
      </w:pPr>
    </w:p>
    <w:p>
      <w:pPr>
        <w:ind w:left="740" w:hanging="325"/>
        <w:spacing w:after="0" w:line="268" w:lineRule="auto"/>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Mr. Dan Adika, Chief Executive Officer and Chairperson of the Board. Compensation expenses recorded in 2021 of $0.4 million in salary expenses and $0.1 million in social benefits costs.</w:t>
      </w:r>
    </w:p>
    <w:p>
      <w:pPr>
        <w:spacing w:after="0" w:line="165" w:lineRule="exact"/>
        <w:rPr>
          <w:rFonts w:ascii="Arial" w:cs="Arial" w:eastAsia="Arial" w:hAnsi="Arial"/>
          <w:sz w:val="17"/>
          <w:szCs w:val="17"/>
          <w:color w:val="auto"/>
        </w:rPr>
      </w:pPr>
    </w:p>
    <w:p>
      <w:pPr>
        <w:ind w:left="740" w:right="180" w:hanging="325"/>
        <w:spacing w:after="0" w:line="268" w:lineRule="auto"/>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Mr. Rafael Sweary, President and Director. Compensation expenses recorded in 2021 of $0.4 million in salary expenses and $0.1 million in social benefits costs.</w:t>
      </w:r>
    </w:p>
    <w:p>
      <w:pPr>
        <w:spacing w:after="0" w:line="165" w:lineRule="exact"/>
        <w:rPr>
          <w:rFonts w:ascii="Arial" w:cs="Arial" w:eastAsia="Arial" w:hAnsi="Arial"/>
          <w:sz w:val="17"/>
          <w:szCs w:val="17"/>
          <w:color w:val="auto"/>
        </w:rPr>
      </w:pPr>
    </w:p>
    <w:p>
      <w:pPr>
        <w:ind w:left="740" w:right="120" w:hanging="325"/>
        <w:spacing w:after="0" w:line="268" w:lineRule="auto"/>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Mr. Andrew Casey, Chief Financial Officer. Compensation expenses recorded in 2021 of $0.4 million in salary expenses and $0.1 million in social benefits costs.</w:t>
      </w:r>
    </w:p>
    <w:p>
      <w:pPr>
        <w:spacing w:after="0" w:line="165" w:lineRule="exact"/>
        <w:rPr>
          <w:rFonts w:ascii="Arial" w:cs="Arial" w:eastAsia="Arial" w:hAnsi="Arial"/>
          <w:sz w:val="17"/>
          <w:szCs w:val="17"/>
          <w:color w:val="auto"/>
        </w:rPr>
      </w:pPr>
    </w:p>
    <w:p>
      <w:pPr>
        <w:ind w:left="740" w:right="340" w:hanging="325"/>
        <w:spacing w:after="0" w:line="268" w:lineRule="auto"/>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Mr. Shane Orlick, former Chief Revenue Officer. Compensation expenses recorded in 2021 of $0.3 million in salary expenses and $0.1 million in social benefits costs.</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Mr. Ofer Karp, EVP Engineering. Compensation expenses recorded in 2021 of $0.3 million in salary expenses and $0.1 million in social benefits costs.</w:t>
      </w:r>
    </w:p>
    <w:p>
      <w:pPr>
        <w:spacing w:after="0" w:line="229" w:lineRule="exact"/>
        <w:rPr>
          <w:sz w:val="20"/>
          <w:szCs w:val="20"/>
          <w:color w:val="auto"/>
        </w:rPr>
      </w:pPr>
    </w:p>
    <w:p>
      <w:pPr>
        <w:ind w:right="260" w:firstLine="410"/>
        <w:spacing w:after="0" w:line="257" w:lineRule="auto"/>
        <w:rPr>
          <w:sz w:val="20"/>
          <w:szCs w:val="20"/>
          <w:color w:val="auto"/>
        </w:rPr>
      </w:pPr>
      <w:r>
        <w:rPr>
          <w:rFonts w:ascii="Arial" w:cs="Arial" w:eastAsia="Arial" w:hAnsi="Arial"/>
          <w:sz w:val="17"/>
          <w:szCs w:val="17"/>
          <w:color w:val="auto"/>
        </w:rPr>
        <w:t>The salary expenses summarized above include the gross salary paid to the Covered Executives, and the benefit costs include the social benefits paid by us on behalf of the Covered Executives, convalescence pay, contributions made by the company to an insurance policy or a pension fund, work disability insurance, severance, educational fund and payments for social security.</w:t>
      </w:r>
    </w:p>
    <w:p>
      <w:pPr>
        <w:spacing w:after="0" w:line="175" w:lineRule="exact"/>
        <w:rPr>
          <w:sz w:val="20"/>
          <w:szCs w:val="20"/>
          <w:color w:val="auto"/>
        </w:rPr>
      </w:pPr>
    </w:p>
    <w:p>
      <w:pPr>
        <w:ind w:right="340" w:firstLine="410"/>
        <w:spacing w:after="0" w:line="274" w:lineRule="auto"/>
        <w:rPr>
          <w:sz w:val="20"/>
          <w:szCs w:val="20"/>
          <w:color w:val="auto"/>
        </w:rPr>
      </w:pPr>
      <w:r>
        <w:rPr>
          <w:rFonts w:ascii="Arial" w:cs="Arial" w:eastAsia="Arial" w:hAnsi="Arial"/>
          <w:sz w:val="16"/>
          <w:szCs w:val="16"/>
          <w:color w:val="auto"/>
        </w:rPr>
        <w:t>In accordance with the Company’s compensation policy, we also paid cash bonuses and commissions to our Covered Executives upon compliance with predetermined performance parameters and an over achievement bonus as set by the compensation committee and the board of directors. The 2021 cash bonus and commissions expenses for Mr. Dan Adika, Mr. Rafael Sweary, Mr. Andrew Casey, Mr. Shane Orlick and Mr. Ofer Karp, as provided for in our 2021 financial statements, were $0.2 million, $0.2 million , $0.2 million, $0.5 million and $0.1 million, respectively.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9" w:name="page100"/>
    <w:bookmarkEnd w:id="99"/>
    <w:p>
      <w:pPr>
        <w:ind w:left="420"/>
        <w:spacing w:after="0"/>
        <w:rPr>
          <w:sz w:val="20"/>
          <w:szCs w:val="20"/>
          <w:color w:val="auto"/>
        </w:rPr>
      </w:pPr>
      <w:r>
        <w:rPr>
          <w:rFonts w:ascii="Arial" w:cs="Arial" w:eastAsia="Arial" w:hAnsi="Arial"/>
          <w:sz w:val="15"/>
          <w:szCs w:val="15"/>
          <w:color w:val="auto"/>
        </w:rPr>
        <w:t>We recorded equity-based compensation expenses in our financial statements for the year ended December 31, 2021 for Mr. Dan Adika, Mr. Rafael Sweary, Mr.</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Andrew Casey, Mr. Shane Orlick and Mr. Ofer Karp of $4.2 million, $4.2 million, $1.2 million, $0.7 million and $0.2 million, respectively.</w:t>
      </w:r>
    </w:p>
    <w:p>
      <w:pPr>
        <w:spacing w:after="0" w:line="194"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All equity-based compensation grants to our Covered Executives were made in accordance with the parameters of our Company’s compensation policy and were approved by the company’s compensation committee and board of directors. Assumptions and key variables used in the calculation of such amounts are described in Note 7 to our audited consolidated financial statements included in Item 18 of this Annual Report.</w:t>
      </w:r>
    </w:p>
    <w:p>
      <w:pPr>
        <w:spacing w:after="0" w:line="175" w:lineRule="exact"/>
        <w:rPr>
          <w:sz w:val="20"/>
          <w:szCs w:val="20"/>
          <w:color w:val="auto"/>
        </w:rPr>
      </w:pPr>
    </w:p>
    <w:p>
      <w:pPr>
        <w:ind w:firstLine="410"/>
        <w:spacing w:after="0" w:line="287" w:lineRule="auto"/>
        <w:rPr>
          <w:sz w:val="20"/>
          <w:szCs w:val="20"/>
          <w:color w:val="auto"/>
        </w:rPr>
      </w:pPr>
      <w:r>
        <w:rPr>
          <w:rFonts w:ascii="Arial" w:cs="Arial" w:eastAsia="Arial" w:hAnsi="Arial"/>
          <w:sz w:val="15"/>
          <w:szCs w:val="15"/>
          <w:color w:val="auto"/>
        </w:rPr>
        <w:t>Additionally, we annually pay to each of our non-employee directors a cash retainer of up to $30,000 with an additional annual payment for service on board committees as follows: $10,000 (or $20,000 for the chairperson) per membership of the audit committee, or $7,500 (or $15,000 for the chairperson) per membership of the compensation committee and $4,000 (or $8,000 for the chairperson) per membership of the nominating, governance and sustainability committee or any other board committee. In addition, upon election, non-employee directors, will be granted equity awards under our incentive plan at a value of $400,000, which will vest on a monthly basis over a period of three years. In addition, each non-employee director will be granted equity awards under our incentive plan (provided the director is still in office) at a value of $180,000, which will vest on the earlier of the first anniversary of the date on which such options and restricted share units were granted or the date upon which our next annual general meeting of the shareholders is convened, subject to such director’s continued service through such date. Any unvested equity grants will accelerate and fully vest upon the occurrence of a change in control transaction.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and consulting agreements with executive officers and directors</w:t>
      </w:r>
    </w:p>
    <w:p>
      <w:pPr>
        <w:spacing w:after="0" w:line="210"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These agreements also contain customary provisions regarding non-competition, confidentiality of information and assignment of inventions. However, the enforceability of the non-competition provisions may be limited under applicable law.</w:t>
      </w:r>
    </w:p>
    <w:p>
      <w:pPr>
        <w:spacing w:after="0" w:line="180"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i w:val="1"/>
          <w:iCs w:val="1"/>
          <w:color w:val="auto"/>
        </w:rPr>
        <w:t xml:space="preserve">Employment Agreements. </w:t>
      </w:r>
      <w:r>
        <w:rPr>
          <w:rFonts w:ascii="Arial" w:cs="Arial" w:eastAsia="Arial" w:hAnsi="Arial"/>
          <w:sz w:val="17"/>
          <w:szCs w:val="17"/>
          <w:color w:val="auto"/>
        </w:rPr>
        <w:t>We have entered into employment agreements with each of our executive officers who works for us as an employee. These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each contain provisions regarding noncompetition, confidentiality of information and assignment of inventions. The enforceability of covenants not to compete is subject to limitations.</w:t>
      </w:r>
    </w:p>
    <w:p>
      <w:pPr>
        <w:spacing w:after="0" w:line="175" w:lineRule="exact"/>
        <w:rPr>
          <w:sz w:val="20"/>
          <w:szCs w:val="20"/>
          <w:color w:val="auto"/>
        </w:rPr>
      </w:pPr>
    </w:p>
    <w:p>
      <w:pPr>
        <w:ind w:right="220" w:firstLine="410"/>
        <w:spacing w:after="0" w:line="253" w:lineRule="auto"/>
        <w:rPr>
          <w:sz w:val="20"/>
          <w:szCs w:val="20"/>
          <w:color w:val="auto"/>
        </w:rPr>
      </w:pPr>
      <w:r>
        <w:rPr>
          <w:rFonts w:ascii="Arial" w:cs="Arial" w:eastAsia="Arial" w:hAnsi="Arial"/>
          <w:sz w:val="17"/>
          <w:szCs w:val="17"/>
          <w:color w:val="auto"/>
        </w:rPr>
        <w:t>The provisions of certain of our executive officers’ employment agreements contain termination or change of control provisions. With respect to certain executive officers, either we or the executive officer may terminate his or her employment by giving 90 calendar days’ advance written notice to the other party. We may also terminate an executive officer’s employment agreement for good reason (as defined the applicable employment agreement) or in the event of a merger or acquisition transaction.</w:t>
      </w:r>
    </w:p>
    <w:p>
      <w:pPr>
        <w:spacing w:after="0" w:line="180" w:lineRule="exact"/>
        <w:rPr>
          <w:sz w:val="20"/>
          <w:szCs w:val="20"/>
          <w:color w:val="auto"/>
        </w:rPr>
      </w:pPr>
    </w:p>
    <w:p>
      <w:pPr>
        <w:ind w:right="80" w:firstLine="410"/>
        <w:spacing w:after="0" w:line="257" w:lineRule="auto"/>
        <w:rPr>
          <w:sz w:val="20"/>
          <w:szCs w:val="20"/>
          <w:color w:val="auto"/>
        </w:rPr>
      </w:pPr>
      <w:r>
        <w:rPr>
          <w:rFonts w:ascii="Arial" w:cs="Arial" w:eastAsia="Arial" w:hAnsi="Arial"/>
          <w:sz w:val="17"/>
          <w:szCs w:val="17"/>
          <w:i w:val="1"/>
          <w:iCs w:val="1"/>
          <w:color w:val="auto"/>
        </w:rPr>
        <w:t xml:space="preserve">Equity Awards. </w:t>
      </w:r>
      <w:r>
        <w:rPr>
          <w:rFonts w:ascii="Arial" w:cs="Arial" w:eastAsia="Arial" w:hAnsi="Arial"/>
          <w:sz w:val="17"/>
          <w:szCs w:val="17"/>
          <w:color w:val="auto"/>
        </w:rPr>
        <w:t>Since our inception, we have granted options to purchase our ordinary shares to our executive officers and certain of our directors. In November</w:t>
      </w:r>
      <w:r>
        <w:rPr>
          <w:rFonts w:ascii="Arial" w:cs="Arial" w:eastAsia="Arial" w:hAnsi="Arial"/>
          <w:sz w:val="17"/>
          <w:szCs w:val="17"/>
          <w:i w:val="1"/>
          <w:iCs w:val="1"/>
          <w:color w:val="auto"/>
        </w:rPr>
        <w:t xml:space="preserve"> </w:t>
      </w:r>
      <w:r>
        <w:rPr>
          <w:rFonts w:ascii="Arial" w:cs="Arial" w:eastAsia="Arial" w:hAnsi="Arial"/>
          <w:sz w:val="17"/>
          <w:szCs w:val="17"/>
          <w:color w:val="auto"/>
        </w:rPr>
        <w:t>2021, we began granting restricted share units, or RSUs, to our executive officers. Such equity agreements may contain acceleration provisions upon certain merger, acquisition or change of control transactions.</w:t>
      </w:r>
    </w:p>
    <w:p>
      <w:pPr>
        <w:spacing w:after="0" w:line="175"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i w:val="1"/>
          <w:iCs w:val="1"/>
          <w:color w:val="auto"/>
        </w:rPr>
        <w:t xml:space="preserve">Exculpation, Indemnification and Insurance. </w:t>
      </w:r>
      <w:r>
        <w:rPr>
          <w:rFonts w:ascii="Arial" w:cs="Arial" w:eastAsia="Arial" w:hAnsi="Arial"/>
          <w:sz w:val="17"/>
          <w:szCs w:val="17"/>
          <w:color w:val="auto"/>
        </w:rPr>
        <w:t>Our Articles of Association permit us to exculpate, indemnify and insure our office holders to the fullest extent</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by the Companies Law. We have entered into agreements with certain office holders, exculpating them from a breach of their duty of care to us to the fullest extent permitted by law and undertaking to indemnify them to the fullest extent permitted by law, subject to certain exceptions (including with respect to our IPO) to the extent that these liabilities are not covered by insurance.</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color w:val="auto"/>
        </w:rPr>
        <w:t>Equity incentive plans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Restated 2012 Plan</w:t>
      </w:r>
    </w:p>
    <w:p>
      <w:pPr>
        <w:spacing w:after="0" w:line="206" w:lineRule="exact"/>
        <w:rPr>
          <w:sz w:val="20"/>
          <w:szCs w:val="20"/>
          <w:color w:val="auto"/>
        </w:rPr>
      </w:pPr>
    </w:p>
    <w:p>
      <w:pPr>
        <w:ind w:right="40" w:firstLine="410"/>
        <w:spacing w:after="0" w:line="251" w:lineRule="auto"/>
        <w:rPr>
          <w:sz w:val="20"/>
          <w:szCs w:val="20"/>
          <w:color w:val="auto"/>
        </w:rPr>
      </w:pPr>
      <w:r>
        <w:rPr>
          <w:rFonts w:ascii="Arial" w:cs="Arial" w:eastAsia="Arial" w:hAnsi="Arial"/>
          <w:sz w:val="17"/>
          <w:szCs w:val="17"/>
          <w:color w:val="auto"/>
        </w:rPr>
        <w:t>The Restated 2012 Plan was adopted by our board of directors on June 29, 2012, amended as of December 6, 2012, and further amended and restated on June 4, 2020 and further amended on May 11, 2021. The Restated 2012 Plan provides for the grant of options to our employees, directors, office holders, consultants and other eligible service providers. The Restated 2012 Plan terminated upon the effective date of our initial public offering, or the IPO, and we will not grant any additional awards under the Restated 2012 Plan. However, the Restated 2012 Plan will continue to govern the terms and conditions of the outstanding awards previously granted under the Restated 2012 Plan.</w:t>
      </w:r>
    </w:p>
    <w:p>
      <w:pPr>
        <w:spacing w:after="0" w:line="183" w:lineRule="exact"/>
        <w:rPr>
          <w:sz w:val="20"/>
          <w:szCs w:val="20"/>
          <w:color w:val="auto"/>
        </w:rPr>
      </w:pPr>
    </w:p>
    <w:p>
      <w:pPr>
        <w:ind w:right="140" w:firstLine="410"/>
        <w:spacing w:after="0" w:line="268"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Ordinary shares subject to options granted under the Restated 2012 Plan that expire or become unexercisable without having been exercised</w:t>
      </w:r>
      <w:r>
        <w:rPr>
          <w:rFonts w:ascii="Arial" w:cs="Arial" w:eastAsia="Arial" w:hAnsi="Arial"/>
          <w:sz w:val="17"/>
          <w:szCs w:val="17"/>
          <w:i w:val="1"/>
          <w:iCs w:val="1"/>
          <w:color w:val="auto"/>
        </w:rPr>
        <w:t xml:space="preserve"> </w:t>
      </w:r>
      <w:r>
        <w:rPr>
          <w:rFonts w:ascii="Arial" w:cs="Arial" w:eastAsia="Arial" w:hAnsi="Arial"/>
          <w:sz w:val="17"/>
          <w:szCs w:val="17"/>
          <w:color w:val="auto"/>
        </w:rPr>
        <w:t>in full will become available again for future grant under the 2021 Plan.</w:t>
      </w:r>
    </w:p>
    <w:p>
      <w:pPr>
        <w:spacing w:after="0" w:line="166" w:lineRule="exact"/>
        <w:rPr>
          <w:sz w:val="20"/>
          <w:szCs w:val="20"/>
          <w:color w:val="auto"/>
        </w:rPr>
      </w:pPr>
    </w:p>
    <w:p>
      <w:pPr>
        <w:ind w:firstLine="410"/>
        <w:spacing w:after="0" w:line="267"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or a duly authorized committee of our board of directors, or the administrator, administers the Restated 2012 Plan.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Restated 2012 Plan, the administrator has the authority, subject to applicable law, to interpret the terms of the Restated 2012 Plan and any notices of grant or options granted thereunder, appoint a trustee, designate recipients of option grants, designate the types of options and elect the Israel tax track with respect to the options, determine and amend the terms of awards, including the exercise price of an option award, the fair market value of an ordinary share, the time and vesting schedule applicable to an option grant or the method of payment for an award, accelerate or amend the vesting schedule applicable to an option grant, prescribe the forms of agreement for use under the Restated 2012 Plan and take all other actions and make all other determinations necessary for the administration of Restated 2012 Plan. If the administrator is a duly authorized committee of our board of directors, our board of directors will determine the grant of options to be made, if any, to members of such committee.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administrator also has the authority to amend and rescind rules and regulations relating to the Restated 2012 Plan or terminate the Restated 2012 Plan.</w:t>
      </w:r>
    </w:p>
    <w:p>
      <w:pPr>
        <w:spacing w:after="0" w:line="229" w:lineRule="exact"/>
        <w:rPr>
          <w:sz w:val="20"/>
          <w:szCs w:val="20"/>
          <w:color w:val="auto"/>
        </w:rPr>
      </w:pPr>
    </w:p>
    <w:p>
      <w:pPr>
        <w:ind w:right="40" w:firstLine="410"/>
        <w:spacing w:after="0" w:line="335" w:lineRule="auto"/>
        <w:rPr>
          <w:sz w:val="20"/>
          <w:szCs w:val="20"/>
          <w:color w:val="auto"/>
        </w:rPr>
      </w:pPr>
      <w:r>
        <w:rPr>
          <w:rFonts w:ascii="Arial" w:cs="Arial" w:eastAsia="Arial" w:hAnsi="Arial"/>
          <w:sz w:val="15"/>
          <w:szCs w:val="15"/>
          <w:i w:val="1"/>
          <w:iCs w:val="1"/>
          <w:color w:val="auto"/>
        </w:rPr>
        <w:t>Eligibility</w:t>
      </w:r>
      <w:r>
        <w:rPr>
          <w:rFonts w:ascii="Arial" w:cs="Arial" w:eastAsia="Arial" w:hAnsi="Arial"/>
          <w:sz w:val="15"/>
          <w:szCs w:val="15"/>
          <w:color w:val="auto"/>
        </w:rPr>
        <w:t>. The Restated 2012 Plan provides for granting options in compliance with Section 102 of the Israeli Income Tax Ordinance (New Version), 5721-1961</w:t>
      </w:r>
      <w:r>
        <w:rPr>
          <w:rFonts w:ascii="Arial" w:cs="Arial" w:eastAsia="Arial" w:hAnsi="Arial"/>
          <w:sz w:val="15"/>
          <w:szCs w:val="15"/>
          <w:i w:val="1"/>
          <w:iCs w:val="1"/>
          <w:color w:val="auto"/>
        </w:rPr>
        <w:t xml:space="preserve"> </w:t>
      </w:r>
      <w:r>
        <w:rPr>
          <w:rFonts w:ascii="Arial" w:cs="Arial" w:eastAsia="Arial" w:hAnsi="Arial"/>
          <w:sz w:val="15"/>
          <w:szCs w:val="15"/>
          <w:color w:val="auto"/>
        </w:rPr>
        <w:t>(the “Ordinance”), or, for options granted to consultants, advisors, service providers or controlling shareholders of the company, under Section 3(i) of the Ordinance.</w:t>
      </w:r>
    </w:p>
    <w:p>
      <w:pPr>
        <w:spacing w:after="0" w:line="121" w:lineRule="exact"/>
        <w:rPr>
          <w:sz w:val="20"/>
          <w:szCs w:val="20"/>
          <w:color w:val="auto"/>
        </w:rPr>
      </w:pPr>
    </w:p>
    <w:p>
      <w:pPr>
        <w:ind w:right="260" w:firstLine="410"/>
        <w:spacing w:after="0" w:line="293" w:lineRule="auto"/>
        <w:rPr>
          <w:sz w:val="20"/>
          <w:szCs w:val="20"/>
          <w:color w:val="auto"/>
        </w:rPr>
      </w:pPr>
      <w:r>
        <w:rPr>
          <w:rFonts w:ascii="Arial" w:cs="Arial" w:eastAsia="Arial" w:hAnsi="Arial"/>
          <w:sz w:val="15"/>
          <w:szCs w:val="15"/>
          <w:color w:val="auto"/>
        </w:rPr>
        <w:t>Section 102 of the Ordinance allows employees, directors and officers who are not controlling shareholders and are considered Israeli residents to receive favorable tax treatment for compensation in the form of shares or options. Our non-employee service providers and controlling shareholders may only be granted options under section 3(i) of the Ordinance, which does not provide for similar tax benefits. Section 102 includes two alternatives for tax treatment involving the issuance of options or shares to a trustee for the benefit of the grantees and also includes an additional alternative for the issuance of options or shares directly to the grantee. Section 102(b)(2) of the Ordinance, the most favorable tax treatment for the grantee, permits the issuance to a trustee under the “capital gain track.”</w:t>
      </w:r>
    </w:p>
    <w:p>
      <w:pPr>
        <w:spacing w:after="0" w:line="152" w:lineRule="exact"/>
        <w:rPr>
          <w:sz w:val="20"/>
          <w:szCs w:val="20"/>
          <w:color w:val="auto"/>
        </w:rPr>
      </w:pPr>
    </w:p>
    <w:p>
      <w:pPr>
        <w:jc w:val="both"/>
        <w:ind w:right="200" w:firstLine="410"/>
        <w:spacing w:after="0" w:line="257" w:lineRule="auto"/>
        <w:rPr>
          <w:sz w:val="20"/>
          <w:szCs w:val="20"/>
          <w:color w:val="auto"/>
        </w:rPr>
      </w:pPr>
      <w:r>
        <w:rPr>
          <w:rFonts w:ascii="Arial" w:cs="Arial" w:eastAsia="Arial" w:hAnsi="Arial"/>
          <w:sz w:val="17"/>
          <w:szCs w:val="17"/>
          <w:i w:val="1"/>
          <w:iCs w:val="1"/>
          <w:color w:val="auto"/>
        </w:rPr>
        <w:t>Grant</w:t>
      </w:r>
      <w:r>
        <w:rPr>
          <w:rFonts w:ascii="Arial" w:cs="Arial" w:eastAsia="Arial" w:hAnsi="Arial"/>
          <w:sz w:val="17"/>
          <w:szCs w:val="17"/>
          <w:color w:val="auto"/>
        </w:rPr>
        <w:t>. All options granted pursuant to the Restated 2012 Plan are evidenced by a notice of grant, in a form approved by the administrator in its sole discretion.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notice of grant will set forth the terms and conditions of the option grant. Each option will expire ten years from the date of the grant thereof, unless such shorter term of expiration is otherwise designated by the administrator.</w:t>
      </w:r>
    </w:p>
    <w:p>
      <w:pPr>
        <w:spacing w:after="0" w:line="175" w:lineRule="exact"/>
        <w:rPr>
          <w:sz w:val="20"/>
          <w:szCs w:val="20"/>
          <w:color w:val="auto"/>
        </w:rPr>
      </w:pPr>
    </w:p>
    <w:p>
      <w:pPr>
        <w:ind w:right="20" w:firstLine="410"/>
        <w:spacing w:after="0" w:line="285" w:lineRule="auto"/>
        <w:rPr>
          <w:sz w:val="20"/>
          <w:szCs w:val="20"/>
          <w:color w:val="auto"/>
        </w:rPr>
      </w:pPr>
      <w:r>
        <w:rPr>
          <w:rFonts w:ascii="Arial" w:cs="Arial" w:eastAsia="Arial" w:hAnsi="Arial"/>
          <w:sz w:val="15"/>
          <w:szCs w:val="15"/>
          <w:color w:val="auto"/>
        </w:rPr>
        <w:t>Unless otherwise determined by the administrator and stated in the option agreement, and subject to the conditions of the Restated 2012 Plan, options vest and become exercisable under the following schedule: twenty-five percent (25%) of the shares covered by the option, on the first anniversary of the vesting commencement date determined by the administrator, and 1/36 of the shares covered by the award at the end of each subsequent month thereafter over the course of the following three</w:t>
      </w:r>
    </w:p>
    <w:p>
      <w:pPr>
        <w:ind w:left="5500" w:right="1780" w:hanging="5500"/>
        <w:spacing w:after="0" w:line="700" w:lineRule="auto"/>
        <w:tabs>
          <w:tab w:leader="none" w:pos="239" w:val="left"/>
        </w:tabs>
        <w:numPr>
          <w:ilvl w:val="0"/>
          <w:numId w:val="52"/>
        </w:numPr>
        <w:rPr>
          <w:rFonts w:ascii="Arial" w:cs="Arial" w:eastAsia="Arial" w:hAnsi="Arial"/>
          <w:sz w:val="17"/>
          <w:szCs w:val="17"/>
          <w:color w:val="auto"/>
        </w:rPr>
      </w:pPr>
      <w:r>
        <w:rPr>
          <w:rFonts w:ascii="Arial" w:cs="Arial" w:eastAsia="Arial" w:hAnsi="Arial"/>
          <w:sz w:val="17"/>
          <w:szCs w:val="17"/>
          <w:color w:val="auto"/>
        </w:rPr>
        <w:t>years; provided that the grantee remains continuously as an employee or provides services to the Company throughout such vesting dates.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-205105</wp:posOffset>
            </wp:positionV>
            <wp:extent cx="7141845"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1" w:name="page102"/>
    <w:bookmarkEnd w:id="101"/>
    <w:p>
      <w:pPr>
        <w:ind w:right="60" w:firstLine="410"/>
        <w:spacing w:after="0" w:line="307" w:lineRule="auto"/>
        <w:rPr>
          <w:sz w:val="20"/>
          <w:szCs w:val="20"/>
          <w:color w:val="auto"/>
        </w:rPr>
      </w:pPr>
      <w:r>
        <w:rPr>
          <w:rFonts w:ascii="Arial" w:cs="Arial" w:eastAsia="Arial" w:hAnsi="Arial"/>
          <w:sz w:val="15"/>
          <w:szCs w:val="15"/>
          <w:i w:val="1"/>
          <w:iCs w:val="1"/>
          <w:color w:val="auto"/>
        </w:rPr>
        <w:t>Exercise</w:t>
      </w:r>
      <w:r>
        <w:rPr>
          <w:rFonts w:ascii="Arial" w:cs="Arial" w:eastAsia="Arial" w:hAnsi="Arial"/>
          <w:sz w:val="15"/>
          <w:szCs w:val="15"/>
          <w:color w:val="auto"/>
        </w:rPr>
        <w:t>. An option under the Restated 2012 Plan may be exercised by providing the company with a written or electronic notice of exercise and full payment of</w:t>
      </w:r>
      <w:r>
        <w:rPr>
          <w:rFonts w:ascii="Arial" w:cs="Arial" w:eastAsia="Arial" w:hAnsi="Arial"/>
          <w:sz w:val="15"/>
          <w:szCs w:val="15"/>
          <w:i w:val="1"/>
          <w:iCs w:val="1"/>
          <w:color w:val="auto"/>
        </w:rPr>
        <w:t xml:space="preserve"> </w:t>
      </w:r>
      <w:r>
        <w:rPr>
          <w:rFonts w:ascii="Arial" w:cs="Arial" w:eastAsia="Arial" w:hAnsi="Arial"/>
          <w:sz w:val="15"/>
          <w:szCs w:val="15"/>
          <w:color w:val="auto"/>
        </w:rPr>
        <w:t>the exercise price for such shares with respect to which the option is exercised, in such form and method as may be determined by the administrator and permitted by applicable law, and any other deliverable as may be stipulated in the option agreement. An option may not be exercised for a fraction of a share.</w:t>
      </w:r>
    </w:p>
    <w:p>
      <w:pPr>
        <w:spacing w:after="0" w:line="141" w:lineRule="exact"/>
        <w:rPr>
          <w:sz w:val="20"/>
          <w:szCs w:val="20"/>
          <w:color w:val="auto"/>
        </w:rPr>
      </w:pPr>
    </w:p>
    <w:p>
      <w:pPr>
        <w:ind w:right="140" w:firstLine="410"/>
        <w:spacing w:after="0" w:line="268" w:lineRule="auto"/>
        <w:rPr>
          <w:sz w:val="20"/>
          <w:szCs w:val="20"/>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Other than by will, the laws of descent and distribution or as otherwise provided under the Restated 2012 Plan, neither the options nor any right</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such options are assignable or transferable.</w:t>
      </w:r>
    </w:p>
    <w:p>
      <w:pPr>
        <w:spacing w:after="0" w:line="166" w:lineRule="exact"/>
        <w:rPr>
          <w:sz w:val="20"/>
          <w:szCs w:val="20"/>
          <w:color w:val="auto"/>
        </w:rPr>
      </w:pPr>
    </w:p>
    <w:p>
      <w:pPr>
        <w:ind w:right="80" w:firstLine="410"/>
        <w:spacing w:after="0" w:line="298" w:lineRule="auto"/>
        <w:rPr>
          <w:sz w:val="20"/>
          <w:szCs w:val="20"/>
          <w:color w:val="auto"/>
        </w:rPr>
      </w:pPr>
      <w:r>
        <w:rPr>
          <w:rFonts w:ascii="Arial" w:cs="Arial" w:eastAsia="Arial" w:hAnsi="Arial"/>
          <w:sz w:val="15"/>
          <w:szCs w:val="15"/>
          <w:i w:val="1"/>
          <w:iCs w:val="1"/>
          <w:color w:val="auto"/>
        </w:rPr>
        <w:t>Termination of Employment</w:t>
      </w:r>
      <w:r>
        <w:rPr>
          <w:rFonts w:ascii="Arial" w:cs="Arial" w:eastAsia="Arial" w:hAnsi="Arial"/>
          <w:sz w:val="15"/>
          <w:szCs w:val="15"/>
          <w:color w:val="auto"/>
        </w:rPr>
        <w:t>. In the event of termination of an optionee’s employment or service with the company or any of its affiliates for any reason other</w:t>
      </w:r>
      <w:r>
        <w:rPr>
          <w:rFonts w:ascii="Arial" w:cs="Arial" w:eastAsia="Arial" w:hAnsi="Arial"/>
          <w:sz w:val="15"/>
          <w:szCs w:val="15"/>
          <w:i w:val="1"/>
          <w:iCs w:val="1"/>
          <w:color w:val="auto"/>
        </w:rPr>
        <w:t xml:space="preserve"> </w:t>
      </w:r>
      <w:r>
        <w:rPr>
          <w:rFonts w:ascii="Arial" w:cs="Arial" w:eastAsia="Arial" w:hAnsi="Arial"/>
          <w:sz w:val="15"/>
          <w:szCs w:val="15"/>
          <w:color w:val="auto"/>
        </w:rPr>
        <w:t>than “cause” (as defined in the Restated 2012 Plan) or due to such optionee’s death or disability, all vested and exercisable options held by such optionee as of the date of termination may be exercised within three months after such date of termination, unless otherwise provided by the administrator. After such three month period, all unexercised options will terminate and the shares covered by such options shall again be available for issuance under the 2021 Plan.</w:t>
      </w:r>
    </w:p>
    <w:p>
      <w:pPr>
        <w:spacing w:after="0" w:line="148" w:lineRule="exact"/>
        <w:rPr>
          <w:sz w:val="20"/>
          <w:szCs w:val="20"/>
          <w:color w:val="auto"/>
        </w:rPr>
      </w:pPr>
    </w:p>
    <w:p>
      <w:pPr>
        <w:ind w:right="80" w:firstLine="410"/>
        <w:spacing w:after="0" w:line="293" w:lineRule="auto"/>
        <w:rPr>
          <w:sz w:val="20"/>
          <w:szCs w:val="20"/>
          <w:color w:val="auto"/>
        </w:rPr>
      </w:pPr>
      <w:r>
        <w:rPr>
          <w:rFonts w:ascii="Arial" w:cs="Arial" w:eastAsia="Arial" w:hAnsi="Arial"/>
          <w:sz w:val="15"/>
          <w:szCs w:val="15"/>
          <w:color w:val="auto"/>
        </w:rPr>
        <w:t>In the event of termination of an optionee’s employment or service with the company or any of its affiliates due to such optionee’s death or disability, all vested and exercisable options held by such optionee as of the date of termination may be exercised by the optionee, the optionee’s legal guardian, the optionee’s estate, or by a person who acquired the right to exercise the option by bequest or inheritance, as applicable, within twelve months after such date of termination, unless otherwise provided by the administrator. Any options which are unvested as of the date of death or disability or which are vested but not then exercised within the twelve month period following such date, will terminate and the shares covered by such options shall again be available for issuance under the 2021 Plan.</w:t>
      </w:r>
    </w:p>
    <w:p>
      <w:pPr>
        <w:spacing w:after="0" w:line="152"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color w:val="auto"/>
        </w:rPr>
        <w:t>Notwithstanding any of the foregoing, if an optionee’s employment or services with the company or any of its affiliates is terminated for “cause,” all outstanding options held by such optionee (whether vested or unvested) will terminate on the date of such termination and the shares covered by such options shall again be available for issuance under the 2021 Plan.</w:t>
      </w:r>
    </w:p>
    <w:p>
      <w:pPr>
        <w:spacing w:after="0" w:line="175" w:lineRule="exact"/>
        <w:rPr>
          <w:sz w:val="20"/>
          <w:szCs w:val="20"/>
          <w:color w:val="auto"/>
        </w:rPr>
      </w:pPr>
    </w:p>
    <w:p>
      <w:pPr>
        <w:ind w:firstLine="410"/>
        <w:spacing w:after="0" w:line="271" w:lineRule="auto"/>
        <w:rPr>
          <w:sz w:val="20"/>
          <w:szCs w:val="20"/>
          <w:color w:val="auto"/>
        </w:rPr>
      </w:pPr>
      <w:r>
        <w:rPr>
          <w:rFonts w:ascii="Arial" w:cs="Arial" w:eastAsia="Arial" w:hAnsi="Arial"/>
          <w:sz w:val="16"/>
          <w:szCs w:val="16"/>
          <w:i w:val="1"/>
          <w:iCs w:val="1"/>
          <w:color w:val="auto"/>
        </w:rPr>
        <w:t>Right of Repurchase</w:t>
      </w:r>
      <w:r>
        <w:rPr>
          <w:rFonts w:ascii="Arial" w:cs="Arial" w:eastAsia="Arial" w:hAnsi="Arial"/>
          <w:sz w:val="16"/>
          <w:szCs w:val="16"/>
          <w:color w:val="auto"/>
        </w:rPr>
        <w:t>. If, after an optionee has exercised an option under the Restated 2012 Plan, an event defined as “cause” occurs while the optionee remains</w:t>
      </w:r>
      <w:r>
        <w:rPr>
          <w:rFonts w:ascii="Arial" w:cs="Arial" w:eastAsia="Arial" w:hAnsi="Arial"/>
          <w:sz w:val="16"/>
          <w:szCs w:val="16"/>
          <w:i w:val="1"/>
          <w:iCs w:val="1"/>
          <w:color w:val="auto"/>
        </w:rPr>
        <w:t xml:space="preserve"> </w:t>
      </w:r>
      <w:r>
        <w:rPr>
          <w:rFonts w:ascii="Arial" w:cs="Arial" w:eastAsia="Arial" w:hAnsi="Arial"/>
          <w:sz w:val="16"/>
          <w:szCs w:val="16"/>
          <w:color w:val="auto"/>
        </w:rPr>
        <w:t>employed or engaged by the Company or the optionee violates the terms of any confidentiality, non-competition or other agreement with the Company, then the Company shall have the right to repurchase all of the shares held by the optionee in exchange for payment of the exercise price, forfeit all such shares, redeem all such shares at par value (or for less than that amount if allowed by applicable law), convert such shares into deferred shares entitling their holder only to their par value upon liquidation, or take any other action which may be required in order to achieve similar results.</w:t>
      </w:r>
    </w:p>
    <w:p>
      <w:pPr>
        <w:spacing w:after="0" w:line="166" w:lineRule="exact"/>
        <w:rPr>
          <w:sz w:val="20"/>
          <w:szCs w:val="20"/>
          <w:color w:val="auto"/>
        </w:rPr>
      </w:pPr>
    </w:p>
    <w:p>
      <w:pPr>
        <w:ind w:right="20" w:firstLine="410"/>
        <w:spacing w:after="0" w:line="288" w:lineRule="auto"/>
        <w:rPr>
          <w:sz w:val="20"/>
          <w:szCs w:val="20"/>
          <w:color w:val="auto"/>
        </w:rPr>
      </w:pPr>
      <w:r>
        <w:rPr>
          <w:rFonts w:ascii="Arial" w:cs="Arial" w:eastAsia="Arial" w:hAnsi="Arial"/>
          <w:sz w:val="15"/>
          <w:szCs w:val="15"/>
          <w:i w:val="1"/>
          <w:iCs w:val="1"/>
          <w:color w:val="auto"/>
        </w:rPr>
        <w:t>Adjustments</w:t>
      </w:r>
      <w:r>
        <w:rPr>
          <w:rFonts w:ascii="Arial" w:cs="Arial" w:eastAsia="Arial" w:hAnsi="Arial"/>
          <w:sz w:val="15"/>
          <w:szCs w:val="15"/>
          <w:color w:val="auto"/>
        </w:rPr>
        <w:t>. In the event of a share split, reverse share split, share dividend, recapitalization, combination or reclassification of our shares, or any other increase</w:t>
      </w:r>
      <w:r>
        <w:rPr>
          <w:rFonts w:ascii="Arial" w:cs="Arial" w:eastAsia="Arial" w:hAnsi="Arial"/>
          <w:sz w:val="15"/>
          <w:szCs w:val="15"/>
          <w:i w:val="1"/>
          <w:iCs w:val="1"/>
          <w:color w:val="auto"/>
        </w:rPr>
        <w:t xml:space="preserve"> </w:t>
      </w:r>
      <w:r>
        <w:rPr>
          <w:rFonts w:ascii="Arial" w:cs="Arial" w:eastAsia="Arial" w:hAnsi="Arial"/>
          <w:sz w:val="15"/>
          <w:szCs w:val="15"/>
          <w:color w:val="auto"/>
        </w:rPr>
        <w:t>or decrease in the number of issued shares effected without receipt of consideration by the company (but not including the conversion of any convertible securities of the company), the administrator shall make an appropriate adjustment in the number of shares related to each outstanding option and to the number of shares reserved for issuance under the Restated 2012 Plan, to the class and kind of shares subject to the Restated 2012 Plan, as well as the exercise price per share of each outstanding option, provided however, that any fractional shares resulting from such adjustment shall be rounded down to the nearest whole share unless otherwise determined by the administrator. Except as expressly provided herein, no issuance by the company of shares of any class, or securities convertible into shares of any class, shall affect, and no adjustment by reason thereof shall be made with respect to, the number or price of shares subject to an option.</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2" w:name="page103"/>
    <w:bookmarkEnd w:id="102"/>
    <w:p>
      <w:pPr>
        <w:ind w:right="100" w:firstLine="410"/>
        <w:spacing w:after="0" w:line="282" w:lineRule="auto"/>
        <w:rPr>
          <w:sz w:val="20"/>
          <w:szCs w:val="20"/>
          <w:color w:val="auto"/>
        </w:rPr>
      </w:pPr>
      <w:r>
        <w:rPr>
          <w:rFonts w:ascii="Arial" w:cs="Arial" w:eastAsia="Arial" w:hAnsi="Arial"/>
          <w:sz w:val="15"/>
          <w:szCs w:val="15"/>
          <w:i w:val="1"/>
          <w:iCs w:val="1"/>
          <w:color w:val="auto"/>
        </w:rPr>
        <w:t>Merger or Acquisition</w:t>
      </w:r>
      <w:r>
        <w:rPr>
          <w:rFonts w:ascii="Arial" w:cs="Arial" w:eastAsia="Arial" w:hAnsi="Arial"/>
          <w:sz w:val="15"/>
          <w:szCs w:val="15"/>
          <w:color w:val="auto"/>
        </w:rPr>
        <w:t>. In the event of a sale of all or substantially all of the assets or shares of the company, or a merger or other reorganization of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with or into another corporation or a scheme of arrangement for the purpose of effecting such sale or merger, the administrator shall have discretion to (i) cause any outstanding option to be assumed or an equivalent award substituted by the successor company or one of its affiliates, or (ii) in the event such options are not assumed or substituted for, provide the optionee the right to exercise the award as to all or part of the shares, including discretion to accelerate vesting of unvested awards and provide for cancellation of unexercised options upon closing of the transaction, and/or provided for cancellation of each outstanding option in exchange for a cash payment for each vested share equal to the fair market value foregoing of the underlying shares, as reflected in the terms of the transaction, less the exercise price, or</w:t>
      </w:r>
    </w:p>
    <w:p>
      <w:pPr>
        <w:spacing w:after="0" w:line="1" w:lineRule="exact"/>
        <w:rPr>
          <w:sz w:val="20"/>
          <w:szCs w:val="20"/>
          <w:color w:val="auto"/>
        </w:rPr>
      </w:pPr>
    </w:p>
    <w:p>
      <w:pPr>
        <w:ind w:right="320"/>
        <w:spacing w:after="0" w:line="318" w:lineRule="auto"/>
        <w:tabs>
          <w:tab w:leader="none" w:pos="293" w:val="left"/>
        </w:tabs>
        <w:numPr>
          <w:ilvl w:val="0"/>
          <w:numId w:val="53"/>
        </w:numPr>
        <w:rPr>
          <w:rFonts w:ascii="Arial" w:cs="Arial" w:eastAsia="Arial" w:hAnsi="Arial"/>
          <w:sz w:val="15"/>
          <w:szCs w:val="15"/>
          <w:color w:val="auto"/>
        </w:rPr>
      </w:pPr>
      <w:r>
        <w:rPr>
          <w:rFonts w:ascii="Arial" w:cs="Arial" w:eastAsia="Arial" w:hAnsi="Arial"/>
          <w:sz w:val="15"/>
          <w:szCs w:val="15"/>
          <w:color w:val="auto"/>
        </w:rPr>
        <w:t>notwithstanding the foregoing, provide that upon completion of the transaction that the terms of any option will be otherwise amended, modified or terminated and/or that the option will confer the right to receive any other security or asset, including cash, as the administrator shall deem in good faith to be appropriate.</w:t>
      </w:r>
    </w:p>
    <w:p>
      <w:pPr>
        <w:spacing w:after="0" w:line="133" w:lineRule="exact"/>
        <w:rPr>
          <w:sz w:val="20"/>
          <w:szCs w:val="20"/>
          <w:color w:val="auto"/>
        </w:rPr>
      </w:pPr>
    </w:p>
    <w:p>
      <w:pPr>
        <w:ind w:right="160" w:firstLine="410"/>
        <w:spacing w:after="0" w:line="290" w:lineRule="auto"/>
        <w:rPr>
          <w:sz w:val="20"/>
          <w:szCs w:val="20"/>
          <w:color w:val="auto"/>
        </w:rPr>
      </w:pPr>
      <w:r>
        <w:rPr>
          <w:rFonts w:ascii="Arial" w:cs="Arial" w:eastAsia="Arial" w:hAnsi="Arial"/>
          <w:sz w:val="15"/>
          <w:szCs w:val="15"/>
          <w:i w:val="1"/>
          <w:iCs w:val="1"/>
          <w:color w:val="auto"/>
        </w:rPr>
        <w:t>U.S. Appendix</w:t>
      </w:r>
      <w:r>
        <w:rPr>
          <w:rFonts w:ascii="Arial" w:cs="Arial" w:eastAsia="Arial" w:hAnsi="Arial"/>
          <w:sz w:val="15"/>
          <w:szCs w:val="15"/>
          <w:color w:val="auto"/>
        </w:rPr>
        <w:t>. Our United States Appendix to the Restated 2012 Plan (the “U.S. Appendix”) governs option awards granted to our United States employees or</w:t>
      </w:r>
      <w:r>
        <w:rPr>
          <w:rFonts w:ascii="Arial" w:cs="Arial" w:eastAsia="Arial" w:hAnsi="Arial"/>
          <w:sz w:val="15"/>
          <w:szCs w:val="15"/>
          <w:i w:val="1"/>
          <w:iCs w:val="1"/>
          <w:color w:val="auto"/>
        </w:rPr>
        <w:t xml:space="preserve"> </w:t>
      </w:r>
      <w:r>
        <w:rPr>
          <w:rFonts w:ascii="Arial" w:cs="Arial" w:eastAsia="Arial" w:hAnsi="Arial"/>
          <w:sz w:val="15"/>
          <w:szCs w:val="15"/>
          <w:color w:val="auto"/>
        </w:rPr>
        <w:t>service providers, including those who are deemed to be residents of the United States for tax purposes. The U.S. Appendix will share in the option pool discussed above. Each option will be evidenced by a notice of grant, which will contain the terms and conditions upon which such option will be issued and exercised. Each option which is intended to be an incentive stock option will be granted in compliance with the requirements of Section 422 of the Code and applicable law. Only our United States employees are eligible to be granted incentive stock options. With respect to any option granted to a United States optionee, in the event of a conflict between the terms of the U.S. Appendix and the Restated 2012 Plan, the terms of the U.S. Appendix will prevail.</w:t>
      </w:r>
    </w:p>
    <w:p>
      <w:pPr>
        <w:spacing w:after="0" w:line="155"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2021 Share Incentive Plan</w:t>
      </w:r>
    </w:p>
    <w:p>
      <w:pPr>
        <w:spacing w:after="0" w:line="206" w:lineRule="exact"/>
        <w:rPr>
          <w:sz w:val="20"/>
          <w:szCs w:val="20"/>
          <w:color w:val="auto"/>
        </w:rPr>
      </w:pPr>
    </w:p>
    <w:p>
      <w:pPr>
        <w:jc w:val="both"/>
        <w:ind w:right="400" w:firstLine="410"/>
        <w:spacing w:after="0" w:line="257" w:lineRule="auto"/>
        <w:rPr>
          <w:sz w:val="20"/>
          <w:szCs w:val="20"/>
          <w:color w:val="auto"/>
        </w:rPr>
      </w:pPr>
      <w:r>
        <w:rPr>
          <w:rFonts w:ascii="Arial" w:cs="Arial" w:eastAsia="Arial" w:hAnsi="Arial"/>
          <w:sz w:val="17"/>
          <w:szCs w:val="17"/>
          <w:color w:val="auto"/>
        </w:rPr>
        <w:t>We adopted the 2021 Plan immediately prior to the IPO. The 2021 Plan provides for the grant of equity-based incentive awards to our employees, directors, office holders, service providers and consultants in order to incentivize them to increase their efforts on behalf of the Company and to promote the success of the Company’s business.</w:t>
      </w:r>
    </w:p>
    <w:p>
      <w:pPr>
        <w:spacing w:after="0" w:line="175" w:lineRule="exact"/>
        <w:rPr>
          <w:sz w:val="20"/>
          <w:szCs w:val="20"/>
          <w:color w:val="auto"/>
        </w:rPr>
      </w:pPr>
    </w:p>
    <w:p>
      <w:pPr>
        <w:ind w:firstLine="410"/>
        <w:spacing w:after="0" w:line="266" w:lineRule="auto"/>
        <w:rPr>
          <w:sz w:val="20"/>
          <w:szCs w:val="20"/>
          <w:color w:val="auto"/>
        </w:rPr>
      </w:pPr>
      <w:r>
        <w:rPr>
          <w:rFonts w:ascii="Arial" w:cs="Arial" w:eastAsia="Arial" w:hAnsi="Arial"/>
          <w:sz w:val="16"/>
          <w:szCs w:val="16"/>
          <w:i w:val="1"/>
          <w:iCs w:val="1"/>
          <w:color w:val="auto"/>
        </w:rPr>
        <w:t xml:space="preserve">Shares Available for Grants. </w:t>
      </w:r>
      <w:r>
        <w:rPr>
          <w:rFonts w:ascii="Arial" w:cs="Arial" w:eastAsia="Arial" w:hAnsi="Arial"/>
          <w:sz w:val="16"/>
          <w:szCs w:val="16"/>
          <w:color w:val="auto"/>
        </w:rPr>
        <w:t>The maximum number ordinary shares available for issuance under the 2021 Plan is equal to the sum of (i) 9,954,480 shares, (ii)</w:t>
      </w:r>
      <w:r>
        <w:rPr>
          <w:rFonts w:ascii="Arial" w:cs="Arial" w:eastAsia="Arial" w:hAnsi="Arial"/>
          <w:sz w:val="16"/>
          <w:szCs w:val="16"/>
          <w:i w:val="1"/>
          <w:iCs w:val="1"/>
          <w:color w:val="auto"/>
        </w:rPr>
        <w:t xml:space="preserve"> </w:t>
      </w:r>
      <w:r>
        <w:rPr>
          <w:rFonts w:ascii="Arial" w:cs="Arial" w:eastAsia="Arial" w:hAnsi="Arial"/>
          <w:sz w:val="16"/>
          <w:szCs w:val="16"/>
          <w:color w:val="auto"/>
        </w:rPr>
        <w:t>any shares subject to awards under the Restated 2012 Plan which have expired, or were cancelled, terminated, forfeited or settled in cash in lieu of issuance of shares or became unexercisable without having been exercised and (iii) an annual increase on the first day of each year beginning in 2022 and on January 1st of each calendar year thereafter and ending on January 1, 2031, equal to the lesser of (A) 5% of the outstanding ordinary shares of the Company on the last day of the immediately preceding calendar year; and (B) such amount as determined by our board of directors if so determined prior to January 1 of a calendar year, provided that no more than 99,544,800 ordinary shares may be issued upon the exercise of Incentive Stock Options. If permitted by our board of directors, shares tendered to pay the exercise price or withholding tax obligations with respect to an award granted under the 2021 Plan or the Restated 2012 Plan may again be available for issuance under the 2021 Plan, unless determined otherwise by the Board. Our board of directors may also reduce the number of ordinary shares reserved and available for issuance under the 2021 Plan in its discretion.</w:t>
      </w:r>
    </w:p>
    <w:p>
      <w:pPr>
        <w:spacing w:after="0" w:line="173" w:lineRule="exact"/>
        <w:rPr>
          <w:sz w:val="20"/>
          <w:szCs w:val="20"/>
          <w:color w:val="auto"/>
        </w:rPr>
      </w:pPr>
    </w:p>
    <w:p>
      <w:pPr>
        <w:ind w:firstLine="410"/>
        <w:spacing w:after="0" w:line="250"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board of directors, or a duly authorized committee of our board of directors, or the administrator, will administer the 2021 Plan.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2021 Plan, the administrator has the authority, subject to applicable law, to interpret the terms of the 2021 Plan and any award agreements or awards granted thereunder, designate recipients of awards, determine and amend the terms of awards, including the exercise price of an option award, the fair market value of an ordinary share, the time and vesting schedule applicable to an award or the method of payment for an award, accelerate or amend the vesting schedule applicable to an award, prescribe the forms of agreement for use under the 2021 Plan and take all other actions and make all other determinations necessary for the administration of the 2021 Plan.</w:t>
      </w:r>
    </w:p>
    <w:p>
      <w:pPr>
        <w:spacing w:after="0" w:line="184" w:lineRule="exact"/>
        <w:rPr>
          <w:sz w:val="20"/>
          <w:szCs w:val="20"/>
          <w:color w:val="auto"/>
        </w:rPr>
      </w:pPr>
    </w:p>
    <w:p>
      <w:pPr>
        <w:ind w:right="60" w:firstLine="410"/>
        <w:spacing w:after="0" w:line="307" w:lineRule="auto"/>
        <w:rPr>
          <w:sz w:val="20"/>
          <w:szCs w:val="20"/>
          <w:color w:val="auto"/>
        </w:rPr>
      </w:pPr>
      <w:r>
        <w:rPr>
          <w:rFonts w:ascii="Arial" w:cs="Arial" w:eastAsia="Arial" w:hAnsi="Arial"/>
          <w:sz w:val="15"/>
          <w:szCs w:val="15"/>
          <w:color w:val="auto"/>
        </w:rPr>
        <w:t>The administrator also has the authority to approve the conversion, substitution, cancellation or suspension under and in accordance with the 2021 Plan of any or all option awards or ordinary shares, and the authority to modify option awards to eligible individuals who are foreign nationals or are individuals who are employed outside Israel to recognize differences in local law, tax policy or custom, in order to effectuate the purposes of the 2021 Plan but without amending the 2021 Plan.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3" w:name="page104"/>
    <w:bookmarkEnd w:id="103"/>
    <w:p>
      <w:pPr>
        <w:ind w:right="240" w:firstLine="410"/>
        <w:spacing w:after="0" w:line="268" w:lineRule="auto"/>
        <w:rPr>
          <w:sz w:val="20"/>
          <w:szCs w:val="20"/>
          <w:color w:val="auto"/>
        </w:rPr>
      </w:pPr>
      <w:r>
        <w:rPr>
          <w:rFonts w:ascii="Arial" w:cs="Arial" w:eastAsia="Arial" w:hAnsi="Arial"/>
          <w:sz w:val="17"/>
          <w:szCs w:val="17"/>
          <w:color w:val="auto"/>
        </w:rPr>
        <w:t>The administrator also has the authority to amend and rescind rules and regulations relating to the 2021 Plan or terminate the 2021 Plan at any time before the date of expiration of its ten year term.</w:t>
      </w:r>
    </w:p>
    <w:p>
      <w:pPr>
        <w:spacing w:after="0" w:line="166" w:lineRule="exact"/>
        <w:rPr>
          <w:sz w:val="20"/>
          <w:szCs w:val="20"/>
          <w:color w:val="auto"/>
        </w:rPr>
      </w:pPr>
    </w:p>
    <w:p>
      <w:pPr>
        <w:ind w:right="500" w:firstLine="410"/>
        <w:spacing w:after="0" w:line="257"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The 2021 Plan provides for granting awards under various tax regimes, including, without limitation, in compliance with Section 102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Ordinance, and Section 3(i) of the Ordinance and for awards granted to our United States employees or service providers, including those who are deemed to be residents of the United States for tax purposes, Section 422 of the Code and Section 409A of the Code.</w:t>
      </w:r>
    </w:p>
    <w:p>
      <w:pPr>
        <w:spacing w:after="0" w:line="175" w:lineRule="exact"/>
        <w:rPr>
          <w:sz w:val="20"/>
          <w:szCs w:val="20"/>
          <w:color w:val="auto"/>
        </w:rPr>
      </w:pPr>
    </w:p>
    <w:p>
      <w:pPr>
        <w:jc w:val="both"/>
        <w:ind w:firstLine="410"/>
        <w:spacing w:after="0" w:line="298" w:lineRule="auto"/>
        <w:rPr>
          <w:sz w:val="20"/>
          <w:szCs w:val="20"/>
          <w:color w:val="auto"/>
        </w:rPr>
      </w:pPr>
      <w:r>
        <w:rPr>
          <w:rFonts w:ascii="Arial" w:cs="Arial" w:eastAsia="Arial" w:hAnsi="Arial"/>
          <w:sz w:val="15"/>
          <w:szCs w:val="15"/>
          <w:i w:val="1"/>
          <w:iCs w:val="1"/>
          <w:color w:val="auto"/>
        </w:rPr>
        <w:t xml:space="preserve">Grants. </w:t>
      </w:r>
      <w:r>
        <w:rPr>
          <w:rFonts w:ascii="Arial" w:cs="Arial" w:eastAsia="Arial" w:hAnsi="Arial"/>
          <w:sz w:val="15"/>
          <w:szCs w:val="15"/>
          <w:color w:val="auto"/>
        </w:rPr>
        <w:t>All awards granted pursuant to the 2021 Plan will be evidenced by an award agreement, in a form approved, from time to time, by the administrator in its</w:t>
      </w:r>
      <w:r>
        <w:rPr>
          <w:rFonts w:ascii="Arial" w:cs="Arial" w:eastAsia="Arial" w:hAnsi="Arial"/>
          <w:sz w:val="15"/>
          <w:szCs w:val="15"/>
          <w:i w:val="1"/>
          <w:iCs w:val="1"/>
          <w:color w:val="auto"/>
        </w:rPr>
        <w:t xml:space="preserve"> </w:t>
      </w:r>
      <w:r>
        <w:rPr>
          <w:rFonts w:ascii="Arial" w:cs="Arial" w:eastAsia="Arial" w:hAnsi="Arial"/>
          <w:sz w:val="15"/>
          <w:szCs w:val="15"/>
          <w:color w:val="auto"/>
        </w:rPr>
        <w:t>sole discretion. The award agreement will set forth the terms and conditions of the award, including the type of award, number of shares subject to such award, vesting schedule and conditions (including performance goals or measures) and the exercise price, if applicable. Certain awards under the 2021 Plan may constitute or provide for a deferral of compensation, subject to Section 409A of the Code, which may impose additional requirements on the terms and conditions of such awards.</w:t>
      </w:r>
    </w:p>
    <w:p>
      <w:pPr>
        <w:spacing w:after="0" w:line="148" w:lineRule="exact"/>
        <w:rPr>
          <w:sz w:val="20"/>
          <w:szCs w:val="20"/>
          <w:color w:val="auto"/>
        </w:rPr>
      </w:pPr>
    </w:p>
    <w:p>
      <w:pPr>
        <w:ind w:right="180" w:firstLine="410"/>
        <w:spacing w:after="0" w:line="251" w:lineRule="auto"/>
        <w:rPr>
          <w:sz w:val="20"/>
          <w:szCs w:val="20"/>
          <w:color w:val="auto"/>
        </w:rPr>
      </w:pPr>
      <w:r>
        <w:rPr>
          <w:rFonts w:ascii="Arial" w:cs="Arial" w:eastAsia="Arial" w:hAnsi="Arial"/>
          <w:sz w:val="17"/>
          <w:szCs w:val="17"/>
          <w:color w:val="auto"/>
        </w:rPr>
        <w:t>Unless otherwise determined by the administrator and stated in the award agreement, and subject to the conditions of the 2021 Plan, awards vest and become exercisable under the following schedule: 25% of the shares covered by the award on the first anniversary of the vesting commencement date determined by the administrator (and in the absence of such determination, the date on which such award was granted) and 6.25% of the shares covered by the award at the end of each subsequent three-month period thereafter over the course of the following three years; provided that the grantee remains continuously as an employee or provides services to the company throughout such vesting dates.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Each award will expire ten years from the date of the grant thereof, unless such shorter term of expiration is otherwise designated by the administrator.</w:t>
      </w:r>
    </w:p>
    <w:p>
      <w:pPr>
        <w:spacing w:after="0" w:line="218" w:lineRule="exact"/>
        <w:rPr>
          <w:sz w:val="20"/>
          <w:szCs w:val="20"/>
          <w:color w:val="auto"/>
        </w:rPr>
      </w:pPr>
    </w:p>
    <w:p>
      <w:pPr>
        <w:ind w:right="380" w:firstLine="410"/>
        <w:spacing w:after="0" w:line="268" w:lineRule="auto"/>
        <w:rPr>
          <w:sz w:val="20"/>
          <w:szCs w:val="20"/>
          <w:color w:val="auto"/>
        </w:rPr>
      </w:pPr>
      <w:r>
        <w:rPr>
          <w:rFonts w:ascii="Arial" w:cs="Arial" w:eastAsia="Arial" w:hAnsi="Arial"/>
          <w:sz w:val="17"/>
          <w:szCs w:val="17"/>
          <w:i w:val="1"/>
          <w:iCs w:val="1"/>
          <w:color w:val="auto"/>
        </w:rPr>
        <w:t xml:space="preserve">Awards. </w:t>
      </w:r>
      <w:r>
        <w:rPr>
          <w:rFonts w:ascii="Arial" w:cs="Arial" w:eastAsia="Arial" w:hAnsi="Arial"/>
          <w:sz w:val="17"/>
          <w:szCs w:val="17"/>
          <w:color w:val="auto"/>
        </w:rPr>
        <w:t>The 2021 Plan provides for the grant of stock options (including incentive stock options and nonqualified stock options), ordinary shares,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RSUs, stock appreciation rights and other share-based awards.</w:t>
      </w:r>
    </w:p>
    <w:p>
      <w:pPr>
        <w:spacing w:after="0" w:line="166" w:lineRule="exact"/>
        <w:rPr>
          <w:sz w:val="20"/>
          <w:szCs w:val="20"/>
          <w:color w:val="auto"/>
        </w:rPr>
      </w:pPr>
    </w:p>
    <w:p>
      <w:pPr>
        <w:ind w:right="20" w:firstLine="410"/>
        <w:spacing w:after="0" w:line="251" w:lineRule="auto"/>
        <w:rPr>
          <w:sz w:val="20"/>
          <w:szCs w:val="20"/>
          <w:color w:val="auto"/>
        </w:rPr>
      </w:pPr>
      <w:r>
        <w:rPr>
          <w:rFonts w:ascii="Arial" w:cs="Arial" w:eastAsia="Arial" w:hAnsi="Arial"/>
          <w:sz w:val="17"/>
          <w:szCs w:val="17"/>
          <w:color w:val="auto"/>
        </w:rPr>
        <w:t>Options granted under the 2021 Plan to the Company employees who are U.S. residents may qualify as “incentive stock options” within the meaning of Section 422 of the Code, or may be non-qualified stock options. The exercise price of an option may not be less than the par value of the shares (if the shares bear a par value) for which such option is exercisable. The exercise price of an Incentive Stock Option may not be less than 100% of the fair market value of the underlying share on the date of grant or such other amount as may be required pursuant to the Code, and in the case of Incentive Stock Options granted to ten percent stockholders, not less than 110%.</w:t>
      </w:r>
    </w:p>
    <w:p>
      <w:pPr>
        <w:spacing w:after="0" w:line="183" w:lineRule="exact"/>
        <w:rPr>
          <w:sz w:val="20"/>
          <w:szCs w:val="20"/>
          <w:color w:val="auto"/>
        </w:rPr>
      </w:pPr>
    </w:p>
    <w:p>
      <w:pPr>
        <w:ind w:firstLine="410"/>
        <w:spacing w:after="0" w:line="271" w:lineRule="auto"/>
        <w:rPr>
          <w:sz w:val="20"/>
          <w:szCs w:val="20"/>
          <w:color w:val="auto"/>
        </w:rPr>
      </w:pPr>
      <w:r>
        <w:rPr>
          <w:rFonts w:ascii="Arial" w:cs="Arial" w:eastAsia="Arial" w:hAnsi="Arial"/>
          <w:sz w:val="16"/>
          <w:szCs w:val="16"/>
          <w:i w:val="1"/>
          <w:iCs w:val="1"/>
          <w:color w:val="auto"/>
        </w:rPr>
        <w:t xml:space="preserve">Exercise. </w:t>
      </w:r>
      <w:r>
        <w:rPr>
          <w:rFonts w:ascii="Arial" w:cs="Arial" w:eastAsia="Arial" w:hAnsi="Arial"/>
          <w:sz w:val="16"/>
          <w:szCs w:val="16"/>
          <w:color w:val="auto"/>
        </w:rPr>
        <w:t>An award under the 2021 Plan may be exercised by providing the Company with a written or electronic notice of exercise and full payment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for such shares underlying the award, if applicable, in such form and method as may be determined by the administrator and permitted by applicable law. An award may not be exercised for a fraction of a share. With regard to tax withholding, exercise price and purchase price obligations arising in connection with awards under the 2021 Plan, the administrator may, in its discretion, accept cash, provide for net withholding of shares in a cashless exercise mechanism or direct a securities broker to sell shares and deliver all or a part of the proceeds to the Company or the trustee.</w:t>
      </w:r>
    </w:p>
    <w:p>
      <w:pPr>
        <w:spacing w:after="0" w:line="166" w:lineRule="exact"/>
        <w:rPr>
          <w:sz w:val="20"/>
          <w:szCs w:val="20"/>
          <w:color w:val="auto"/>
        </w:rPr>
      </w:pPr>
    </w:p>
    <w:p>
      <w:pPr>
        <w:ind w:right="580" w:firstLine="410"/>
        <w:spacing w:after="0" w:line="268"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Other than by will, the laws of descent and distribution or as otherwise provided under the 2021 Plan, neither the options nor any right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such options are assignable or transferable.</w:t>
      </w:r>
    </w:p>
    <w:p>
      <w:pPr>
        <w:spacing w:after="0" w:line="166" w:lineRule="exact"/>
        <w:rPr>
          <w:sz w:val="20"/>
          <w:szCs w:val="20"/>
          <w:color w:val="auto"/>
        </w:rPr>
      </w:pPr>
    </w:p>
    <w:p>
      <w:pPr>
        <w:ind w:right="20" w:firstLine="410"/>
        <w:spacing w:after="0" w:line="274" w:lineRule="auto"/>
        <w:rPr>
          <w:sz w:val="20"/>
          <w:szCs w:val="20"/>
          <w:color w:val="auto"/>
        </w:rPr>
      </w:pPr>
      <w:r>
        <w:rPr>
          <w:rFonts w:ascii="Arial" w:cs="Arial" w:eastAsia="Arial" w:hAnsi="Arial"/>
          <w:sz w:val="16"/>
          <w:szCs w:val="16"/>
          <w:i w:val="1"/>
          <w:iCs w:val="1"/>
          <w:color w:val="auto"/>
        </w:rPr>
        <w:t xml:space="preserve">Termination of Employment. </w:t>
      </w:r>
      <w:r>
        <w:rPr>
          <w:rFonts w:ascii="Arial" w:cs="Arial" w:eastAsia="Arial" w:hAnsi="Arial"/>
          <w:sz w:val="16"/>
          <w:szCs w:val="16"/>
          <w:color w:val="auto"/>
        </w:rPr>
        <w:t>In the event of termination of a grantee’s employment or service with the Company or any of its affiliates, all vested and exercisable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held by such grantee as of the date of termination may be exercised within three months after such date of termination, unless otherwise determined by the administrator, but in no event later than the date of expiration of the award as set forth in the award agreement. After such three-month period, all such unexercised awards will terminate and the shares covered by such awards shall again be available for issuance under the 2021 Plan.</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4" w:name="page105"/>
    <w:bookmarkEnd w:id="104"/>
    <w:p>
      <w:pPr>
        <w:ind w:right="60" w:firstLine="410"/>
        <w:spacing w:after="0" w:line="268" w:lineRule="auto"/>
        <w:rPr>
          <w:sz w:val="20"/>
          <w:szCs w:val="20"/>
          <w:color w:val="auto"/>
        </w:rPr>
      </w:pPr>
      <w:r>
        <w:rPr>
          <w:rFonts w:ascii="Arial" w:cs="Arial" w:eastAsia="Arial" w:hAnsi="Arial"/>
          <w:sz w:val="16"/>
          <w:szCs w:val="16"/>
          <w:color w:val="auto"/>
        </w:rPr>
        <w:t>In the event of termination of a grantee’s employment or service with the Company or any of its affiliates due to such grantee’s death or permanent disability, or in the event of the grantee’s death within the three month period (or such longer period as determined by the administrator) following his or her termination of service, all vested and exercisable awards held by such grantee as of the date of termination may be exercised by the grantee or the grantee’s legal guardian, estate or by a person who acquired the right to exercise the award by bequest or inheritance, as applicable, within one year after such date of termination, unless otherwise provided by the administrator, but in no event later than the date of expiration of the award as set forth in the award agreement. Any awards which are unvested as of the date of such termination or which are vested but not then exercised within the one year period following such date, will terminate and the shares covered by such awards shall again be available for issuance under the 2021 Plan.</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Notwithstanding any of the foregoing, if a grantee’s employment or services with the Company or any of its affiliates is terminated for “cause” (as defined in the</w:t>
      </w:r>
    </w:p>
    <w:p>
      <w:pPr>
        <w:spacing w:after="0" w:line="41" w:lineRule="exact"/>
        <w:rPr>
          <w:sz w:val="20"/>
          <w:szCs w:val="20"/>
          <w:color w:val="auto"/>
        </w:rPr>
      </w:pPr>
    </w:p>
    <w:p>
      <w:pPr>
        <w:ind w:right="280"/>
        <w:spacing w:after="0" w:line="253" w:lineRule="auto"/>
        <w:rPr>
          <w:sz w:val="20"/>
          <w:szCs w:val="20"/>
          <w:color w:val="auto"/>
        </w:rPr>
      </w:pPr>
      <w:r>
        <w:rPr>
          <w:rFonts w:ascii="Arial" w:cs="Arial" w:eastAsia="Arial" w:hAnsi="Arial"/>
          <w:sz w:val="17"/>
          <w:szCs w:val="17"/>
          <w:color w:val="auto"/>
        </w:rPr>
        <w:t>2021 Plan), all outstanding awards held by such grantee (whether vested or unvested) will terminate on the date of such termination and the shares covered by such awards shall again be available for issuance under the 2021 Plan.</w:t>
      </w:r>
    </w:p>
    <w:p>
      <w:pPr>
        <w:spacing w:after="0" w:line="178" w:lineRule="exact"/>
        <w:rPr>
          <w:sz w:val="20"/>
          <w:szCs w:val="20"/>
          <w:color w:val="auto"/>
        </w:rPr>
      </w:pPr>
    </w:p>
    <w:p>
      <w:pPr>
        <w:ind w:right="140" w:firstLine="410"/>
        <w:spacing w:after="0" w:line="253"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Except with respect to restricted share awards, grantees will not have the rights as a shareholder of the Company with respect to any shares</w:t>
      </w:r>
      <w:r>
        <w:rPr>
          <w:rFonts w:ascii="Arial" w:cs="Arial" w:eastAsia="Arial" w:hAnsi="Arial"/>
          <w:sz w:val="17"/>
          <w:szCs w:val="17"/>
          <w:i w:val="1"/>
          <w:iCs w:val="1"/>
          <w:color w:val="auto"/>
        </w:rPr>
        <w:t xml:space="preserve"> </w:t>
      </w:r>
      <w:r>
        <w:rPr>
          <w:rFonts w:ascii="Arial" w:cs="Arial" w:eastAsia="Arial" w:hAnsi="Arial"/>
          <w:sz w:val="17"/>
          <w:szCs w:val="17"/>
          <w:color w:val="auto"/>
        </w:rPr>
        <w:t>covered by an award until the award has vested and/or the grantee has exercised such award, paid any exercise price for such award and becomes the record holder of the shares. With respect to restricted share awards, grantees will possess all incidents of ownership of the restricted shares, including the right to vote and receive dividends on such shares.</w:t>
      </w:r>
    </w:p>
    <w:p>
      <w:pPr>
        <w:spacing w:after="0" w:line="180" w:lineRule="exact"/>
        <w:rPr>
          <w:sz w:val="20"/>
          <w:szCs w:val="20"/>
          <w:color w:val="auto"/>
        </w:rPr>
      </w:pPr>
    </w:p>
    <w:p>
      <w:pPr>
        <w:ind w:right="300" w:firstLine="410"/>
        <w:spacing w:after="0" w:line="280"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Grantees holding restricted share awards will be entitled to receive dividends and other distributions with respect to the shares underlying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share award. Any stock split, stock dividend, combination of shares or similar transaction will be subject to the restrictions of the original restricted share award. Grantees holding RSUs will not be eligible to receive dividend but may be eligible to receive dividend equivalents.</w:t>
      </w:r>
    </w:p>
    <w:p>
      <w:pPr>
        <w:spacing w:after="0" w:line="159" w:lineRule="exact"/>
        <w:rPr>
          <w:sz w:val="20"/>
          <w:szCs w:val="20"/>
          <w:color w:val="auto"/>
        </w:rPr>
      </w:pPr>
    </w:p>
    <w:p>
      <w:pPr>
        <w:ind w:right="60" w:firstLine="410"/>
        <w:spacing w:after="0" w:line="305" w:lineRule="auto"/>
        <w:rPr>
          <w:sz w:val="20"/>
          <w:szCs w:val="20"/>
          <w:color w:val="auto"/>
        </w:rPr>
      </w:pPr>
      <w:r>
        <w:rPr>
          <w:rFonts w:ascii="Arial" w:cs="Arial" w:eastAsia="Arial" w:hAnsi="Arial"/>
          <w:sz w:val="14"/>
          <w:szCs w:val="14"/>
          <w:i w:val="1"/>
          <w:iCs w:val="1"/>
          <w:color w:val="auto"/>
        </w:rPr>
        <w:t xml:space="preserve">Transactions. </w:t>
      </w:r>
      <w:r>
        <w:rPr>
          <w:rFonts w:ascii="Arial" w:cs="Arial" w:eastAsia="Arial" w:hAnsi="Arial"/>
          <w:sz w:val="14"/>
          <w:szCs w:val="14"/>
          <w:color w:val="auto"/>
        </w:rPr>
        <w:t>In the event of a share split, reverse share split, share dividend, recapitalization, combination or reclassification of the Company’s shares, the</w:t>
      </w:r>
      <w:r>
        <w:rPr>
          <w:rFonts w:ascii="Arial" w:cs="Arial" w:eastAsia="Arial" w:hAnsi="Arial"/>
          <w:sz w:val="14"/>
          <w:szCs w:val="14"/>
          <w:i w:val="1"/>
          <w:iCs w:val="1"/>
          <w:color w:val="auto"/>
        </w:rPr>
        <w:t xml:space="preserve"> </w:t>
      </w:r>
      <w:r>
        <w:rPr>
          <w:rFonts w:ascii="Arial" w:cs="Arial" w:eastAsia="Arial" w:hAnsi="Arial"/>
          <w:sz w:val="14"/>
          <w:szCs w:val="14"/>
          <w:color w:val="auto"/>
        </w:rPr>
        <w:t>administrator in its sole discretion may, and where required by applicable law shall, without the need for a consent of any holder, make an appropriate adjustment in order to adjust (i) the number and class of shares reserved and available for the outstanding awards, (ii) the number and class of shares covered by outstanding awards,</w:t>
      </w:r>
    </w:p>
    <w:p>
      <w:pPr>
        <w:spacing w:after="0" w:line="1" w:lineRule="exact"/>
        <w:rPr>
          <w:sz w:val="20"/>
          <w:szCs w:val="20"/>
          <w:color w:val="auto"/>
        </w:rPr>
      </w:pPr>
    </w:p>
    <w:p>
      <w:pPr>
        <w:ind w:right="40"/>
        <w:spacing w:after="0" w:line="265" w:lineRule="auto"/>
        <w:tabs>
          <w:tab w:leader="none" w:pos="293"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exercise price per share covered by any award, (iv) the terms and conditions concerning vesting and exercisability and the term and duration of the outstanding awards, (v) the type or class of security, asset or right underlying the award (which need not be only that of the Company, and may be that of the surviving corporation or any affiliate thereof or such other entity party to any of the above transactions), and (vi) any other terms of the award that in the opinion of the administrator should be adjusted; provided that any fractional shares resulting from such adjustment shall be rounded to the nearest whole share unless otherwise determined by the administrator. In the event of a distribution of a cash dividend to all shareholders, the administrator may determine, without the consent of any holder of an award, that the exercise price of an outstanding and unexercised award shall be reduced by an amount equal to the per share gross dividend amount distributed by the Company, subject to applicable law.</w:t>
      </w:r>
    </w:p>
    <w:p>
      <w:pPr>
        <w:spacing w:after="0" w:line="172" w:lineRule="exact"/>
        <w:rPr>
          <w:sz w:val="20"/>
          <w:szCs w:val="20"/>
          <w:color w:val="auto"/>
        </w:rPr>
      </w:pPr>
    </w:p>
    <w:p>
      <w:pPr>
        <w:ind w:firstLine="410"/>
        <w:spacing w:after="0" w:line="267" w:lineRule="auto"/>
        <w:rPr>
          <w:sz w:val="20"/>
          <w:szCs w:val="20"/>
          <w:color w:val="auto"/>
        </w:rPr>
      </w:pPr>
      <w:r>
        <w:rPr>
          <w:rFonts w:ascii="Arial" w:cs="Arial" w:eastAsia="Arial" w:hAnsi="Arial"/>
          <w:sz w:val="16"/>
          <w:szCs w:val="16"/>
          <w:color w:val="auto"/>
        </w:rPr>
        <w:t>In the event of a merger or consolidation of the Company or a sale of all, or substantially all, of the Company’s shares or assets or other transaction having a similar effect on the Company, or change in the composition of the board of directors, or liquidation or dissolution, or such other transaction or circumstances that our board of directors determines to be a relevant transaction, then without the consent of the grantee, (i) unless otherwise determined by the administrator, any outstanding award will be assumed or substituted by such successor corporation, or (ii) regardless of whether or not the successor corporation assumes or substitutes the award (a) provide the grantee with the option to exercise the award as to all or part of the shares, and may provide for an acceleration of vesting of unvested awards, (b) cancel the award and pay in cash, shares of the Company, the acquirer or other corporation which is a party to such transaction or other property as determined by the administrator as fair in the circumstances, or (c) provide that the terms of any award shall be otherwise amended, modified or terminated, as determined by the administrator to be fair in the circumstances.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5" w:name="page106"/>
    <w:bookmarkEnd w:id="105"/>
    <w:p>
      <w:pPr>
        <w:ind w:left="420"/>
        <w:spacing w:after="0"/>
        <w:rPr>
          <w:sz w:val="20"/>
          <w:szCs w:val="20"/>
          <w:color w:val="auto"/>
        </w:rPr>
      </w:pPr>
      <w:r>
        <w:rPr>
          <w:rFonts w:ascii="Arial" w:cs="Arial" w:eastAsia="Arial" w:hAnsi="Arial"/>
          <w:sz w:val="17"/>
          <w:szCs w:val="17"/>
          <w:i w:val="1"/>
          <w:iCs w:val="1"/>
          <w:color w:val="auto"/>
        </w:rPr>
        <w:t>2021 Employee Share Purchase Plan</w:t>
      </w:r>
    </w:p>
    <w:p>
      <w:pPr>
        <w:spacing w:after="0" w:line="206" w:lineRule="exact"/>
        <w:rPr>
          <w:sz w:val="20"/>
          <w:szCs w:val="20"/>
          <w:color w:val="auto"/>
        </w:rPr>
      </w:pPr>
    </w:p>
    <w:p>
      <w:pPr>
        <w:ind w:firstLine="410"/>
        <w:spacing w:after="0" w:line="274" w:lineRule="auto"/>
        <w:rPr>
          <w:sz w:val="20"/>
          <w:szCs w:val="20"/>
          <w:color w:val="auto"/>
        </w:rPr>
      </w:pPr>
      <w:r>
        <w:rPr>
          <w:rFonts w:ascii="Arial" w:cs="Arial" w:eastAsia="Arial" w:hAnsi="Arial"/>
          <w:sz w:val="16"/>
          <w:szCs w:val="16"/>
          <w:color w:val="auto"/>
        </w:rPr>
        <w:t>We adopted the ESPP immediately prior to the IPO. The ESPP is comprised of two distinct components: (1) the component intended to qualify for favorable U.S. federal tax treatment under Section 423 of the Code (the “Section 423 Component”) and (2) the component not intended to be tax qualified under Section 423 of the Code to facilitate participation for employees who are not eligible to benefit from favorable U.S. federal tax treatment and, to the extent applicable, to provide flexibility to comply with non U.S. law and other considerations (the “Non Section 423 Component”).</w:t>
      </w:r>
    </w:p>
    <w:p>
      <w:pPr>
        <w:spacing w:after="0" w:line="164" w:lineRule="exact"/>
        <w:rPr>
          <w:sz w:val="20"/>
          <w:szCs w:val="20"/>
          <w:color w:val="auto"/>
        </w:rPr>
      </w:pPr>
    </w:p>
    <w:p>
      <w:pPr>
        <w:jc w:val="both"/>
        <w:ind w:right="280" w:firstLine="410"/>
        <w:spacing w:after="0" w:line="257"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A total of 1,824,988 of our ordinary shares will be available for sale under the ESPP, subject to adjustment as provided for in the ESPP.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on the first day of each fiscal year beginning with our 2022 fiscal year and through our 2031 fiscal year, such pool of ordinary shares shall be increased by that number of our ordinary shares equal to the lesser of:</w:t>
      </w:r>
    </w:p>
    <w:p>
      <w:pPr>
        <w:spacing w:after="0" w:line="175" w:lineRule="exact"/>
        <w:rPr>
          <w:sz w:val="20"/>
          <w:szCs w:val="20"/>
          <w:color w:val="auto"/>
        </w:rPr>
      </w:pPr>
    </w:p>
    <w:p>
      <w:pPr>
        <w:ind w:left="740" w:hanging="325"/>
        <w:spacing w:after="0"/>
        <w:tabs>
          <w:tab w:leader="none" w:pos="7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1% of the outstanding ordinary shares as of the last day of the immediately preceding fiscal year, determined on a fully diluted basis; or</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such other amount as our board of directors may determine.</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no event will more than ordinary shares be available for issuance under the Section 423 Component.</w:t>
      </w:r>
    </w:p>
    <w:p>
      <w:pPr>
        <w:spacing w:after="0" w:line="206" w:lineRule="exact"/>
        <w:rPr>
          <w:sz w:val="20"/>
          <w:szCs w:val="20"/>
          <w:color w:val="auto"/>
        </w:rPr>
      </w:pPr>
    </w:p>
    <w:p>
      <w:pPr>
        <w:ind w:right="220" w:firstLine="410"/>
        <w:spacing w:after="0" w:line="250" w:lineRule="auto"/>
        <w:rPr>
          <w:sz w:val="20"/>
          <w:szCs w:val="20"/>
          <w:color w:val="auto"/>
        </w:rPr>
      </w:pPr>
      <w:r>
        <w:rPr>
          <w:rFonts w:ascii="Arial" w:cs="Arial" w:eastAsia="Arial" w:hAnsi="Arial"/>
          <w:sz w:val="17"/>
          <w:szCs w:val="17"/>
          <w:i w:val="1"/>
          <w:iCs w:val="1"/>
          <w:color w:val="auto"/>
        </w:rPr>
        <w:t xml:space="preserve">ESPP Administration. </w:t>
      </w:r>
      <w:r>
        <w:rPr>
          <w:rFonts w:ascii="Arial" w:cs="Arial" w:eastAsia="Arial" w:hAnsi="Arial"/>
          <w:sz w:val="17"/>
          <w:szCs w:val="17"/>
          <w:color w:val="auto"/>
        </w:rPr>
        <w:t>Unless otherwise determined by our board of directors, the compensation committee of our board of directors; or the administrator; will</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administer the ESPP and will have the authority to interpret the terms of the ESPP and determine eligibility under the ESPP, to impose a mandatory holding period under which employees may not dispose or transfer shares under the ESPP, prescribe, revoke and amend forms, rules and procedures relating to the ESPP, and otherwise exercise such powers and to perform such acts as the administrator deems necessary or expedient to promote the best interests of the Company and its subsidiaries and to carry out the intent that the ESPP be treated as an “employee stock purchase plan” within the meaning of Section 423 of the Code for the Section 423 Component.</w:t>
      </w:r>
    </w:p>
    <w:p>
      <w:pPr>
        <w:spacing w:after="0" w:line="184" w:lineRule="exact"/>
        <w:rPr>
          <w:sz w:val="20"/>
          <w:szCs w:val="20"/>
          <w:color w:val="auto"/>
        </w:rPr>
      </w:pPr>
    </w:p>
    <w:p>
      <w:pPr>
        <w:ind w:right="20" w:firstLine="410"/>
        <w:spacing w:after="0" w:line="284" w:lineRule="auto"/>
        <w:rPr>
          <w:sz w:val="20"/>
          <w:szCs w:val="20"/>
          <w:color w:val="auto"/>
        </w:rPr>
      </w:pPr>
      <w:r>
        <w:rPr>
          <w:rFonts w:ascii="Arial" w:cs="Arial" w:eastAsia="Arial" w:hAnsi="Arial"/>
          <w:sz w:val="15"/>
          <w:szCs w:val="15"/>
          <w:i w:val="1"/>
          <w:iCs w:val="1"/>
          <w:color w:val="auto"/>
        </w:rPr>
        <w:t xml:space="preserve">Eligibility. </w:t>
      </w:r>
      <w:r>
        <w:rPr>
          <w:rFonts w:ascii="Arial" w:cs="Arial" w:eastAsia="Arial" w:hAnsi="Arial"/>
          <w:sz w:val="15"/>
          <w:szCs w:val="15"/>
          <w:color w:val="auto"/>
        </w:rPr>
        <w:t>Participation in the Section 423 Component may be limited in the terms of any offering to employees of the Company and any of its designated</w:t>
      </w:r>
      <w:r>
        <w:rPr>
          <w:rFonts w:ascii="Arial" w:cs="Arial" w:eastAsia="Arial" w:hAnsi="Arial"/>
          <w:sz w:val="15"/>
          <w:szCs w:val="15"/>
          <w:i w:val="1"/>
          <w:iCs w:val="1"/>
          <w:color w:val="auto"/>
        </w:rPr>
        <w:t xml:space="preserve"> </w:t>
      </w:r>
      <w:r>
        <w:rPr>
          <w:rFonts w:ascii="Arial" w:cs="Arial" w:eastAsia="Arial" w:hAnsi="Arial"/>
          <w:sz w:val="15"/>
          <w:szCs w:val="15"/>
          <w:color w:val="auto"/>
        </w:rPr>
        <w:t>subsidiaries (a) who customarily work 20 hours or more per week, (b) whose customary employment is for more than five months per calendar year and (c) who satisfy the procedural enrollment and other requirements set forth in the ESPP. Under the Section 423 Component, designated subsidiaries include any subsidiary (within the meaning of Section 424(f) of the Code) of the Company that has been designated by our board of directors or the compensation committee as eligible to participate in the ESPP (and if an entity does not so qualify within the meaning of Section 424(f) of the Code, it shall automatically be deemed to be a designated subsidiary in the Non-Section 423 Component). In addition, with respect to the Non-Section 423 Component, designated subsidiaries may include any corporate or noncorporate entity in which the Company has a direct or indirect equity interest or significant business relationship. Under the Section 423 Component, no employee may be granted a purchase right if, immediately after the purchase right is granted, the employee would own (or, under applicable statutory attribution rules, would be deemed to own) shares possessing 5% or more of the total combined voting power or value of all classes of shares of the Company or any of its subsidiaries. In addition, in order to facilitate participation in the ESPP, the compensation committee may provide for such special terms applicable to participants who are citizens or residents of a non-U.S. jurisdiction, or who are employed by a designated subsidiary outside of the U.S., as the compensation committee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6" w:name="page107"/>
    <w:bookmarkEnd w:id="106"/>
    <w:p>
      <w:pPr>
        <w:ind w:firstLine="410"/>
        <w:spacing w:after="0" w:line="253" w:lineRule="auto"/>
        <w:rPr>
          <w:sz w:val="20"/>
          <w:szCs w:val="20"/>
          <w:color w:val="auto"/>
        </w:rPr>
      </w:pPr>
      <w:r>
        <w:rPr>
          <w:rFonts w:ascii="Arial" w:cs="Arial" w:eastAsia="Arial" w:hAnsi="Arial"/>
          <w:sz w:val="17"/>
          <w:szCs w:val="17"/>
          <w:i w:val="1"/>
          <w:iCs w:val="1"/>
          <w:color w:val="auto"/>
        </w:rPr>
        <w:t>Offering Periods</w:t>
      </w:r>
      <w:r>
        <w:rPr>
          <w:rFonts w:ascii="Arial" w:cs="Arial" w:eastAsia="Arial" w:hAnsi="Arial"/>
          <w:sz w:val="17"/>
          <w:szCs w:val="17"/>
          <w:color w:val="auto"/>
        </w:rPr>
        <w:t>. The ESPP provides for offering periods, not to exceed 27 months each, during which we will grant rights to purchase our ordinary shares to our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The timing of the offering periods will be determined by the administrator. The terms and conditions applicable to each offering period will be set forth in an offering document adopted by the administrator for the particular offering period. The provisions of offerings during separate offering periods under the ESPP need not be identical.</w:t>
      </w:r>
    </w:p>
    <w:p>
      <w:pPr>
        <w:spacing w:after="0" w:line="180" w:lineRule="exact"/>
        <w:rPr>
          <w:sz w:val="20"/>
          <w:szCs w:val="20"/>
          <w:color w:val="auto"/>
        </w:rPr>
      </w:pPr>
    </w:p>
    <w:p>
      <w:pPr>
        <w:ind w:right="180" w:firstLine="410"/>
        <w:spacing w:after="0" w:line="285" w:lineRule="auto"/>
        <w:rPr>
          <w:sz w:val="20"/>
          <w:szCs w:val="20"/>
          <w:color w:val="auto"/>
        </w:rPr>
      </w:pPr>
      <w:r>
        <w:rPr>
          <w:rFonts w:ascii="Arial" w:cs="Arial" w:eastAsia="Arial" w:hAnsi="Arial"/>
          <w:sz w:val="15"/>
          <w:szCs w:val="15"/>
          <w:i w:val="1"/>
          <w:iCs w:val="1"/>
          <w:color w:val="auto"/>
        </w:rPr>
        <w:t xml:space="preserve">Contributions. </w:t>
      </w:r>
      <w:r>
        <w:rPr>
          <w:rFonts w:ascii="Arial" w:cs="Arial" w:eastAsia="Arial" w:hAnsi="Arial"/>
          <w:sz w:val="15"/>
          <w:szCs w:val="15"/>
          <w:color w:val="auto"/>
        </w:rPr>
        <w:t>The ESPP will permit participants to purchase our ordinary shares through contributions (in the form of payroll deductions, or otherwise, to the</w:t>
      </w:r>
      <w:r>
        <w:rPr>
          <w:rFonts w:ascii="Arial" w:cs="Arial" w:eastAsia="Arial" w:hAnsi="Arial"/>
          <w:sz w:val="15"/>
          <w:szCs w:val="15"/>
          <w:i w:val="1"/>
          <w:iCs w:val="1"/>
          <w:color w:val="auto"/>
        </w:rPr>
        <w:t xml:space="preserve"> </w:t>
      </w:r>
      <w:r>
        <w:rPr>
          <w:rFonts w:ascii="Arial" w:cs="Arial" w:eastAsia="Arial" w:hAnsi="Arial"/>
          <w:sz w:val="15"/>
          <w:szCs w:val="15"/>
          <w:color w:val="auto"/>
        </w:rPr>
        <w:t>extent permitted by the administrator). The percentage of compensation designated by an eligible employee as payroll deductions for participation in an offering may not be less than 1% and may not be more than the maximum percentage specified by the administrator in the applicable offering document (which maximum percentage shall be 20% in the absence of any such specification). A participant may increase or decrease the percentage of compensation designated in his or her subscription agreement, or may suspend his or her payroll deductions, at any time during an offering period; provided, however, that the administrator may limit the number of changes a participant may make in the applicable offering document. In the absence of any specific designation by the administrator, a participant may decrease (but not increase) his or her payroll deduction elections one time during each offering period Exercise of Purchase Right. Amounts contributed and accumulated by the participant will be used to purchase our ordinary shares at the end of each offering period. Unless otherwise determined by the administrator, the purchase price of the shares will be 85% of the lower of the fair market value of our ordinary shares on (i) the first trading day of the offering period or (ii) the last trading day of the offering period (and may not be lower than such amount with respect to the Section 423 Component).</w:t>
      </w:r>
    </w:p>
    <w:p>
      <w:pPr>
        <w:spacing w:after="0" w:line="161" w:lineRule="exact"/>
        <w:rPr>
          <w:sz w:val="20"/>
          <w:szCs w:val="20"/>
          <w:color w:val="auto"/>
        </w:rPr>
      </w:pPr>
    </w:p>
    <w:p>
      <w:pPr>
        <w:ind w:right="60" w:firstLine="410"/>
        <w:spacing w:after="0" w:line="268" w:lineRule="auto"/>
        <w:rPr>
          <w:sz w:val="20"/>
          <w:szCs w:val="20"/>
          <w:color w:val="auto"/>
        </w:rPr>
      </w:pPr>
      <w:r>
        <w:rPr>
          <w:rFonts w:ascii="Arial" w:cs="Arial" w:eastAsia="Arial" w:hAnsi="Arial"/>
          <w:sz w:val="17"/>
          <w:szCs w:val="17"/>
          <w:color w:val="auto"/>
        </w:rPr>
        <w:t>Participants may end their participation at any time during an offering period and will be paid their accrued contributions that have not yet been used to purchase our ordinary shares. Participation ends automatically upon termination of employment with us.</w:t>
      </w:r>
    </w:p>
    <w:p>
      <w:pPr>
        <w:spacing w:after="0" w:line="166" w:lineRule="exact"/>
        <w:rPr>
          <w:sz w:val="20"/>
          <w:szCs w:val="20"/>
          <w:color w:val="auto"/>
        </w:rPr>
      </w:pPr>
    </w:p>
    <w:p>
      <w:pPr>
        <w:ind w:right="20" w:firstLine="410"/>
        <w:spacing w:after="0" w:line="268" w:lineRule="auto"/>
        <w:rPr>
          <w:sz w:val="20"/>
          <w:szCs w:val="20"/>
          <w:color w:val="auto"/>
        </w:rPr>
      </w:pPr>
      <w:r>
        <w:rPr>
          <w:rFonts w:ascii="Arial" w:cs="Arial" w:eastAsia="Arial" w:hAnsi="Arial"/>
          <w:sz w:val="17"/>
          <w:szCs w:val="17"/>
          <w:i w:val="1"/>
          <w:iCs w:val="1"/>
          <w:color w:val="auto"/>
        </w:rPr>
        <w:t xml:space="preserve">Non-Transferability. </w:t>
      </w:r>
      <w:r>
        <w:rPr>
          <w:rFonts w:ascii="Arial" w:cs="Arial" w:eastAsia="Arial" w:hAnsi="Arial"/>
          <w:sz w:val="17"/>
          <w:szCs w:val="17"/>
          <w:color w:val="auto"/>
        </w:rPr>
        <w:t>A participant may not transfer contributions credited to his or her account nor any rights granted under the ESPP other than by will, the laws</w:t>
      </w:r>
      <w:r>
        <w:rPr>
          <w:rFonts w:ascii="Arial" w:cs="Arial" w:eastAsia="Arial" w:hAnsi="Arial"/>
          <w:sz w:val="17"/>
          <w:szCs w:val="17"/>
          <w:i w:val="1"/>
          <w:iCs w:val="1"/>
          <w:color w:val="auto"/>
        </w:rPr>
        <w:t xml:space="preserve"> </w:t>
      </w:r>
      <w:r>
        <w:rPr>
          <w:rFonts w:ascii="Arial" w:cs="Arial" w:eastAsia="Arial" w:hAnsi="Arial"/>
          <w:sz w:val="17"/>
          <w:szCs w:val="17"/>
          <w:color w:val="auto"/>
        </w:rPr>
        <w:t>of descent and distribution or as otherwise provided under the ESPP.</w:t>
      </w:r>
    </w:p>
    <w:p>
      <w:pPr>
        <w:spacing w:after="0" w:line="166" w:lineRule="exact"/>
        <w:rPr>
          <w:sz w:val="20"/>
          <w:szCs w:val="20"/>
          <w:color w:val="auto"/>
        </w:rPr>
      </w:pPr>
    </w:p>
    <w:p>
      <w:pPr>
        <w:ind w:right="200" w:firstLine="410"/>
        <w:spacing w:after="0" w:line="303" w:lineRule="auto"/>
        <w:rPr>
          <w:sz w:val="20"/>
          <w:szCs w:val="20"/>
          <w:color w:val="auto"/>
        </w:rPr>
      </w:pPr>
      <w:r>
        <w:rPr>
          <w:rFonts w:ascii="Arial" w:cs="Arial" w:eastAsia="Arial" w:hAnsi="Arial"/>
          <w:sz w:val="14"/>
          <w:szCs w:val="14"/>
          <w:i w:val="1"/>
          <w:iCs w:val="1"/>
          <w:color w:val="auto"/>
        </w:rPr>
        <w:t xml:space="preserve">Corporate Transactions. </w:t>
      </w:r>
      <w:r>
        <w:rPr>
          <w:rFonts w:ascii="Arial" w:cs="Arial" w:eastAsia="Arial" w:hAnsi="Arial"/>
          <w:sz w:val="14"/>
          <w:szCs w:val="14"/>
          <w:color w:val="auto"/>
        </w:rPr>
        <w:t>In the event of certain transactions or events such as a consolidation, merger or similar transaction, a sale or transfer of all or</w:t>
      </w:r>
      <w:r>
        <w:rPr>
          <w:rFonts w:ascii="Arial" w:cs="Arial" w:eastAsia="Arial" w:hAnsi="Arial"/>
          <w:sz w:val="14"/>
          <w:szCs w:val="14"/>
          <w:i w:val="1"/>
          <w:iCs w:val="1"/>
          <w:color w:val="auto"/>
        </w:rPr>
        <w:t xml:space="preserve"> </w:t>
      </w:r>
      <w:r>
        <w:rPr>
          <w:rFonts w:ascii="Arial" w:cs="Arial" w:eastAsia="Arial" w:hAnsi="Arial"/>
          <w:sz w:val="14"/>
          <w:szCs w:val="14"/>
          <w:color w:val="auto"/>
        </w:rPr>
        <w:t>substantially all of the Company’s assets, or a dissolution or liquidation of the Company, with respect to which the administrator determines that an adjustment is appropriate in order to prevent dilution or enlargement of the benefits or potential benefits intended by the Company to be made available under the ESPP or with respect to any outstanding purchase rights under the ESPP, the administrator shall make equitable adjustments, if any, to reflect such change with respect to (a) the aggregate number and type of shares that may be issued under the ESPP; (b) the class(es) and number of shares and price per share subject to outstanding rights; and</w:t>
      </w:r>
    </w:p>
    <w:p>
      <w:pPr>
        <w:ind w:right="600"/>
        <w:spacing w:after="0" w:line="253" w:lineRule="auto"/>
        <w:tabs>
          <w:tab w:leader="none" w:pos="228"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purchase price with respect to any outstanding rights. In addition, in any such situation, the administrator may, in its discretion, make other adjustments, including:</w:t>
      </w:r>
    </w:p>
    <w:p>
      <w:pPr>
        <w:spacing w:after="0" w:line="178" w:lineRule="exact"/>
        <w:rPr>
          <w:rFonts w:ascii="Arial" w:cs="Arial" w:eastAsia="Arial" w:hAnsi="Arial"/>
          <w:sz w:val="17"/>
          <w:szCs w:val="17"/>
          <w:color w:val="auto"/>
        </w:rPr>
      </w:pPr>
    </w:p>
    <w:p>
      <w:pPr>
        <w:ind w:left="740" w:right="180" w:hanging="325"/>
        <w:spacing w:after="0" w:line="268" w:lineRule="auto"/>
        <w:tabs>
          <w:tab w:leader="none" w:pos="740" w:val="left"/>
        </w:tabs>
        <w:numPr>
          <w:ilvl w:val="1"/>
          <w:numId w:val="56"/>
        </w:numPr>
        <w:rPr>
          <w:rFonts w:ascii="Arial" w:cs="Arial" w:eastAsia="Arial" w:hAnsi="Arial"/>
          <w:sz w:val="17"/>
          <w:szCs w:val="17"/>
          <w:color w:val="auto"/>
        </w:rPr>
      </w:pPr>
      <w:r>
        <w:rPr>
          <w:rFonts w:ascii="Arial" w:cs="Arial" w:eastAsia="Arial" w:hAnsi="Arial"/>
          <w:sz w:val="17"/>
          <w:szCs w:val="17"/>
          <w:color w:val="auto"/>
        </w:rPr>
        <w:t>providing for either (i) termination of any outstanding right in exchange for an amount of cash, or (ii) the replacement of such outstanding right with other rights or property;</w:t>
      </w:r>
    </w:p>
    <w:p>
      <w:pPr>
        <w:spacing w:after="0" w:line="165" w:lineRule="exact"/>
        <w:rPr>
          <w:rFonts w:ascii="Arial" w:cs="Arial" w:eastAsia="Arial" w:hAnsi="Arial"/>
          <w:sz w:val="17"/>
          <w:szCs w:val="17"/>
          <w:color w:val="auto"/>
        </w:rPr>
      </w:pPr>
    </w:p>
    <w:p>
      <w:pPr>
        <w:ind w:left="740" w:right="440" w:hanging="325"/>
        <w:spacing w:after="0" w:line="268" w:lineRule="auto"/>
        <w:tabs>
          <w:tab w:leader="none" w:pos="740" w:val="left"/>
        </w:tabs>
        <w:numPr>
          <w:ilvl w:val="1"/>
          <w:numId w:val="56"/>
        </w:numPr>
        <w:rPr>
          <w:rFonts w:ascii="Arial" w:cs="Arial" w:eastAsia="Arial" w:hAnsi="Arial"/>
          <w:sz w:val="17"/>
          <w:szCs w:val="17"/>
          <w:color w:val="auto"/>
        </w:rPr>
      </w:pPr>
      <w:r>
        <w:rPr>
          <w:rFonts w:ascii="Arial" w:cs="Arial" w:eastAsia="Arial" w:hAnsi="Arial"/>
          <w:sz w:val="17"/>
          <w:szCs w:val="17"/>
          <w:color w:val="auto"/>
        </w:rPr>
        <w:t>providing that the outstanding rights under the ESPP shall be assumed by the successor or survivor corporation, with appropriate adjustments as to the number and kind of shares and prices;</w:t>
      </w:r>
    </w:p>
    <w:p>
      <w:pPr>
        <w:spacing w:after="0" w:line="165" w:lineRule="exact"/>
        <w:rPr>
          <w:rFonts w:ascii="Arial" w:cs="Arial" w:eastAsia="Arial" w:hAnsi="Arial"/>
          <w:sz w:val="17"/>
          <w:szCs w:val="17"/>
          <w:color w:val="auto"/>
        </w:rPr>
      </w:pPr>
    </w:p>
    <w:p>
      <w:pPr>
        <w:ind w:left="740" w:right="180" w:hanging="325"/>
        <w:spacing w:after="0" w:line="268" w:lineRule="auto"/>
        <w:tabs>
          <w:tab w:leader="none" w:pos="740" w:val="left"/>
        </w:tabs>
        <w:numPr>
          <w:ilvl w:val="1"/>
          <w:numId w:val="56"/>
        </w:numPr>
        <w:rPr>
          <w:rFonts w:ascii="Arial" w:cs="Arial" w:eastAsia="Arial" w:hAnsi="Arial"/>
          <w:sz w:val="17"/>
          <w:szCs w:val="17"/>
          <w:color w:val="auto"/>
        </w:rPr>
      </w:pPr>
      <w:r>
        <w:rPr>
          <w:rFonts w:ascii="Arial" w:cs="Arial" w:eastAsia="Arial" w:hAnsi="Arial"/>
          <w:sz w:val="17"/>
          <w:szCs w:val="17"/>
          <w:color w:val="auto"/>
        </w:rPr>
        <w:t>making adjustments in the number and type of shares (or other securities or property) subject to outstanding rights under the ESPP and/or in the terms and conditions of outstanding rights and rights that may be granted in the future;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7" w:name="page108"/>
    <w:bookmarkEnd w:id="107"/>
    <w:p>
      <w:pPr>
        <w:ind w:left="740" w:right="280" w:hanging="325"/>
        <w:spacing w:after="0" w:line="268" w:lineRule="auto"/>
        <w:tabs>
          <w:tab w:leader="none" w:pos="7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providing that participants’ accumulated payroll deductions may be used to purchase shares prior to the next occurring purchase date on such date as the administrator determines and the participants’ rights under the ongoing offering period(s) shall be terminated; and</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providing that all outstanding rights shall terminate without being exercised.</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5"/>
          <w:szCs w:val="15"/>
          <w:i w:val="1"/>
          <w:iCs w:val="1"/>
          <w:color w:val="auto"/>
        </w:rPr>
        <w:t xml:space="preserve">Amendment; Termination. </w:t>
      </w:r>
      <w:r>
        <w:rPr>
          <w:rFonts w:ascii="Arial" w:cs="Arial" w:eastAsia="Arial" w:hAnsi="Arial"/>
          <w:sz w:val="15"/>
          <w:szCs w:val="15"/>
          <w:color w:val="auto"/>
        </w:rPr>
        <w:t>The administrator will have the authority to amend, suspend or terminate the ESPP. The ESPP is not subject to a specific termination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190" w:lineRule="exact"/>
        <w:rPr>
          <w:sz w:val="20"/>
          <w:szCs w:val="20"/>
          <w:color w:val="auto"/>
        </w:rPr>
      </w:pPr>
    </w:p>
    <w:p>
      <w:pPr>
        <w:ind w:right="8880" w:firstLine="138"/>
        <w:spacing w:after="0" w:line="561" w:lineRule="auto"/>
        <w:tabs>
          <w:tab w:leader="none" w:pos="427"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Board Practices Corporate Governance Practices</w:t>
      </w:r>
    </w:p>
    <w:p>
      <w:pPr>
        <w:spacing w:after="0" w:line="1" w:lineRule="exact"/>
        <w:rPr>
          <w:sz w:val="20"/>
          <w:szCs w:val="20"/>
          <w:color w:val="auto"/>
        </w:rPr>
      </w:pPr>
    </w:p>
    <w:p>
      <w:pPr>
        <w:ind w:firstLine="410"/>
        <w:spacing w:after="0" w:line="286" w:lineRule="auto"/>
        <w:rPr>
          <w:sz w:val="20"/>
          <w:szCs w:val="20"/>
          <w:color w:val="auto"/>
        </w:rPr>
      </w:pPr>
      <w:r>
        <w:rPr>
          <w:rFonts w:ascii="Arial" w:cs="Arial" w:eastAsia="Arial" w:hAnsi="Arial"/>
          <w:sz w:val="15"/>
          <w:szCs w:val="15"/>
          <w:color w:val="auto"/>
        </w:rPr>
        <w:t>As an Israeli company, we are subject to various corporate governance requirements under the Companies Law. However, pursuant to regulations promulgated under the Companies Law, companies with shares traded on certain U.S. stock exchanges, including Nasdaq, may, subject to certain conditions, “opt out” from the Companies Law requirements to appoint external directors and related Companies Law rules concerning the composition of the audit committee and compensation committee of the board of directors (other than the gender diversification rule under the Companies Law, which requires the appointment of a director from the other gender if at the time a director is appointed all members of the board of directors are of the same gender). In accordance with these regulations, we elected to “opt out” from those requirements of the Companies Law. Under these regulations, the exemptions from such Companies Law requirements will continue to be available to us so long as: (i) we do not have a “controlling shareholder” (as such term is defined under the Companies Law), (ii) our shares are traded on certain U.S. stock exchanges, including Nasdaq, and (iii) we comply with the director independence requirements and the audit committee and compensation committee composition requirements under U.S. laws (including applicable rules of Nasdaq) applicable to U.S. domestic issuers.</w:t>
      </w:r>
    </w:p>
    <w:p>
      <w:pPr>
        <w:spacing w:after="0" w:line="159" w:lineRule="exact"/>
        <w:rPr>
          <w:sz w:val="20"/>
          <w:szCs w:val="20"/>
          <w:color w:val="auto"/>
        </w:rPr>
      </w:pPr>
    </w:p>
    <w:p>
      <w:pPr>
        <w:ind w:right="40" w:firstLine="410"/>
        <w:spacing w:after="0" w:line="268" w:lineRule="auto"/>
        <w:rPr>
          <w:sz w:val="20"/>
          <w:szCs w:val="20"/>
          <w:color w:val="auto"/>
        </w:rPr>
      </w:pPr>
      <w:r>
        <w:rPr>
          <w:rFonts w:ascii="Arial" w:cs="Arial" w:eastAsia="Arial" w:hAnsi="Arial"/>
          <w:sz w:val="16"/>
          <w:szCs w:val="16"/>
          <w:color w:val="auto"/>
        </w:rPr>
        <w:t>We are a “foreign private issuer” (as such term is defined in Rule 3b-4 under the Exchange Act). As a foreign private issuer, we are permitted to comply with Israeli corporate governance practices instead of the corporate governance rules of Nasdaq, provided that we disclose which requirements we are not following and the equivalent Israeli requirement. 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are not be required under the Exchange Act to file periodic reports and financial statements with the SEC as frequently or as promptly as U.S. companies whose securities are registered under the Exchange Act. For more information regarding our corporate governance practices and foreign private issuer status, see Item 16G. “Corporate Governance.”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210" w:lineRule="exact"/>
        <w:rPr>
          <w:sz w:val="20"/>
          <w:szCs w:val="20"/>
          <w:color w:val="auto"/>
        </w:rPr>
      </w:pPr>
    </w:p>
    <w:p>
      <w:pPr>
        <w:ind w:firstLine="410"/>
        <w:spacing w:after="0" w:line="250" w:lineRule="auto"/>
        <w:rPr>
          <w:sz w:val="20"/>
          <w:szCs w:val="20"/>
          <w:color w:val="auto"/>
        </w:rPr>
      </w:pPr>
      <w:r>
        <w:rPr>
          <w:rFonts w:ascii="Arial" w:cs="Arial" w:eastAsia="Arial" w:hAnsi="Arial"/>
          <w:sz w:val="17"/>
          <w:szCs w:val="17"/>
          <w:color w:val="auto"/>
        </w:rPr>
        <w:t>Under the Companies Law and our Articles of Association, our business and affairs are managed under the direction of our board of directors. Our board of directors may exercise all powers and may take all actions that are not specifically granted to our shareholders or to executive management. Our Chief Executive Officer (referred to as a “general manager” under the Companies Law) is responsible for our day-to-day management. Our Chief Executive Officer is appointed by, and serves at the discretion of, our board of directors, subject to the employment agreement that we have entered into with him. All other executive officers are appointed by the Chief Executive Officer, subject to applicable corporate approvals, and are subject to the terms of any applicable employment or consulting agreements that we may enter into with them.</w:t>
      </w:r>
    </w:p>
    <w:p>
      <w:pPr>
        <w:spacing w:after="0" w:line="184" w:lineRule="exact"/>
        <w:rPr>
          <w:sz w:val="20"/>
          <w:szCs w:val="20"/>
          <w:color w:val="auto"/>
        </w:rPr>
      </w:pPr>
    </w:p>
    <w:p>
      <w:pPr>
        <w:ind w:right="100" w:firstLine="410"/>
        <w:spacing w:after="0" w:line="290" w:lineRule="auto"/>
        <w:rPr>
          <w:sz w:val="20"/>
          <w:szCs w:val="20"/>
          <w:color w:val="auto"/>
        </w:rPr>
      </w:pPr>
      <w:r>
        <w:rPr>
          <w:rFonts w:ascii="Arial" w:cs="Arial" w:eastAsia="Arial" w:hAnsi="Arial"/>
          <w:sz w:val="15"/>
          <w:szCs w:val="15"/>
          <w:color w:val="auto"/>
        </w:rPr>
        <w:t>Under our Articles of Association, our board of directors must consist of not less than three but no more than ten directors divided into three classes with staggered three-year terms, provided, however, that in the event at any time our board of directors is comprised of nine or less members, the maximum number of members permitted under our Articles of Association shall not exceed nine. Each class of directors consists, as nearly as possible, of one-third of the total number of directors constituting the entire board of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from the annual general meeting of 2022 and thereafter, each year the term of office of only one class of directors will expire.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8" w:name="page109"/>
    <w:bookmarkEnd w:id="108"/>
    <w:p>
      <w:pPr>
        <w:ind w:left="420"/>
        <w:spacing w:after="0"/>
        <w:rPr>
          <w:sz w:val="20"/>
          <w:szCs w:val="20"/>
          <w:color w:val="auto"/>
        </w:rPr>
      </w:pPr>
      <w:r>
        <w:rPr>
          <w:rFonts w:ascii="Arial" w:cs="Arial" w:eastAsia="Arial" w:hAnsi="Arial"/>
          <w:sz w:val="17"/>
          <w:szCs w:val="17"/>
          <w:color w:val="auto"/>
        </w:rPr>
        <w:t>Our directors is divided among the three classes as follows:</w:t>
      </w:r>
    </w:p>
    <w:p>
      <w:pPr>
        <w:spacing w:after="0" w:line="206" w:lineRule="exact"/>
        <w:rPr>
          <w:sz w:val="20"/>
          <w:szCs w:val="20"/>
          <w:color w:val="auto"/>
        </w:rPr>
      </w:pPr>
    </w:p>
    <w:p>
      <w:pPr>
        <w:ind w:left="740" w:right="400" w:hanging="325"/>
        <w:spacing w:after="0" w:line="268" w:lineRule="auto"/>
        <w:tabs>
          <w:tab w:leader="none" w:pos="7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Class I directors will be Roy Saar, Michael Risman, Menashe Ezra and Dan Adika, and their terms will expire at our annual general meeting of our shareholders to be held in 2022;</w:t>
      </w:r>
    </w:p>
    <w:p>
      <w:pPr>
        <w:spacing w:after="0" w:line="165" w:lineRule="exact"/>
        <w:rPr>
          <w:rFonts w:ascii="Arial" w:cs="Arial" w:eastAsia="Arial" w:hAnsi="Arial"/>
          <w:sz w:val="17"/>
          <w:szCs w:val="17"/>
          <w:color w:val="auto"/>
        </w:rPr>
      </w:pPr>
    </w:p>
    <w:p>
      <w:pPr>
        <w:ind w:left="740" w:right="320" w:hanging="325"/>
        <w:spacing w:after="0" w:line="268" w:lineRule="auto"/>
        <w:tabs>
          <w:tab w:leader="none" w:pos="7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Class II directors, will be Michele Bettencourt, Rafael Sweary and Rory O’Driscoll, and their terms will expire at our annual general meeting of our shareholders to be held in 2023; and</w:t>
      </w:r>
    </w:p>
    <w:p>
      <w:pPr>
        <w:spacing w:after="0" w:line="165" w:lineRule="exact"/>
        <w:rPr>
          <w:rFonts w:ascii="Arial" w:cs="Arial" w:eastAsia="Arial" w:hAnsi="Arial"/>
          <w:sz w:val="17"/>
          <w:szCs w:val="17"/>
          <w:color w:val="auto"/>
        </w:rPr>
      </w:pPr>
    </w:p>
    <w:p>
      <w:pPr>
        <w:ind w:left="740" w:right="80" w:hanging="325"/>
        <w:spacing w:after="0" w:line="268" w:lineRule="auto"/>
        <w:tabs>
          <w:tab w:leader="none" w:pos="7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Class III directors will be Jeff Horing, Ron Gutler and Haleli Barath, and their terms will expire at our annual general meeting of our shareholders to be held in 2024.</w:t>
      </w:r>
    </w:p>
    <w:p>
      <w:pPr>
        <w:spacing w:after="0" w:line="166" w:lineRule="exact"/>
        <w:rPr>
          <w:sz w:val="20"/>
          <w:szCs w:val="20"/>
          <w:color w:val="auto"/>
        </w:rPr>
      </w:pPr>
    </w:p>
    <w:p>
      <w:pPr>
        <w:ind w:right="160" w:firstLine="410"/>
        <w:spacing w:after="0" w:line="251" w:lineRule="auto"/>
        <w:rPr>
          <w:sz w:val="20"/>
          <w:szCs w:val="20"/>
          <w:color w:val="auto"/>
        </w:rPr>
      </w:pPr>
      <w:r>
        <w:rPr>
          <w:rFonts w:ascii="Arial" w:cs="Arial" w:eastAsia="Arial" w:hAnsi="Arial"/>
          <w:sz w:val="17"/>
          <w:szCs w:val="17"/>
          <w:color w:val="auto"/>
        </w:rPr>
        <w:t>Our directors will be appointed by a simple majority vote of holders of our ordinary shares, participating and voting at an annual general meeting of our shareholders, provided that (i) in the event of a contested election, the method of calculation of the votes and the manner in which the resolutions will be presented to our shareholders at the general meeting will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w:t>
      </w:r>
    </w:p>
    <w:p>
      <w:pPr>
        <w:spacing w:after="0" w:line="183" w:lineRule="exact"/>
        <w:rPr>
          <w:sz w:val="20"/>
          <w:szCs w:val="20"/>
          <w:color w:val="auto"/>
        </w:rPr>
      </w:pPr>
    </w:p>
    <w:p>
      <w:pPr>
        <w:ind w:right="240" w:firstLine="410"/>
        <w:spacing w:after="0" w:line="268" w:lineRule="auto"/>
        <w:rPr>
          <w:sz w:val="20"/>
          <w:szCs w:val="20"/>
          <w:color w:val="auto"/>
        </w:rPr>
      </w:pPr>
      <w:r>
        <w:rPr>
          <w:rFonts w:ascii="Arial" w:cs="Arial" w:eastAsia="Arial" w:hAnsi="Arial"/>
          <w:sz w:val="17"/>
          <w:szCs w:val="17"/>
          <w:color w:val="auto"/>
        </w:rPr>
        <w:t>Each director will hold office until the annual general meeting of our shareholders for the year in which such director’s term expires, unless the tenure of such director expires earlier pursuant to the Companies Law or unless such director is removed from office as described below.</w:t>
      </w:r>
    </w:p>
    <w:p>
      <w:pPr>
        <w:spacing w:after="0" w:line="166" w:lineRule="exact"/>
        <w:rPr>
          <w:sz w:val="20"/>
          <w:szCs w:val="20"/>
          <w:color w:val="auto"/>
        </w:rPr>
      </w:pPr>
    </w:p>
    <w:p>
      <w:pPr>
        <w:ind w:firstLine="410"/>
        <w:spacing w:after="0" w:line="250" w:lineRule="auto"/>
        <w:rPr>
          <w:sz w:val="20"/>
          <w:szCs w:val="20"/>
          <w:color w:val="auto"/>
        </w:rPr>
      </w:pPr>
      <w:r>
        <w:rPr>
          <w:rFonts w:ascii="Arial" w:cs="Arial" w:eastAsia="Arial" w:hAnsi="Arial"/>
          <w:sz w:val="17"/>
          <w:szCs w:val="17"/>
          <w:color w:val="auto"/>
        </w:rPr>
        <w:t>Under our Articles of Association, the approval of the holders of at least 65% of the total voting power of our shareholders is generally required to remove any of our directors from office or any amendment to this provision shall require the approval of at least 65% of the total voting power of our shareholders to remove any of our directors from office. In addition, vacancies on our board of directors may only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Articles of Association, the new director filling the vacancy will serve until the next annual general meeting of our shareholders for the election of the class of directors to which such director was assigned by our board of directors.</w:t>
      </w:r>
    </w:p>
    <w:p>
      <w:pPr>
        <w:spacing w:after="0" w:line="181"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Chairperson of the Board</w:t>
      </w:r>
    </w:p>
    <w:p>
      <w:pPr>
        <w:spacing w:after="0" w:line="206" w:lineRule="exact"/>
        <w:rPr>
          <w:sz w:val="20"/>
          <w:szCs w:val="20"/>
          <w:color w:val="auto"/>
        </w:rPr>
      </w:pPr>
    </w:p>
    <w:p>
      <w:pPr>
        <w:ind w:right="40" w:firstLine="410"/>
        <w:spacing w:after="0" w:line="251" w:lineRule="auto"/>
        <w:rPr>
          <w:sz w:val="20"/>
          <w:szCs w:val="20"/>
          <w:color w:val="auto"/>
        </w:rPr>
      </w:pPr>
      <w:r>
        <w:rPr>
          <w:rFonts w:ascii="Arial" w:cs="Arial" w:eastAsia="Arial" w:hAnsi="Arial"/>
          <w:sz w:val="17"/>
          <w:szCs w:val="17"/>
          <w:color w:val="auto"/>
        </w:rPr>
        <w:t>Our Articles of Association provide that the Chairperson of our board of directors is appointed by the members of our board of directors from among them. Under the Companies Law, the chief executive officer of a public company, or a relative of the chief executive officer, may not serve as the chairperson of the board of directors of such public company, and the chairperson of the board of directors of a public company, or a relative of the chairperson, may not be vested with authorities of the chief executive officer of such public company without shareholder approval consisting of a majority vote of the shares present and voting at a shareholders meeting, and in addition, either:</w:t>
      </w:r>
    </w:p>
    <w:p>
      <w:pPr>
        <w:spacing w:after="0" w:line="183" w:lineRule="exact"/>
        <w:rPr>
          <w:sz w:val="20"/>
          <w:szCs w:val="20"/>
          <w:color w:val="auto"/>
        </w:rPr>
      </w:pPr>
    </w:p>
    <w:p>
      <w:pPr>
        <w:ind w:left="740" w:hanging="325"/>
        <w:spacing w:after="0" w:line="268" w:lineRule="auto"/>
        <w:tabs>
          <w:tab w:leader="none" w:pos="7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at least a majority of the shares of non-controlling shareholders and shareholders that do not have a personal interest in the approval voted at the meeting are voted in favor (disregarding abstentions); or</w:t>
      </w:r>
    </w:p>
    <w:p>
      <w:pPr>
        <w:spacing w:after="0" w:line="165" w:lineRule="exact"/>
        <w:rPr>
          <w:rFonts w:ascii="Arial" w:cs="Arial" w:eastAsia="Arial" w:hAnsi="Arial"/>
          <w:sz w:val="17"/>
          <w:szCs w:val="17"/>
          <w:color w:val="auto"/>
        </w:rPr>
      </w:pPr>
    </w:p>
    <w:p>
      <w:pPr>
        <w:ind w:left="740" w:right="220" w:hanging="325"/>
        <w:spacing w:after="0" w:line="268" w:lineRule="auto"/>
        <w:tabs>
          <w:tab w:leader="none" w:pos="7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total number of shares of non-controlling shareholders and shareholders who do not have a personal interest in such appointment that re voted against such appointment does not exceed two percent (2%) of the aggregate voting rights in the company.</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9" w:name="page110"/>
    <w:bookmarkEnd w:id="109"/>
    <w:p>
      <w:pPr>
        <w:ind w:right="100" w:firstLine="410"/>
        <w:spacing w:after="0" w:line="268" w:lineRule="auto"/>
        <w:rPr>
          <w:sz w:val="20"/>
          <w:szCs w:val="20"/>
          <w:color w:val="auto"/>
        </w:rPr>
      </w:pPr>
      <w:r>
        <w:rPr>
          <w:rFonts w:ascii="Arial" w:cs="Arial" w:eastAsia="Arial" w:hAnsi="Arial"/>
          <w:sz w:val="17"/>
          <w:szCs w:val="17"/>
          <w:color w:val="auto"/>
        </w:rPr>
        <w:t>The shareholders’ approval can be effective for a period of up to five years following an initial public offering, and subsequently, for additional periods of up to three years.</w:t>
      </w:r>
    </w:p>
    <w:p>
      <w:pPr>
        <w:spacing w:after="0" w:line="166" w:lineRule="exact"/>
        <w:rPr>
          <w:sz w:val="20"/>
          <w:szCs w:val="20"/>
          <w:color w:val="auto"/>
        </w:rPr>
      </w:pPr>
    </w:p>
    <w:p>
      <w:pPr>
        <w:ind w:right="200" w:firstLine="410"/>
        <w:spacing w:after="0" w:line="253" w:lineRule="auto"/>
        <w:rPr>
          <w:sz w:val="20"/>
          <w:szCs w:val="20"/>
          <w:color w:val="auto"/>
        </w:rPr>
      </w:pPr>
      <w:r>
        <w:rPr>
          <w:rFonts w:ascii="Arial" w:cs="Arial" w:eastAsia="Arial" w:hAnsi="Arial"/>
          <w:sz w:val="17"/>
          <w:szCs w:val="17"/>
          <w:color w:val="auto"/>
        </w:rPr>
        <w:t>In addition, a person who is subordinated, directly or indirectly, to the chief executive officer may not serve as the chairperson of the board of directors; the chairperson of the board of directors may not be vested with authorities that are granted to persons who are subordinated to the chief executive officer; and the chairperson of the board of directors may not serve in any other position in the company or in a controlled subsidiary, but may serve as a director or chairperson of a controlled subsidiary.</w:t>
      </w:r>
    </w:p>
    <w:p>
      <w:pPr>
        <w:spacing w:after="0" w:line="180" w:lineRule="exact"/>
        <w:rPr>
          <w:sz w:val="20"/>
          <w:szCs w:val="20"/>
          <w:color w:val="auto"/>
        </w:rPr>
      </w:pPr>
    </w:p>
    <w:p>
      <w:pPr>
        <w:ind w:right="60" w:firstLine="410"/>
        <w:spacing w:after="0" w:line="298" w:lineRule="auto"/>
        <w:rPr>
          <w:sz w:val="20"/>
          <w:szCs w:val="20"/>
          <w:color w:val="auto"/>
        </w:rPr>
      </w:pPr>
      <w:r>
        <w:rPr>
          <w:rFonts w:ascii="Arial" w:cs="Arial" w:eastAsia="Arial" w:hAnsi="Arial"/>
          <w:sz w:val="15"/>
          <w:szCs w:val="15"/>
          <w:color w:val="auto"/>
        </w:rPr>
        <w:t>During a special and annual general meeting of our shareholders held on June 6, 2021, our shareholders approved the appointment of Dan Adika as Chairperson of our board of directors in addition to his role as our Chief Executive Officer. According to the Companies Law and the regulations promulgated thereunder, such appointment is valid for an initial term of five years following the closing of the IPO. Following such initial term, each renewal of the appointment of our Chief Executive Officer as Chairperson of the board of directors will be subject to the shareholder approval described above and will be limited to a three-year term.</w:t>
      </w:r>
    </w:p>
    <w:p>
      <w:pPr>
        <w:spacing w:after="0" w:line="148"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External Directors</w:t>
      </w:r>
    </w:p>
    <w:p>
      <w:pPr>
        <w:spacing w:after="0" w:line="206" w:lineRule="exact"/>
        <w:rPr>
          <w:sz w:val="20"/>
          <w:szCs w:val="20"/>
          <w:color w:val="auto"/>
        </w:rPr>
      </w:pPr>
    </w:p>
    <w:p>
      <w:pPr>
        <w:ind w:right="20" w:firstLine="410"/>
        <w:spacing w:after="0" w:line="290" w:lineRule="auto"/>
        <w:rPr>
          <w:sz w:val="20"/>
          <w:szCs w:val="20"/>
          <w:color w:val="auto"/>
        </w:rPr>
      </w:pPr>
      <w:r>
        <w:rPr>
          <w:rFonts w:ascii="Arial" w:cs="Arial" w:eastAsia="Arial" w:hAnsi="Arial"/>
          <w:sz w:val="15"/>
          <w:szCs w:val="15"/>
          <w:color w:val="auto"/>
        </w:rPr>
        <w:t>Under the Companies Law, companies incorporated under the laws of the State of Israel that are “public companies,” including companies with shares listed on Nasdaq, are required to appoint at least two external directors. Pursuant to regulations promulgated under the Companies Law, companies with shares traded on certain U.S. stock exchanges, including Nasdaq, which do not have a “controlling shareholder,” may, subject to certain conditions, “opt out” from the Companies Law requirements to appoint external directors and related Companies Law rules concerning the composition of the audit committee and compensation committee of the board of directors. In accordance with these regulations, we have elected to “opt out” from the Companies Law requirement to appoint external directors and related Companies Law rules concerning the composition of the audit committee and compensation committee of our board of directors.</w:t>
      </w:r>
    </w:p>
    <w:p>
      <w:pPr>
        <w:spacing w:after="0" w:line="155"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Appointment Rights</w:t>
      </w:r>
    </w:p>
    <w:p>
      <w:pPr>
        <w:spacing w:after="0" w:line="206" w:lineRule="exact"/>
        <w:rPr>
          <w:sz w:val="20"/>
          <w:szCs w:val="20"/>
          <w:color w:val="auto"/>
        </w:rPr>
      </w:pPr>
    </w:p>
    <w:p>
      <w:pPr>
        <w:ind w:right="60" w:firstLine="410"/>
        <w:spacing w:after="0" w:line="268" w:lineRule="auto"/>
        <w:rPr>
          <w:sz w:val="20"/>
          <w:szCs w:val="20"/>
          <w:color w:val="auto"/>
        </w:rPr>
      </w:pPr>
      <w:r>
        <w:rPr>
          <w:rFonts w:ascii="Arial" w:cs="Arial" w:eastAsia="Arial" w:hAnsi="Arial"/>
          <w:sz w:val="17"/>
          <w:szCs w:val="17"/>
          <w:color w:val="auto"/>
        </w:rPr>
        <w:t>Pursuant to our articles of association in effect prior to the IPO, certain of our shareholders had rights to appoint members of our board of directors. All rights to appoint directors terminated upon the closing of the IPO. Our currently serving directors were appointed as follows:</w:t>
      </w:r>
    </w:p>
    <w:p>
      <w:pPr>
        <w:spacing w:after="0" w:line="166" w:lineRule="exact"/>
        <w:rPr>
          <w:sz w:val="20"/>
          <w:szCs w:val="20"/>
          <w:color w:val="auto"/>
        </w:rPr>
      </w:pPr>
    </w:p>
    <w:p>
      <w:pPr>
        <w:ind w:left="740" w:hanging="325"/>
        <w:spacing w:after="0"/>
        <w:tabs>
          <w:tab w:leader="none" w:pos="7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Dan Adika was appointed by a majority vote based on the number of shares held by Mr. Eyal Cohen, Brooks S.M. Projects Ltd. and Mr. Dan Adika;</w:t>
      </w:r>
    </w:p>
    <w:p>
      <w:pPr>
        <w:spacing w:after="0" w:line="217" w:lineRule="exact"/>
        <w:rPr>
          <w:rFonts w:ascii="Arial" w:cs="Arial" w:eastAsia="Arial" w:hAnsi="Arial"/>
          <w:sz w:val="16"/>
          <w:szCs w:val="16"/>
          <w:color w:val="auto"/>
        </w:rPr>
      </w:pPr>
    </w:p>
    <w:p>
      <w:pPr>
        <w:ind w:left="740" w:hanging="325"/>
        <w:spacing w:after="0"/>
        <w:tabs>
          <w:tab w:leader="none" w:pos="7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Haleli Barath was appointed by resolution of our board of directors;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Michele Bettencourt was appointed by resolution of our board of directors;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Menashe Ezra was appointed by Gemini Israel V, L.P. and Gemini Partners Investors V, L.P;</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Ron Gutler was appointed by unanimous consent of our board of directors;</w:t>
      </w:r>
    </w:p>
    <w:p>
      <w:pPr>
        <w:spacing w:after="0" w:line="206" w:lineRule="exact"/>
        <w:rPr>
          <w:rFonts w:ascii="Arial" w:cs="Arial" w:eastAsia="Arial" w:hAnsi="Arial"/>
          <w:sz w:val="17"/>
          <w:szCs w:val="17"/>
          <w:color w:val="auto"/>
        </w:rPr>
      </w:pPr>
    </w:p>
    <w:p>
      <w:pPr>
        <w:ind w:left="740" w:hanging="325"/>
        <w:spacing w:after="0" w:line="268" w:lineRule="auto"/>
        <w:tabs>
          <w:tab w:leader="none" w:pos="7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Jeff Horing was appointed by Insight Venture Partners IX, L.P., Insight Venture Partners (Cayman) IX, L.P., Insight Venture Partners IX (Co-Investors), L.P. and Insight Venture Partners (Delaware) IX, L.P.;</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Rory O’Driscoll was appointed by Scale Venture Partners IV, L.P.;</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Michael Risman was appointed by Vitruvian Directors I Limited on behalf of Ambleside S.a.r.l;</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Roy Saar was appointed by Mangrove III Investments S.a.r.l.; and</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Rafael Sweary was appointed by a majority vote based on the number of shares held by Mr. Eyal Cohen, Brooks S.M. Projects Ltd. and Mr. Dan Adika.</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b w:val="1"/>
          <w:bCs w:val="1"/>
          <w:color w:val="auto"/>
        </w:rPr>
        <w:t>Committees of our Board of Directors</w:t>
      </w:r>
    </w:p>
    <w:p>
      <w:pPr>
        <w:spacing w:after="0" w:line="210"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Audit Committee</w:t>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Companies Law Requirements</w:t>
      </w:r>
    </w:p>
    <w:p>
      <w:pPr>
        <w:spacing w:after="0" w:line="206" w:lineRule="exact"/>
        <w:rPr>
          <w:sz w:val="20"/>
          <w:szCs w:val="20"/>
          <w:color w:val="auto"/>
        </w:rPr>
      </w:pPr>
    </w:p>
    <w:p>
      <w:pPr>
        <w:ind w:right="20" w:firstLine="410"/>
        <w:spacing w:after="0" w:line="268" w:lineRule="auto"/>
        <w:rPr>
          <w:sz w:val="20"/>
          <w:szCs w:val="20"/>
          <w:color w:val="auto"/>
        </w:rPr>
      </w:pPr>
      <w:r>
        <w:rPr>
          <w:rFonts w:ascii="Arial" w:cs="Arial" w:eastAsia="Arial" w:hAnsi="Arial"/>
          <w:sz w:val="17"/>
          <w:szCs w:val="17"/>
          <w:color w:val="auto"/>
        </w:rPr>
        <w:t>Under the Companies Law, the board of directors of a public company must appoint an audit committee. The audit committee must be comprised of at least three directors.</w:t>
      </w:r>
    </w:p>
    <w:p>
      <w:pPr>
        <w:spacing w:after="0" w:line="166"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Listing Requirements</w:t>
      </w:r>
    </w:p>
    <w:p>
      <w:pPr>
        <w:spacing w:after="0" w:line="206" w:lineRule="exact"/>
        <w:rPr>
          <w:sz w:val="20"/>
          <w:szCs w:val="20"/>
          <w:color w:val="auto"/>
        </w:rPr>
      </w:pPr>
    </w:p>
    <w:p>
      <w:pPr>
        <w:ind w:right="280" w:firstLine="410"/>
        <w:spacing w:after="0" w:line="268" w:lineRule="auto"/>
        <w:rPr>
          <w:sz w:val="20"/>
          <w:szCs w:val="20"/>
          <w:color w:val="auto"/>
        </w:rPr>
      </w:pPr>
      <w:r>
        <w:rPr>
          <w:rFonts w:ascii="Arial" w:cs="Arial" w:eastAsia="Arial" w:hAnsi="Arial"/>
          <w:sz w:val="17"/>
          <w:szCs w:val="17"/>
          <w:color w:val="auto"/>
        </w:rPr>
        <w:t>Under Nasdaq corporate governance rules, we are required to maintain an audit committee consisting of at least three independent directors, each of whom is financially literate and one of whom has accounting or related financial management expertise.</w:t>
      </w:r>
    </w:p>
    <w:p>
      <w:pPr>
        <w:spacing w:after="0" w:line="16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Our audit committee consists of Ron Gutler, Michele Bettencourt and Roy Saar. Ron Gutler serves as the chairperson of the audit committee. All members of our audit committee meet the requirements for financial literacy under the applicable rules and regulations of the SEC and Nasdaq corporate governance rules. Our board of directors has determined that each of Ron Gutler, Michele Bettencourt and Roy Saar is an audit committee financial expert as defined by the SEC rules and has the requisite financial experience as defined by Nasdaq corporate governance rules.</w:t>
      </w:r>
    </w:p>
    <w:p>
      <w:pPr>
        <w:spacing w:after="0" w:line="180" w:lineRule="exact"/>
        <w:rPr>
          <w:sz w:val="20"/>
          <w:szCs w:val="20"/>
          <w:color w:val="auto"/>
        </w:rPr>
      </w:pPr>
    </w:p>
    <w:p>
      <w:pPr>
        <w:ind w:right="20" w:firstLine="410"/>
        <w:spacing w:after="0" w:line="335" w:lineRule="auto"/>
        <w:rPr>
          <w:sz w:val="20"/>
          <w:szCs w:val="20"/>
          <w:color w:val="auto"/>
        </w:rPr>
      </w:pPr>
      <w:r>
        <w:rPr>
          <w:rFonts w:ascii="Arial" w:cs="Arial" w:eastAsia="Arial" w:hAnsi="Arial"/>
          <w:sz w:val="15"/>
          <w:szCs w:val="15"/>
          <w:color w:val="auto"/>
        </w:rPr>
        <w:t>Our board of directors has determined that each member of our audit committee is “independent” as such term is defined under the Nasdaq corporate governance rules and under Rule 10A-3(b)(1) under the Exchange Act, which is different from the general test for independence of board and committee members.</w:t>
      </w:r>
    </w:p>
    <w:p>
      <w:pPr>
        <w:spacing w:after="0" w:line="121"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Audit Committee Role</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Our board of directors has adopted an audit committee charter setting forth the responsibilities of the audit committee consistent with the Companies Law, the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SEC rules and Nasdaq corporate governance rules, which include:</w:t>
      </w:r>
    </w:p>
    <w:p>
      <w:pPr>
        <w:spacing w:after="0" w:line="194" w:lineRule="exact"/>
        <w:rPr>
          <w:sz w:val="20"/>
          <w:szCs w:val="20"/>
          <w:color w:val="auto"/>
        </w:rPr>
      </w:pPr>
    </w:p>
    <w:p>
      <w:pPr>
        <w:ind w:left="740" w:right="540" w:hanging="325"/>
        <w:spacing w:after="0" w:line="268" w:lineRule="auto"/>
        <w:tabs>
          <w:tab w:leader="none" w:pos="7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retaining and terminating our independent auditors, subject to ratification by our board of directors, and in the case of retention, to ratification by the shareholders;</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pre-approving audit and non-audit services to be provided by the independent auditors and related fees and terms;</w:t>
      </w:r>
    </w:p>
    <w:p>
      <w:pPr>
        <w:spacing w:after="0" w:line="206" w:lineRule="exact"/>
        <w:rPr>
          <w:rFonts w:ascii="Arial" w:cs="Arial" w:eastAsia="Arial" w:hAnsi="Arial"/>
          <w:sz w:val="17"/>
          <w:szCs w:val="17"/>
          <w:color w:val="auto"/>
        </w:rPr>
      </w:pPr>
    </w:p>
    <w:p>
      <w:pPr>
        <w:jc w:val="both"/>
        <w:ind w:left="740" w:right="40" w:hanging="325"/>
        <w:spacing w:after="0" w:line="257" w:lineRule="auto"/>
        <w:tabs>
          <w:tab w:leader="none" w:pos="7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overseeing the accounting and financial reporting processes of our Company and audits of our financial statements, the effectiveness of our internal control over financial reporting and making such reports as may be required of an audit committee under the rules and regulations promulgated under the Exchange Act;</w:t>
      </w:r>
    </w:p>
    <w:p>
      <w:pPr>
        <w:spacing w:after="0" w:line="175" w:lineRule="exact"/>
        <w:rPr>
          <w:rFonts w:ascii="Arial" w:cs="Arial" w:eastAsia="Arial" w:hAnsi="Arial"/>
          <w:sz w:val="17"/>
          <w:szCs w:val="17"/>
          <w:color w:val="auto"/>
        </w:rPr>
      </w:pPr>
    </w:p>
    <w:p>
      <w:pPr>
        <w:ind w:left="740" w:right="180" w:hanging="325"/>
        <w:spacing w:after="0" w:line="268" w:lineRule="auto"/>
        <w:tabs>
          <w:tab w:leader="none" w:pos="7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reviewing with management and our independent auditor our annual and quarterly financial statements prior to publication or filing (or submission, as the case may be) to the SEC;</w:t>
      </w:r>
    </w:p>
    <w:p>
      <w:pPr>
        <w:spacing w:after="0" w:line="165" w:lineRule="exact"/>
        <w:rPr>
          <w:rFonts w:ascii="Arial" w:cs="Arial" w:eastAsia="Arial" w:hAnsi="Arial"/>
          <w:sz w:val="17"/>
          <w:szCs w:val="17"/>
          <w:color w:val="auto"/>
        </w:rPr>
      </w:pPr>
    </w:p>
    <w:p>
      <w:pPr>
        <w:ind w:left="740" w:right="500" w:hanging="325"/>
        <w:spacing w:after="0" w:line="299" w:lineRule="auto"/>
        <w:tabs>
          <w:tab w:leader="none" w:pos="7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recommending to our board of directors the retention and termination of the internal auditor, and the internal auditor’s engagement fees and terms, in accordance with the Companies Law as well as approving the yearly or periodic work plan proposed by the internal auditor;</w:t>
      </w:r>
    </w:p>
    <w:p>
      <w:pPr>
        <w:spacing w:after="0" w:line="144" w:lineRule="exact"/>
        <w:rPr>
          <w:rFonts w:ascii="Arial" w:cs="Arial" w:eastAsia="Arial" w:hAnsi="Arial"/>
          <w:sz w:val="16"/>
          <w:szCs w:val="16"/>
          <w:color w:val="auto"/>
        </w:rPr>
      </w:pPr>
    </w:p>
    <w:p>
      <w:pPr>
        <w:ind w:left="740" w:right="80" w:hanging="325"/>
        <w:spacing w:after="0" w:line="257" w:lineRule="auto"/>
        <w:tabs>
          <w:tab w:leader="none" w:pos="7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reviewing policies and procedures with respect to transactions (other than transactions related to the compensation or terms of services) between us and our officers and directors, or affiliates of our officers or directors, or transactions that are not in the ordinary course of our business and deciding whether to approve such acts and transactions if so required under the Companies Law; and</w:t>
      </w:r>
    </w:p>
    <w:p>
      <w:pPr>
        <w:spacing w:after="0" w:line="175" w:lineRule="exact"/>
        <w:rPr>
          <w:rFonts w:ascii="Arial" w:cs="Arial" w:eastAsia="Arial" w:hAnsi="Arial"/>
          <w:sz w:val="17"/>
          <w:szCs w:val="17"/>
          <w:color w:val="auto"/>
        </w:rPr>
      </w:pPr>
    </w:p>
    <w:p>
      <w:pPr>
        <w:ind w:left="740" w:right="700" w:hanging="325"/>
        <w:spacing w:after="0" w:line="268" w:lineRule="auto"/>
        <w:tabs>
          <w:tab w:leader="none" w:pos="7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establishing procedures for the handling of employees’ complaints as to the management of our business and the protection to be provided to such employees.</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11" w:name="page112"/>
    <w:bookmarkEnd w:id="111"/>
    <w:p>
      <w:pPr>
        <w:ind w:left="94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Companies Law Requirements</w:t>
      </w:r>
    </w:p>
    <w:p>
      <w:pPr>
        <w:spacing w:after="0" w:line="206" w:lineRule="exact"/>
        <w:rPr>
          <w:sz w:val="20"/>
          <w:szCs w:val="20"/>
          <w:color w:val="auto"/>
        </w:rPr>
      </w:pPr>
    </w:p>
    <w:p>
      <w:pPr>
        <w:ind w:right="480" w:firstLine="410"/>
        <w:spacing w:after="0" w:line="268" w:lineRule="auto"/>
        <w:rPr>
          <w:sz w:val="20"/>
          <w:szCs w:val="20"/>
          <w:color w:val="auto"/>
        </w:rPr>
      </w:pPr>
      <w:r>
        <w:rPr>
          <w:rFonts w:ascii="Arial" w:cs="Arial" w:eastAsia="Arial" w:hAnsi="Arial"/>
          <w:sz w:val="17"/>
          <w:szCs w:val="17"/>
          <w:color w:val="auto"/>
        </w:rPr>
        <w:t>Under the Companies Law, the board of directors of a public company must appoint a compensation committee, which must be comprised of at least three directors.</w:t>
      </w:r>
    </w:p>
    <w:p>
      <w:pPr>
        <w:spacing w:after="0" w:line="166"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Listing Requirements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Under the Nasdaq corporate governance rules, we are required to maintain a compensation committee consisting of at least two independent directors.</w:t>
      </w:r>
    </w:p>
    <w:p>
      <w:pPr>
        <w:spacing w:after="0" w:line="218" w:lineRule="exact"/>
        <w:rPr>
          <w:sz w:val="20"/>
          <w:szCs w:val="20"/>
          <w:color w:val="auto"/>
        </w:rPr>
      </w:pPr>
    </w:p>
    <w:p>
      <w:pPr>
        <w:jc w:val="both"/>
        <w:ind w:right="40" w:firstLine="410"/>
        <w:spacing w:after="0" w:line="257" w:lineRule="auto"/>
        <w:rPr>
          <w:sz w:val="20"/>
          <w:szCs w:val="20"/>
          <w:color w:val="auto"/>
        </w:rPr>
      </w:pPr>
      <w:r>
        <w:rPr>
          <w:rFonts w:ascii="Arial" w:cs="Arial" w:eastAsia="Arial" w:hAnsi="Arial"/>
          <w:sz w:val="17"/>
          <w:szCs w:val="17"/>
          <w:color w:val="auto"/>
        </w:rPr>
        <w:t>Our compensation committee consists of Rory O’Driscoll, Ron Gutler and Roy Saar. Rory O’Driscoll serves as chairperson of the compensation committee. Our board of directors has determined that each member of our compensation committee is independent under Nasdaq corporate governance rules, including the additional independence requirements applicable to the members of a compensation committee.</w:t>
      </w:r>
    </w:p>
    <w:p>
      <w:pPr>
        <w:spacing w:after="0" w:line="175"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Compensation Committee Role</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accordance with the Companies Law, the roles of the compensation committee are, among others, as follows:</w:t>
      </w:r>
    </w:p>
    <w:p>
      <w:pPr>
        <w:spacing w:after="0" w:line="206" w:lineRule="exact"/>
        <w:rPr>
          <w:sz w:val="20"/>
          <w:szCs w:val="20"/>
          <w:color w:val="auto"/>
        </w:rPr>
      </w:pPr>
    </w:p>
    <w:p>
      <w:pPr>
        <w:ind w:left="740" w:right="220" w:hanging="325"/>
        <w:spacing w:after="0" w:line="268" w:lineRule="auto"/>
        <w:tabs>
          <w:tab w:leader="none" w:pos="7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making recommendations to our board of directors with respect to the approval of the compensation policy for office holders and, once every three years, regarding any extensions to a compensation policy that was adopted for a period of more than three years;</w:t>
      </w:r>
    </w:p>
    <w:p>
      <w:pPr>
        <w:spacing w:after="0" w:line="165" w:lineRule="exact"/>
        <w:rPr>
          <w:rFonts w:ascii="Arial" w:cs="Arial" w:eastAsia="Arial" w:hAnsi="Arial"/>
          <w:sz w:val="17"/>
          <w:szCs w:val="17"/>
          <w:color w:val="auto"/>
        </w:rPr>
      </w:pPr>
    </w:p>
    <w:p>
      <w:pPr>
        <w:ind w:left="740" w:right="740" w:hanging="325"/>
        <w:spacing w:after="0" w:line="268" w:lineRule="auto"/>
        <w:tabs>
          <w:tab w:leader="none" w:pos="7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reviewing the implementation of the compensation policy and periodically making recommendations to our board of directors with respect to any amendments or updates of the compensation policy;</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resolving whether or not to approve arrangements with respect to the terms of office and employment of office holders; and</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exempting, under certain circumstances, a transaction with our Chief Executive Officer from the approval of our shareholders.</w:t>
      </w:r>
    </w:p>
    <w:p>
      <w:pPr>
        <w:spacing w:after="0" w:line="206" w:lineRule="exact"/>
        <w:rPr>
          <w:sz w:val="20"/>
          <w:szCs w:val="20"/>
          <w:color w:val="auto"/>
        </w:rPr>
      </w:pPr>
    </w:p>
    <w:p>
      <w:pPr>
        <w:ind w:right="220" w:firstLine="410"/>
        <w:spacing w:after="0" w:line="253" w:lineRule="auto"/>
        <w:rPr>
          <w:sz w:val="20"/>
          <w:szCs w:val="20"/>
          <w:color w:val="auto"/>
        </w:rPr>
      </w:pPr>
      <w:r>
        <w:rPr>
          <w:rFonts w:ascii="Arial" w:cs="Arial" w:eastAsia="Arial" w:hAnsi="Arial"/>
          <w:sz w:val="17"/>
          <w:szCs w:val="17"/>
          <w:color w:val="auto"/>
        </w:rPr>
        <w:t>An “office holder” is defined in the Companies Law as a general manager, chief business manager, deputy general manager, vice general manager, any other person assuming the responsibilities of any of these positions regardless of such person’s title, a director and any other manager directly subordinate to the general manager. Certain of the persons listed in the table under the section titled “Management—Executive Officers and Directors” are office holders under the Companies Law.</w:t>
      </w:r>
    </w:p>
    <w:p>
      <w:pPr>
        <w:spacing w:after="0" w:line="180" w:lineRule="exact"/>
        <w:rPr>
          <w:sz w:val="20"/>
          <w:szCs w:val="20"/>
          <w:color w:val="auto"/>
        </w:rPr>
      </w:pPr>
    </w:p>
    <w:p>
      <w:pPr>
        <w:ind w:right="480" w:firstLine="410"/>
        <w:spacing w:after="0" w:line="268" w:lineRule="auto"/>
        <w:rPr>
          <w:sz w:val="20"/>
          <w:szCs w:val="20"/>
          <w:color w:val="auto"/>
        </w:rPr>
      </w:pPr>
      <w:r>
        <w:rPr>
          <w:rFonts w:ascii="Arial" w:cs="Arial" w:eastAsia="Arial" w:hAnsi="Arial"/>
          <w:sz w:val="17"/>
          <w:szCs w:val="17"/>
          <w:color w:val="auto"/>
        </w:rPr>
        <w:t>Our board of directors has adopted a compensation committee charter setting forth the responsibilities of the committee, which are consistent with Nasdaq corporate governance rules and the Companies Law, and include among others:</w:t>
      </w:r>
    </w:p>
    <w:p>
      <w:pPr>
        <w:spacing w:after="0" w:line="166" w:lineRule="exact"/>
        <w:rPr>
          <w:sz w:val="20"/>
          <w:szCs w:val="20"/>
          <w:color w:val="auto"/>
        </w:rPr>
      </w:pPr>
    </w:p>
    <w:p>
      <w:pPr>
        <w:jc w:val="both"/>
        <w:ind w:left="740" w:right="100" w:hanging="325"/>
        <w:spacing w:after="0" w:line="253" w:lineRule="auto"/>
        <w:tabs>
          <w:tab w:leader="none" w:pos="7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recommending to our board of directors for its approval a compensation policy in accordance with the requirements of the Companies Law as well as other compensation policies, incentive-based compensation plans and equity-based compensation plans, and overseeing the development and implementation of such policies and recommending to our board of directors any amendments or modifications the committee deems appropriate, including as required under the Companies Law;</w:t>
      </w:r>
    </w:p>
    <w:p>
      <w:pPr>
        <w:spacing w:after="0" w:line="179" w:lineRule="exact"/>
        <w:rPr>
          <w:rFonts w:ascii="Arial" w:cs="Arial" w:eastAsia="Arial" w:hAnsi="Arial"/>
          <w:sz w:val="17"/>
          <w:szCs w:val="17"/>
          <w:color w:val="auto"/>
        </w:rPr>
      </w:pPr>
    </w:p>
    <w:p>
      <w:pPr>
        <w:jc w:val="both"/>
        <w:ind w:left="740" w:hanging="325"/>
        <w:spacing w:after="0" w:line="257" w:lineRule="auto"/>
        <w:tabs>
          <w:tab w:leader="none" w:pos="7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reviewing and approving the granting of options and other incentive awards to our Chief Executive Officer and other executive officers, including reviewing and approving corporate goals and objectives relevant to the compensation of our Chief Executive Officer and other executive officers, including evaluating their performance in light of such goals and objectives;</w:t>
      </w:r>
    </w:p>
    <w:p>
      <w:pPr>
        <w:spacing w:after="0" w:line="175" w:lineRule="exact"/>
        <w:rPr>
          <w:rFonts w:ascii="Arial" w:cs="Arial" w:eastAsia="Arial" w:hAnsi="Arial"/>
          <w:sz w:val="17"/>
          <w:szCs w:val="17"/>
          <w:color w:val="auto"/>
        </w:rPr>
      </w:pPr>
    </w:p>
    <w:p>
      <w:pPr>
        <w:ind w:left="740" w:hanging="325"/>
        <w:spacing w:after="0"/>
        <w:tabs>
          <w:tab w:leader="none" w:pos="7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Reviewing and making recommendations to the Board regarding director compensation.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12" w:name="page113"/>
    <w:bookmarkEnd w:id="112"/>
    <w:p>
      <w:pPr>
        <w:ind w:left="740" w:hanging="325"/>
        <w:spacing w:after="0"/>
        <w:tabs>
          <w:tab w:leader="none" w:pos="7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approving and exempting certain transactions regarding office holders’ compensation pursuant to the Companies Law; and</w:t>
      </w:r>
    </w:p>
    <w:p>
      <w:pPr>
        <w:spacing w:after="0" w:line="206" w:lineRule="exact"/>
        <w:rPr>
          <w:rFonts w:ascii="Arial" w:cs="Arial" w:eastAsia="Arial" w:hAnsi="Arial"/>
          <w:sz w:val="17"/>
          <w:szCs w:val="17"/>
          <w:color w:val="auto"/>
        </w:rPr>
      </w:pPr>
    </w:p>
    <w:p>
      <w:pPr>
        <w:ind w:left="740" w:right="300" w:hanging="325"/>
        <w:spacing w:after="0" w:line="257" w:lineRule="auto"/>
        <w:tabs>
          <w:tab w:leader="none" w:pos="7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administering our equity-based compensation plans, including without limitation, approving the adoption of such plans, amending and interpreting such plans and the awards and agreements issued pursuant thereto, and making awards to eligible persons under the plans and determining the terms of such awards.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Compensation Policy under the Companies Law</w:t>
      </w:r>
    </w:p>
    <w:p>
      <w:pPr>
        <w:spacing w:after="0" w:line="20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general, under the Companies Law, a public company must have a compensation policy approved by the board of directors after receiving and considering the recommendations of the compensation committee. In addition, our compensation policy must be approved at least once every three years, first, by our board of directors, upon the recommendation of our compensation committee, and second, by a simple majority of the ordinary shares present, in person or by proxy, and voting (excluding abstentions) at a general meeting of shareholders, provided that either:</w:t>
      </w:r>
    </w:p>
    <w:p>
      <w:pPr>
        <w:spacing w:after="0" w:line="180" w:lineRule="exact"/>
        <w:rPr>
          <w:sz w:val="20"/>
          <w:szCs w:val="20"/>
          <w:color w:val="auto"/>
        </w:rPr>
      </w:pPr>
    </w:p>
    <w:p>
      <w:pPr>
        <w:ind w:left="740" w:right="460" w:hanging="325"/>
        <w:spacing w:after="0" w:line="268" w:lineRule="auto"/>
        <w:tabs>
          <w:tab w:leader="none" w:pos="7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such majority includes at least a majority of the shares held by shareholders who are not controlling shareholders and shareholders who do not have a personal interest in such compensation policy; or</w:t>
      </w:r>
    </w:p>
    <w:p>
      <w:pPr>
        <w:spacing w:after="0" w:line="165" w:lineRule="exact"/>
        <w:rPr>
          <w:rFonts w:ascii="Arial" w:cs="Arial" w:eastAsia="Arial" w:hAnsi="Arial"/>
          <w:sz w:val="17"/>
          <w:szCs w:val="17"/>
          <w:color w:val="auto"/>
        </w:rPr>
      </w:pPr>
    </w:p>
    <w:p>
      <w:pPr>
        <w:ind w:left="740" w:right="200" w:hanging="325"/>
        <w:spacing w:after="0" w:line="268" w:lineRule="auto"/>
        <w:tabs>
          <w:tab w:leader="none" w:pos="7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total number of shares of non-controlling shareholders and shareholders who do not have a personal interest in the compensation policy and who vote against the policy does not exceed two percent (2%) of the aggregate voting rights in the Company.</w:t>
      </w:r>
    </w:p>
    <w:p>
      <w:pPr>
        <w:spacing w:after="0" w:line="166" w:lineRule="exact"/>
        <w:rPr>
          <w:sz w:val="20"/>
          <w:szCs w:val="20"/>
          <w:color w:val="auto"/>
        </w:rPr>
      </w:pPr>
    </w:p>
    <w:p>
      <w:pPr>
        <w:ind w:right="160" w:firstLine="410"/>
        <w:spacing w:after="0" w:line="257" w:lineRule="auto"/>
        <w:rPr>
          <w:sz w:val="20"/>
          <w:szCs w:val="20"/>
          <w:color w:val="auto"/>
        </w:rPr>
      </w:pPr>
      <w:r>
        <w:rPr>
          <w:rFonts w:ascii="Arial" w:cs="Arial" w:eastAsia="Arial" w:hAnsi="Arial"/>
          <w:sz w:val="17"/>
          <w:szCs w:val="17"/>
          <w:color w:val="auto"/>
        </w:rPr>
        <w:t>Under special circumstances, the board of directors may approve the compensation policy 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w:t>
      </w:r>
    </w:p>
    <w:p>
      <w:pPr>
        <w:spacing w:after="0" w:line="175" w:lineRule="exact"/>
        <w:rPr>
          <w:sz w:val="20"/>
          <w:szCs w:val="20"/>
          <w:color w:val="auto"/>
        </w:rPr>
      </w:pPr>
    </w:p>
    <w:p>
      <w:pPr>
        <w:jc w:val="both"/>
        <w:ind w:right="120" w:firstLine="410"/>
        <w:spacing w:after="0" w:line="253" w:lineRule="auto"/>
        <w:rPr>
          <w:sz w:val="20"/>
          <w:szCs w:val="20"/>
          <w:color w:val="auto"/>
        </w:rPr>
      </w:pPr>
      <w:r>
        <w:rPr>
          <w:rFonts w:ascii="Arial" w:cs="Arial" w:eastAsia="Arial" w:hAnsi="Arial"/>
          <w:sz w:val="17"/>
          <w:szCs w:val="17"/>
          <w:color w:val="auto"/>
        </w:rPr>
        <w:t>If a company that initially offers its securities to the public, like us, adopts a compensation policy in advance of its initial public offering, and describes it in its prospectus for such offering, then such compensation policy shall be deemed a validly adopted policy in accordance with the Companies Law requirements described above. Furthermore, if the compensation policy is established in accordance with the aforementioned relief, then it will remain in effect for a term of five years from the date such company becomes a public company.</w:t>
      </w:r>
    </w:p>
    <w:p>
      <w:pPr>
        <w:spacing w:after="0" w:line="180" w:lineRule="exact"/>
        <w:rPr>
          <w:sz w:val="20"/>
          <w:szCs w:val="20"/>
          <w:color w:val="auto"/>
        </w:rPr>
      </w:pPr>
    </w:p>
    <w:p>
      <w:pPr>
        <w:ind w:right="40" w:firstLine="410"/>
        <w:spacing w:after="0" w:line="249" w:lineRule="auto"/>
        <w:rPr>
          <w:sz w:val="20"/>
          <w:szCs w:val="20"/>
          <w:color w:val="auto"/>
        </w:rPr>
      </w:pPr>
      <w:r>
        <w:rPr>
          <w:rFonts w:ascii="Arial" w:cs="Arial" w:eastAsia="Arial" w:hAnsi="Arial"/>
          <w:sz w:val="17"/>
          <w:szCs w:val="17"/>
          <w:color w:val="auto"/>
        </w:rPr>
        <w:t>The compensation policy must be based on certain considerations, include certain provisions and reference certain matters as set forth in the Companies Law. 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spacing w:after="0" w:line="185" w:lineRule="exact"/>
        <w:rPr>
          <w:sz w:val="20"/>
          <w:szCs w:val="20"/>
          <w:color w:val="auto"/>
        </w:rPr>
      </w:pPr>
    </w:p>
    <w:p>
      <w:pPr>
        <w:ind w:left="740" w:hanging="325"/>
        <w:spacing w:after="0"/>
        <w:tabs>
          <w:tab w:leader="none" w:pos="7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education, skills, experience, expertise and accomplishments of the relevant office holder;</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office holder’s position and responsibilities;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prior compensation agreements with the office holder;</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13" w:name="page114"/>
    <w:bookmarkEnd w:id="113"/>
    <w:p>
      <w:pPr>
        <w:ind w:left="740" w:right="20" w:hanging="325"/>
        <w:spacing w:after="0" w:line="280" w:lineRule="auto"/>
        <w:tabs>
          <w:tab w:leader="none" w:pos="7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ratio between the cost of the terms of employment of an office holder and the cost of the employment of other employees of the company, including employees employed through contractors who provide services to the company, in particular the ratio between such cost to the average and median salary of such employees of the company, as well as the impact of disparities between them on the work relationships in the company;</w:t>
      </w:r>
    </w:p>
    <w:p>
      <w:pPr>
        <w:spacing w:after="0" w:line="159" w:lineRule="exact"/>
        <w:rPr>
          <w:rFonts w:ascii="Arial" w:cs="Arial" w:eastAsia="Arial" w:hAnsi="Arial"/>
          <w:sz w:val="16"/>
          <w:szCs w:val="16"/>
          <w:color w:val="auto"/>
        </w:rPr>
      </w:pPr>
    </w:p>
    <w:p>
      <w:pPr>
        <w:ind w:left="740" w:right="200" w:hanging="325"/>
        <w:spacing w:after="0" w:line="268" w:lineRule="auto"/>
        <w:tabs>
          <w:tab w:leader="none" w:pos="7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the terms of employment include variable components — the possibility of reducing variable components at the discretion of the board of directors and the possibility of setting a limit on the value of non-cash variable equity-based components; and</w:t>
      </w:r>
    </w:p>
    <w:p>
      <w:pPr>
        <w:spacing w:after="0" w:line="165" w:lineRule="exact"/>
        <w:rPr>
          <w:rFonts w:ascii="Arial" w:cs="Arial" w:eastAsia="Arial" w:hAnsi="Arial"/>
          <w:sz w:val="17"/>
          <w:szCs w:val="17"/>
          <w:color w:val="auto"/>
        </w:rPr>
      </w:pPr>
    </w:p>
    <w:p>
      <w:pPr>
        <w:ind w:left="740" w:right="400" w:hanging="325"/>
        <w:spacing w:after="0" w:line="280" w:lineRule="auto"/>
        <w:tabs>
          <w:tab w:leader="none" w:pos="7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the terms of employment include severance compensation — the term of employment or office of the office holder, the terms of the office holder’s compensation during such period, the company’s performance during such period, the office holder’s individual contribution to the achievement of the company goals and the maximization of its profits and the circumstances under which he or she is leaving the company.</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compensation policy must also include, among other things:</w:t>
      </w:r>
    </w:p>
    <w:p>
      <w:pPr>
        <w:spacing w:after="0" w:line="206" w:lineRule="exact"/>
        <w:rPr>
          <w:sz w:val="20"/>
          <w:szCs w:val="20"/>
          <w:color w:val="auto"/>
        </w:rPr>
      </w:pPr>
    </w:p>
    <w:p>
      <w:pPr>
        <w:ind w:left="740" w:hanging="325"/>
        <w:spacing w:after="0"/>
        <w:tabs>
          <w:tab w:leader="none" w:pos="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with regards to variable components:</w:t>
      </w:r>
    </w:p>
    <w:p>
      <w:pPr>
        <w:spacing w:after="0" w:line="206" w:lineRule="exact"/>
        <w:rPr>
          <w:rFonts w:ascii="Arial" w:cs="Arial" w:eastAsia="Arial" w:hAnsi="Arial"/>
          <w:sz w:val="17"/>
          <w:szCs w:val="17"/>
          <w:color w:val="auto"/>
        </w:rPr>
      </w:pPr>
    </w:p>
    <w:p>
      <w:pPr>
        <w:ind w:left="1040" w:hanging="324"/>
        <w:spacing w:after="0" w:line="253" w:lineRule="auto"/>
        <w:tabs>
          <w:tab w:leader="none" w:pos="1040" w:val="left"/>
        </w:tabs>
        <w:numPr>
          <w:ilvl w:val="1"/>
          <w:numId w:val="69"/>
        </w:numPr>
        <w:rPr>
          <w:rFonts w:ascii="Arial" w:cs="Arial" w:eastAsia="Arial" w:hAnsi="Arial"/>
          <w:sz w:val="17"/>
          <w:szCs w:val="17"/>
          <w:color w:val="auto"/>
        </w:rPr>
      </w:pPr>
      <w:r>
        <w:rPr>
          <w:rFonts w:ascii="Arial" w:cs="Arial" w:eastAsia="Arial" w:hAnsi="Arial"/>
          <w:sz w:val="17"/>
          <w:szCs w:val="17"/>
          <w:color w:val="auto"/>
        </w:rPr>
        <w:t>with the exception of office holders who report to the chief executive officer, a means of determining the variable components on the basis of long-term performance and measurable criteria; provided that the company may determine that an immaterial part of the variable components of the compensation package of an office holder shall be awarded based on non-measurable criteria, or if such amount is not higher than three months’ salary per annum, taking into account such office holder’s contribution to the company; and</w:t>
      </w:r>
    </w:p>
    <w:p>
      <w:pPr>
        <w:spacing w:after="0" w:line="179" w:lineRule="exact"/>
        <w:rPr>
          <w:rFonts w:ascii="Arial" w:cs="Arial" w:eastAsia="Arial" w:hAnsi="Arial"/>
          <w:sz w:val="17"/>
          <w:szCs w:val="17"/>
          <w:color w:val="auto"/>
        </w:rPr>
      </w:pPr>
    </w:p>
    <w:p>
      <w:pPr>
        <w:ind w:left="1040" w:right="40" w:hanging="324"/>
        <w:spacing w:after="0" w:line="268" w:lineRule="auto"/>
        <w:tabs>
          <w:tab w:leader="none" w:pos="1040"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ratio between variable and fixed components, as well as the limit of the values of variable components at the time of their payment, or in the case of equity-based compensation, at the time of grant;</w:t>
      </w:r>
    </w:p>
    <w:p>
      <w:pPr>
        <w:spacing w:after="0" w:line="165" w:lineRule="exact"/>
        <w:rPr>
          <w:rFonts w:ascii="Arial" w:cs="Arial" w:eastAsia="Arial" w:hAnsi="Arial"/>
          <w:sz w:val="17"/>
          <w:szCs w:val="17"/>
          <w:color w:val="auto"/>
        </w:rPr>
      </w:pPr>
    </w:p>
    <w:p>
      <w:pPr>
        <w:ind w:left="740" w:hanging="325"/>
        <w:spacing w:after="0" w:line="257" w:lineRule="auto"/>
        <w:tabs>
          <w:tab w:leader="none" w:pos="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condition under which the office holder will return to the company, according to conditions to be set forth in the compensation policy, any amounts paid as part of the office holder’s terms of employment, if such amounts were paid based on information later to be discovered to be wrong, and such information was restated in the company’s financial statements;</w:t>
      </w:r>
    </w:p>
    <w:p>
      <w:pPr>
        <w:spacing w:after="0" w:line="175" w:lineRule="exact"/>
        <w:rPr>
          <w:rFonts w:ascii="Arial" w:cs="Arial" w:eastAsia="Arial" w:hAnsi="Arial"/>
          <w:sz w:val="17"/>
          <w:szCs w:val="17"/>
          <w:color w:val="auto"/>
        </w:rPr>
      </w:pPr>
    </w:p>
    <w:p>
      <w:pPr>
        <w:ind w:left="740" w:right="80" w:hanging="325"/>
        <w:spacing w:after="0" w:line="268" w:lineRule="auto"/>
        <w:tabs>
          <w:tab w:leader="none" w:pos="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minimum holding or vesting period of variable equity-based components to be set in the terms of office or employment, as applicable, while taking into consideration long-term incentives; and</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limit to retirement grants.</w:t>
      </w:r>
    </w:p>
    <w:p>
      <w:pPr>
        <w:spacing w:after="0" w:line="206" w:lineRule="exact"/>
        <w:rPr>
          <w:sz w:val="20"/>
          <w:szCs w:val="20"/>
          <w:color w:val="auto"/>
        </w:rPr>
      </w:pPr>
    </w:p>
    <w:p>
      <w:pPr>
        <w:ind w:firstLine="410"/>
        <w:spacing w:after="0" w:line="269" w:lineRule="auto"/>
        <w:rPr>
          <w:sz w:val="20"/>
          <w:szCs w:val="20"/>
          <w:color w:val="auto"/>
        </w:rPr>
      </w:pPr>
      <w:r>
        <w:rPr>
          <w:rFonts w:ascii="Arial" w:cs="Arial" w:eastAsia="Arial" w:hAnsi="Arial"/>
          <w:sz w:val="16"/>
          <w:szCs w:val="16"/>
          <w:color w:val="auto"/>
        </w:rPr>
        <w:t>Our compensation policy is designed to promote retention and motivation of directors and executive officers, incentivize superior individual excellence, align the interests of our directors and executive officers with our long-term performance and provide a risk management tool. To that end, a portion of our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and performance based vesting for equity-based compensation.</w:t>
      </w:r>
    </w:p>
    <w:p>
      <w:pPr>
        <w:spacing w:after="0" w:line="169" w:lineRule="exact"/>
        <w:rPr>
          <w:sz w:val="20"/>
          <w:szCs w:val="20"/>
          <w:color w:val="auto"/>
        </w:rPr>
      </w:pPr>
    </w:p>
    <w:p>
      <w:pPr>
        <w:ind w:firstLine="410"/>
        <w:spacing w:after="0" w:line="290" w:lineRule="auto"/>
        <w:rPr>
          <w:sz w:val="20"/>
          <w:szCs w:val="20"/>
          <w:color w:val="auto"/>
        </w:rPr>
      </w:pPr>
      <w:r>
        <w:rPr>
          <w:rFonts w:ascii="Arial" w:cs="Arial" w:eastAsia="Arial" w:hAnsi="Arial"/>
          <w:sz w:val="15"/>
          <w:szCs w:val="15"/>
          <w:color w:val="auto"/>
        </w:rPr>
        <w:t>Our compensation policy also addresses our executive officers’ individual characteristics (such as their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and other cash bonuses (such as a signing bonus and special bonuses with respect to any special achievements, such as outstanding personal achievement, outstanding personal effort or outstanding company performance), equity-based compensation, benefits and retirement and termination of service arrangements. All cash bonuses are limited to a maximum amount linked to the executive officer’s base salary.</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4" w:name="page115"/>
    <w:bookmarkEnd w:id="114"/>
    <w:p>
      <w:pPr>
        <w:jc w:val="both"/>
        <w:ind w:firstLine="410"/>
        <w:spacing w:after="0" w:line="271" w:lineRule="auto"/>
        <w:rPr>
          <w:sz w:val="20"/>
          <w:szCs w:val="20"/>
          <w:color w:val="auto"/>
        </w:rPr>
      </w:pPr>
      <w:r>
        <w:rPr>
          <w:rFonts w:ascii="Arial" w:cs="Arial" w:eastAsia="Arial" w:hAnsi="Arial"/>
          <w:sz w:val="16"/>
          <w:szCs w:val="16"/>
          <w:color w:val="auto"/>
        </w:rPr>
        <w:t>An annual cash bonus may be awarded to executive officers upon the attainment of pre-set periodic objectives and individual targets. The annual cash bonus that may be granted to our executive officers other than our Chief Executive Officer will be based on performance objectives and a discretionary evaluation of the executive officer’s overall performance by our Chief Executive Officer and subject to minimum thresholds. The annual cash bonus that may be granted to executive officers other than our Chief Executive Officer may alternatively be based entirely on a discretionary evaluation. Furthermore, our Chief Executive Officer will be entitled to approve performance objectives for executive officers who report to him.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measurable performance objectives of our Chief Executive Officer will be determined annually by our compensation committee and board of directors.</w:t>
      </w:r>
    </w:p>
    <w:p>
      <w:pPr>
        <w:spacing w:after="0" w:line="29"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A non-material portion of the Chief Executive Officer’s annual cash bonus, as provided in our compensation policy, may be based on a discretionary evaluation of the Chief Executive Officer’s overall performance by the compensation committee and the board of directors.</w:t>
      </w:r>
    </w:p>
    <w:p>
      <w:pPr>
        <w:spacing w:after="0" w:line="178" w:lineRule="exact"/>
        <w:rPr>
          <w:sz w:val="20"/>
          <w:szCs w:val="20"/>
          <w:color w:val="auto"/>
        </w:rPr>
      </w:pPr>
    </w:p>
    <w:p>
      <w:pPr>
        <w:ind w:firstLine="410"/>
        <w:spacing w:after="0" w:line="250" w:lineRule="auto"/>
        <w:rPr>
          <w:sz w:val="20"/>
          <w:szCs w:val="20"/>
          <w:color w:val="auto"/>
        </w:rPr>
      </w:pPr>
      <w:r>
        <w:rPr>
          <w:rFonts w:ascii="Arial" w:cs="Arial" w:eastAsia="Arial" w:hAnsi="Arial"/>
          <w:sz w:val="17"/>
          <w:szCs w:val="17"/>
          <w:color w:val="auto"/>
        </w:rPr>
        <w:t>The equity-based compensation under our compensation policy for our executive officers (including members of our board of directors) is designed in a manner consistent with the underlying objectives in 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 term. Our compensation policy provides for executive officer compensation in the form of share options or other equity-based awards, such as restricted shares and restricted share units, in accordance with our equity incentive plan then in place. The equity-based compensation shall be granted from time to time and be individually determined and awarded according to the performance, educational background, prior business experience, qualifications, role and the personal responsibilities of the executive officer.</w:t>
      </w:r>
    </w:p>
    <w:p>
      <w:pPr>
        <w:spacing w:after="0" w:line="181" w:lineRule="exact"/>
        <w:rPr>
          <w:sz w:val="20"/>
          <w:szCs w:val="20"/>
          <w:color w:val="auto"/>
        </w:rPr>
      </w:pPr>
    </w:p>
    <w:p>
      <w:pPr>
        <w:ind w:right="300" w:firstLine="410"/>
        <w:spacing w:after="0" w:line="274" w:lineRule="auto"/>
        <w:rPr>
          <w:sz w:val="20"/>
          <w:szCs w:val="20"/>
          <w:color w:val="auto"/>
        </w:rPr>
      </w:pPr>
      <w:r>
        <w:rPr>
          <w:rFonts w:ascii="Arial" w:cs="Arial" w:eastAsia="Arial" w:hAnsi="Arial"/>
          <w:sz w:val="16"/>
          <w:szCs w:val="16"/>
          <w:color w:val="auto"/>
        </w:rPr>
        <w:t>In addition, our compensation policy contains compensation recovery provisions which allow us under certain conditions to recover bonuses paid in excess, enable our Chief Executive Officer to approve an immaterial change in the terms of employment of an executive officer who reports directly him (provided that the changes of the terms of employment are in accordance with our compensation policy) and allow us to exculpate, indemnify and insure our executive officers and directors to the maximum extent permitted by Israeli law subject to certain limitations set forth therein.</w:t>
      </w:r>
    </w:p>
    <w:p>
      <w:pPr>
        <w:spacing w:after="0" w:line="164"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Our compensation policy also provides for compensation to the members of our board of directors either (i) in accordance with the amounts provided in the Companies Regulations (Rules Regarding the Compensation and Expenses of an External Director) of 2000, as amended by the Companies Regulations (Relief for Public Companies Traded in Stock Exchange Outside of Israel) of 2000, as such regulations may be amended from time to time, or (ii) in accordance with the amounts determined in our compensation policy.</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compensation policy was approved by our board of directors and shareholders and became effective upon the closing of our IPO.</w:t>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Nominating, Governance and Sustainability Committee</w:t>
      </w:r>
    </w:p>
    <w:p>
      <w:pPr>
        <w:spacing w:after="0" w:line="206"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Our nominating, governance and sustainability committee consists of Menashe Ezra, Jeff Horing, Ron Gutler and Michael Risman. Menashe Ezra serves as chairman of the nominating and governance committee. Our board of directors has adopted a nominating, governance and sustainability committee charter setting forth the responsibilities of the committee, which include:</w:t>
      </w:r>
    </w:p>
    <w:p>
      <w:pPr>
        <w:spacing w:after="0" w:line="175" w:lineRule="exact"/>
        <w:rPr>
          <w:sz w:val="20"/>
          <w:szCs w:val="20"/>
          <w:color w:val="auto"/>
        </w:rPr>
      </w:pPr>
    </w:p>
    <w:p>
      <w:pPr>
        <w:ind w:left="740" w:hanging="325"/>
        <w:spacing w:after="0"/>
        <w:tabs>
          <w:tab w:leader="none" w:pos="7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overseeing and assisting our board in reviewing and recommending nominees for election as directors;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overseeing the assessment of the performance of the members of our board;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5" w:name="page116"/>
    <w:bookmarkEnd w:id="115"/>
    <w:p>
      <w:pPr>
        <w:ind w:left="740" w:right="20" w:hanging="325"/>
        <w:spacing w:after="0" w:line="268" w:lineRule="auto"/>
        <w:tabs>
          <w:tab w:leader="none" w:pos="7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establishing and maintaining effective corporate governance policies and practices, including, but not limited to, developing and recommending to our board a set of corporate governance guidelines applicable to our business; and.</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overseeing our policies, programs and strategies related to environmental, social and governance matters (ESG)</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Auditor</w:t>
      </w:r>
    </w:p>
    <w:p>
      <w:pPr>
        <w:spacing w:after="0" w:line="210" w:lineRule="exact"/>
        <w:rPr>
          <w:sz w:val="20"/>
          <w:szCs w:val="20"/>
          <w:color w:val="auto"/>
        </w:rPr>
      </w:pPr>
    </w:p>
    <w:p>
      <w:pPr>
        <w:ind w:firstLine="410"/>
        <w:spacing w:after="0" w:line="268" w:lineRule="auto"/>
        <w:rPr>
          <w:sz w:val="20"/>
          <w:szCs w:val="20"/>
          <w:color w:val="auto"/>
        </w:rPr>
      </w:pPr>
      <w:r>
        <w:rPr>
          <w:rFonts w:ascii="Arial" w:cs="Arial" w:eastAsia="Arial" w:hAnsi="Arial"/>
          <w:sz w:val="16"/>
          <w:szCs w:val="16"/>
          <w:color w:val="auto"/>
        </w:rPr>
        <w:t>Under the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Companies Law, the internal auditor cannot be an interested party or an office holder or a relative of an interested party or an office holder, nor may the internal auditor be the company’s independent auditor or its representative.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chief executive officer of the company. As of December 31, 2021, Sharon Cohen, CPA from Deloitte IL &amp; Co, a firm in the Deloitte Global Network is acting as our internal auditor.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Approval of Related Party Transactions under Israeli Law</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Fiduciary duties of directors and Executive Officers</w:t>
      </w:r>
    </w:p>
    <w:p>
      <w:pPr>
        <w:spacing w:after="0" w:line="206" w:lineRule="exact"/>
        <w:rPr>
          <w:sz w:val="20"/>
          <w:szCs w:val="20"/>
          <w:color w:val="auto"/>
        </w:rPr>
      </w:pPr>
    </w:p>
    <w:p>
      <w:pPr>
        <w:jc w:val="both"/>
        <w:ind w:right="320" w:firstLine="410"/>
        <w:spacing w:after="0" w:line="257" w:lineRule="auto"/>
        <w:rPr>
          <w:sz w:val="20"/>
          <w:szCs w:val="20"/>
          <w:color w:val="auto"/>
        </w:rPr>
      </w:pPr>
      <w:r>
        <w:rPr>
          <w:rFonts w:ascii="Arial" w:cs="Arial" w:eastAsia="Arial" w:hAnsi="Arial"/>
          <w:sz w:val="17"/>
          <w:szCs w:val="17"/>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care includes, among other things, a duty to use reasonable means, in light of the circumstances, to obtain:</w:t>
      </w:r>
    </w:p>
    <w:p>
      <w:pPr>
        <w:spacing w:after="0" w:line="175" w:lineRule="exact"/>
        <w:rPr>
          <w:sz w:val="20"/>
          <w:szCs w:val="20"/>
          <w:color w:val="auto"/>
        </w:rPr>
      </w:pPr>
    </w:p>
    <w:p>
      <w:pPr>
        <w:ind w:left="740" w:hanging="325"/>
        <w:spacing w:after="0"/>
        <w:tabs>
          <w:tab w:leader="none" w:pos="7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information on the business advisability of a given action brought for his, her or its approval or performed by virtue of his, her or its position; and</w:t>
      </w:r>
    </w:p>
    <w:p>
      <w:pPr>
        <w:spacing w:after="0" w:line="217" w:lineRule="exact"/>
        <w:rPr>
          <w:rFonts w:ascii="Arial" w:cs="Arial" w:eastAsia="Arial" w:hAnsi="Arial"/>
          <w:sz w:val="16"/>
          <w:szCs w:val="16"/>
          <w:color w:val="auto"/>
        </w:rPr>
      </w:pPr>
    </w:p>
    <w:p>
      <w:pPr>
        <w:ind w:left="740" w:hanging="325"/>
        <w:spacing w:after="0"/>
        <w:tabs>
          <w:tab w:leader="none" w:pos="7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all other important information pertaining to such action.</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duty of loyalty requires that an office holder act in good faith and in the best interests of the company, and includes, among other things, the duty to:</w:t>
      </w:r>
    </w:p>
    <w:p>
      <w:pPr>
        <w:spacing w:after="0" w:line="218" w:lineRule="exact"/>
        <w:rPr>
          <w:sz w:val="20"/>
          <w:szCs w:val="20"/>
          <w:color w:val="auto"/>
        </w:rPr>
      </w:pPr>
    </w:p>
    <w:p>
      <w:pPr>
        <w:ind w:left="740" w:right="540" w:hanging="325"/>
        <w:spacing w:after="0" w:line="268" w:lineRule="auto"/>
        <w:tabs>
          <w:tab w:leader="none" w:pos="7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refrain from any act involving a conflict of interest between the performance of his, her or its duties in the company and his, her or its other duties or personal affairs;</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refrain from any activity that is competitive with the business of the company;</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73"/>
        </w:numPr>
        <w:rPr>
          <w:rFonts w:ascii="Arial" w:cs="Arial" w:eastAsia="Arial" w:hAnsi="Arial"/>
          <w:sz w:val="15"/>
          <w:szCs w:val="15"/>
          <w:color w:val="auto"/>
        </w:rPr>
      </w:pPr>
      <w:r>
        <w:rPr>
          <w:rFonts w:ascii="Arial" w:cs="Arial" w:eastAsia="Arial" w:hAnsi="Arial"/>
          <w:sz w:val="15"/>
          <w:szCs w:val="15"/>
          <w:color w:val="auto"/>
        </w:rPr>
        <w:t>refrain from exploiting any business opportunity of the company for the purpose of gaining a personal advantage for himself, herself or itself or others; and</w:t>
      </w:r>
    </w:p>
    <w:p>
      <w:pPr>
        <w:spacing w:after="0" w:line="229" w:lineRule="exact"/>
        <w:rPr>
          <w:rFonts w:ascii="Arial" w:cs="Arial" w:eastAsia="Arial" w:hAnsi="Arial"/>
          <w:sz w:val="15"/>
          <w:szCs w:val="15"/>
          <w:color w:val="auto"/>
        </w:rPr>
      </w:pPr>
    </w:p>
    <w:p>
      <w:pPr>
        <w:ind w:left="740" w:right="20" w:hanging="325"/>
        <w:spacing w:after="0" w:line="268" w:lineRule="auto"/>
        <w:tabs>
          <w:tab w:leader="none" w:pos="7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disclose to the company any information or documents relating to the company’s affairs which the office holder received as a result of his, her or its position as an office holder.</w:t>
      </w:r>
    </w:p>
    <w:p>
      <w:pPr>
        <w:spacing w:after="0" w:line="166" w:lineRule="exact"/>
        <w:rPr>
          <w:sz w:val="20"/>
          <w:szCs w:val="20"/>
          <w:color w:val="auto"/>
        </w:rPr>
      </w:pPr>
    </w:p>
    <w:p>
      <w:pPr>
        <w:ind w:right="160" w:firstLine="410"/>
        <w:spacing w:after="0" w:line="274" w:lineRule="auto"/>
        <w:rPr>
          <w:sz w:val="20"/>
          <w:szCs w:val="20"/>
          <w:color w:val="auto"/>
        </w:rPr>
      </w:pPr>
      <w:r>
        <w:rPr>
          <w:rFonts w:ascii="Arial" w:cs="Arial" w:eastAsia="Arial" w:hAnsi="Arial"/>
          <w:sz w:val="16"/>
          <w:szCs w:val="16"/>
          <w:color w:val="auto"/>
        </w:rPr>
        <w:t>Under the Companies Law, a company may approve an act specified above which would otherwise constitute a breach of the office holder’s duty of loyalty, provided that the office holder acted in good faith, neither the act nor its approval harms the company, and the office holder discloses his, her or its personal interest a sufficient time before the approval of such act. Any such approval is subject to the terms of the Companies Law setting forth, among other things, the appropriate bodies of the company required to provide such approval and the methods of obtaining such approval.</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b w:val="1"/>
          <w:bCs w:val="1"/>
          <w:i w:val="1"/>
          <w:iCs w:val="1"/>
          <w:color w:val="auto"/>
        </w:rPr>
        <w:t>Disclosure of Personal Interests of an Office Holder and Approval of Certain Transactions</w:t>
      </w:r>
    </w:p>
    <w:p>
      <w:pPr>
        <w:spacing w:after="0" w:line="206" w:lineRule="exact"/>
        <w:rPr>
          <w:sz w:val="20"/>
          <w:szCs w:val="20"/>
          <w:color w:val="auto"/>
        </w:rPr>
      </w:pPr>
    </w:p>
    <w:p>
      <w:pPr>
        <w:ind w:right="20" w:firstLine="410"/>
        <w:spacing w:after="0" w:line="268" w:lineRule="auto"/>
        <w:rPr>
          <w:sz w:val="20"/>
          <w:szCs w:val="20"/>
          <w:color w:val="auto"/>
        </w:rPr>
      </w:pPr>
      <w:r>
        <w:rPr>
          <w:rFonts w:ascii="Arial" w:cs="Arial" w:eastAsia="Arial" w:hAnsi="Arial"/>
          <w:sz w:val="16"/>
          <w:szCs w:val="16"/>
          <w:color w:val="auto"/>
        </w:rPr>
        <w:t>The Companies Law requires that an office holder promptly disclose to the board of directors any personal interest that such office holder may have and all related material information known to such office holder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such person has the right to appoint at 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the officer holder’s vote on behalf of a person for whom he or she holds a proxy even if such shareholder has no personal interest in the matter.</w:t>
      </w:r>
    </w:p>
    <w:p>
      <w:pPr>
        <w:spacing w:after="0" w:line="169" w:lineRule="exact"/>
        <w:rPr>
          <w:sz w:val="20"/>
          <w:szCs w:val="20"/>
          <w:color w:val="auto"/>
        </w:rPr>
      </w:pPr>
    </w:p>
    <w:p>
      <w:pPr>
        <w:ind w:right="540" w:firstLine="410"/>
        <w:spacing w:after="0" w:line="253" w:lineRule="auto"/>
        <w:rPr>
          <w:sz w:val="20"/>
          <w:szCs w:val="20"/>
          <w:color w:val="auto"/>
        </w:rPr>
      </w:pPr>
      <w:r>
        <w:rPr>
          <w:rFonts w:ascii="Arial" w:cs="Arial" w:eastAsia="Arial" w:hAnsi="Arial"/>
          <w:sz w:val="17"/>
          <w:szCs w:val="17"/>
          <w:color w:val="auto"/>
        </w:rPr>
        <w:t>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w:t>
      </w:r>
    </w:p>
    <w:p>
      <w:pPr>
        <w:spacing w:after="0" w:line="180" w:lineRule="exact"/>
        <w:rPr>
          <w:sz w:val="20"/>
          <w:szCs w:val="20"/>
          <w:color w:val="auto"/>
        </w:rPr>
      </w:pPr>
    </w:p>
    <w:p>
      <w:pPr>
        <w:jc w:val="both"/>
        <w:ind w:firstLine="410"/>
        <w:spacing w:after="0" w:line="257" w:lineRule="auto"/>
        <w:rPr>
          <w:sz w:val="20"/>
          <w:szCs w:val="20"/>
          <w:color w:val="auto"/>
        </w:rPr>
      </w:pPr>
      <w:r>
        <w:rPr>
          <w:rFonts w:ascii="Arial" w:cs="Arial" w:eastAsia="Arial" w:hAnsi="Arial"/>
          <w:sz w:val="17"/>
          <w:szCs w:val="17"/>
          <w:color w:val="auto"/>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spacing w:after="0" w:line="175" w:lineRule="exact"/>
        <w:rPr>
          <w:sz w:val="20"/>
          <w:szCs w:val="20"/>
          <w:color w:val="auto"/>
        </w:rPr>
      </w:pPr>
    </w:p>
    <w:p>
      <w:pPr>
        <w:ind w:right="220" w:firstLine="410"/>
        <w:spacing w:after="0" w:line="293" w:lineRule="auto"/>
        <w:rPr>
          <w:sz w:val="20"/>
          <w:szCs w:val="20"/>
          <w:color w:val="auto"/>
        </w:rPr>
      </w:pPr>
      <w:r>
        <w:rPr>
          <w:rFonts w:ascii="Arial" w:cs="Arial" w:eastAsia="Arial" w:hAnsi="Arial"/>
          <w:sz w:val="15"/>
          <w:szCs w:val="15"/>
          <w:color w:val="auto"/>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a majority of the directors or members of the audit committee, as applicable, have a personal interest in the matter. If a majority of the members of the audit committee or the board of directors have a personal interest in the matter, then all of the directors may participate in deliberations of the audit committee or board of directors, as applicable, with respect to such transaction and vote on the approval thereof and, in such case, shareholder approval is also required.</w:t>
      </w:r>
    </w:p>
    <w:p>
      <w:pPr>
        <w:spacing w:after="0" w:line="152" w:lineRule="exact"/>
        <w:rPr>
          <w:sz w:val="20"/>
          <w:szCs w:val="20"/>
          <w:color w:val="auto"/>
        </w:rPr>
      </w:pPr>
    </w:p>
    <w:p>
      <w:pPr>
        <w:ind w:right="60" w:firstLine="410"/>
        <w:spacing w:after="0" w:line="251" w:lineRule="auto"/>
        <w:rPr>
          <w:sz w:val="20"/>
          <w:szCs w:val="20"/>
          <w:color w:val="auto"/>
        </w:rPr>
      </w:pPr>
      <w:r>
        <w:rPr>
          <w:rFonts w:ascii="Arial" w:cs="Arial" w:eastAsia="Arial" w:hAnsi="Arial"/>
          <w:sz w:val="17"/>
          <w:szCs w:val="17"/>
          <w:color w:val="auto"/>
        </w:rPr>
        <w:t>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 For these purposes, a controlling shareholder is any shareholder that has the ability to direct the company’s actions, including any shareholder holding 25% or more of the voting rights if no other shareholder owns more than 50% of the voting rights in the company. Two or more shareholders with a personal interest in the approval of the same transaction are deemed to be one shareholder.</w:t>
      </w:r>
    </w:p>
    <w:p>
      <w:pPr>
        <w:spacing w:after="0" w:line="183" w:lineRule="exact"/>
        <w:rPr>
          <w:sz w:val="20"/>
          <w:szCs w:val="20"/>
          <w:color w:val="auto"/>
        </w:rPr>
      </w:pPr>
    </w:p>
    <w:p>
      <w:pPr>
        <w:ind w:right="320" w:firstLine="410"/>
        <w:spacing w:after="0" w:line="268" w:lineRule="auto"/>
        <w:rPr>
          <w:sz w:val="20"/>
          <w:szCs w:val="20"/>
          <w:color w:val="auto"/>
        </w:rPr>
      </w:pPr>
      <w:r>
        <w:rPr>
          <w:rFonts w:ascii="Arial" w:cs="Arial" w:eastAsia="Arial" w:hAnsi="Arial"/>
          <w:sz w:val="17"/>
          <w:szCs w:val="17"/>
          <w:color w:val="auto"/>
        </w:rPr>
        <w:t>For a description of the approvals required under Israeli law for compensation arrangements of officers and directors, see “—Compensation of Directors and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Shareholder Duties</w:t>
      </w:r>
    </w:p>
    <w:p>
      <w:pPr>
        <w:spacing w:after="0" w:line="206"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Pursuant to the Companies Law, a shareholder has a duty to act in good faith and in a customary manner toward the company and other shareholders and to refrain from abusing his or her power with respect to the company, including, among other things, in voting at a general meeting and at shareholder class meetings with respect to the following matters:</w:t>
      </w:r>
    </w:p>
    <w:p>
      <w:pPr>
        <w:spacing w:after="0" w:line="175" w:lineRule="exact"/>
        <w:rPr>
          <w:sz w:val="20"/>
          <w:szCs w:val="20"/>
          <w:color w:val="auto"/>
        </w:rPr>
      </w:pPr>
    </w:p>
    <w:p>
      <w:pPr>
        <w:ind w:left="740" w:hanging="325"/>
        <w:spacing w:after="0"/>
        <w:tabs>
          <w:tab w:leader="none" w:pos="7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 amendment to the company’s articles of association;</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 increase of the company’s authorized share capital;</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merger; or</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interested party transactions that require shareholder approval.</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17" w:name="page118"/>
    <w:bookmarkEnd w:id="117"/>
    <w:p>
      <w:pPr>
        <w:ind w:left="420"/>
        <w:spacing w:after="0"/>
        <w:rPr>
          <w:sz w:val="20"/>
          <w:szCs w:val="20"/>
          <w:color w:val="auto"/>
        </w:rPr>
      </w:pPr>
      <w:r>
        <w:rPr>
          <w:rFonts w:ascii="Arial" w:cs="Arial" w:eastAsia="Arial" w:hAnsi="Arial"/>
          <w:sz w:val="17"/>
          <w:szCs w:val="17"/>
          <w:color w:val="auto"/>
        </w:rPr>
        <w:t>In addition, a shareholder has a general duty to refrain from discriminating against other shareholders.</w:t>
      </w:r>
    </w:p>
    <w:p>
      <w:pPr>
        <w:spacing w:after="0" w:line="206" w:lineRule="exact"/>
        <w:rPr>
          <w:sz w:val="20"/>
          <w:szCs w:val="20"/>
          <w:color w:val="auto"/>
        </w:rPr>
      </w:pPr>
    </w:p>
    <w:p>
      <w:pPr>
        <w:ind w:firstLine="410"/>
        <w:spacing w:after="0" w:line="251" w:lineRule="auto"/>
        <w:rPr>
          <w:sz w:val="20"/>
          <w:szCs w:val="20"/>
          <w:color w:val="auto"/>
        </w:rPr>
      </w:pPr>
      <w:r>
        <w:rPr>
          <w:rFonts w:ascii="Arial" w:cs="Arial" w:eastAsia="Arial" w:hAnsi="Arial"/>
          <w:sz w:val="17"/>
          <w:szCs w:val="17"/>
          <w:color w:val="auto"/>
        </w:rPr>
        <w:t>Certain shareholders also have a duty of fairness toward the company. These shareholders include any controlling shareholder, any shareholder who knows that it has the power to determine the outcome of a shareholder vote and any shareholder who has the power to appoint or to prevent the appointment of an office holder of the company or exercise any other rights available to it under the company’s articles of association with respect to the company. The Companies Law does not define the substance of this duty of fairness, except to state that the remedies generally available upon a breach of contract will also apply in the event of a breach of the duty of fairness.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Exculpation, Insurance and Indemnification of Office Holders</w:t>
      </w:r>
    </w:p>
    <w:p>
      <w:pPr>
        <w:spacing w:after="0" w:line="206"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of Association include such a provision. An Israeli company may not exculpate a director from liability arising out of a prohibited dividend or distribution to shareholders.</w:t>
      </w:r>
    </w:p>
    <w:p>
      <w:pPr>
        <w:spacing w:after="0" w:line="180" w:lineRule="exact"/>
        <w:rPr>
          <w:sz w:val="20"/>
          <w:szCs w:val="20"/>
          <w:color w:val="auto"/>
        </w:rPr>
      </w:pPr>
    </w:p>
    <w:p>
      <w:pPr>
        <w:ind w:right="140" w:firstLine="410"/>
        <w:spacing w:after="0" w:line="299" w:lineRule="auto"/>
        <w:rPr>
          <w:sz w:val="20"/>
          <w:szCs w:val="20"/>
          <w:color w:val="auto"/>
        </w:rPr>
      </w:pPr>
      <w:r>
        <w:rPr>
          <w:rFonts w:ascii="Arial" w:cs="Arial" w:eastAsia="Arial" w:hAnsi="Arial"/>
          <w:sz w:val="16"/>
          <w:szCs w:val="16"/>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144" w:lineRule="exact"/>
        <w:rPr>
          <w:sz w:val="20"/>
          <w:szCs w:val="20"/>
          <w:color w:val="auto"/>
        </w:rPr>
      </w:pPr>
    </w:p>
    <w:p>
      <w:pPr>
        <w:ind w:left="740" w:right="280" w:hanging="325"/>
        <w:spacing w:after="0" w:line="251" w:lineRule="auto"/>
        <w:tabs>
          <w:tab w:leader="none" w:pos="7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spacing w:after="0" w:line="182" w:lineRule="exact"/>
        <w:rPr>
          <w:rFonts w:ascii="Arial" w:cs="Arial" w:eastAsia="Arial" w:hAnsi="Arial"/>
          <w:sz w:val="17"/>
          <w:szCs w:val="17"/>
          <w:color w:val="auto"/>
        </w:rPr>
      </w:pPr>
    </w:p>
    <w:p>
      <w:pPr>
        <w:ind w:left="740" w:right="60" w:hanging="325"/>
        <w:spacing w:after="0" w:line="271" w:lineRule="auto"/>
        <w:tabs>
          <w:tab w:leader="none" w:pos="7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reasonable litigation expenses, including legal fees, incurred by the office holder (1) as a result of an investigation or proceeding instituted against him or her by an authority authorized to conduct such investigation or proceeding,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p>
      <w:pPr>
        <w:spacing w:after="0" w:line="166" w:lineRule="exact"/>
        <w:rPr>
          <w:rFonts w:ascii="Arial" w:cs="Arial" w:eastAsia="Arial" w:hAnsi="Arial"/>
          <w:sz w:val="16"/>
          <w:szCs w:val="16"/>
          <w:color w:val="auto"/>
        </w:rPr>
      </w:pPr>
    </w:p>
    <w:p>
      <w:pPr>
        <w:ind w:left="740" w:right="120" w:hanging="325"/>
        <w:spacing w:after="0" w:line="257" w:lineRule="auto"/>
        <w:tabs>
          <w:tab w:leader="none" w:pos="7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reasonable litigation expenses, including legal fees, incurred by the office holder or imposed by a court in proceedings instituted against him or her by the company, on its behalf or by a third-party or in connection with criminal proceedings in which the office holder was acquitted or as a result of a conviction for an offense that does not require proof of criminal intent; and</w:t>
      </w:r>
    </w:p>
    <w:p>
      <w:pPr>
        <w:spacing w:after="0" w:line="175" w:lineRule="exact"/>
        <w:rPr>
          <w:rFonts w:ascii="Arial" w:cs="Arial" w:eastAsia="Arial" w:hAnsi="Arial"/>
          <w:sz w:val="17"/>
          <w:szCs w:val="17"/>
          <w:color w:val="auto"/>
        </w:rPr>
      </w:pPr>
    </w:p>
    <w:p>
      <w:pPr>
        <w:ind w:left="740" w:right="140" w:hanging="325"/>
        <w:spacing w:after="0" w:line="257" w:lineRule="auto"/>
        <w:tabs>
          <w:tab w:leader="none" w:pos="7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8" w:name="page119"/>
    <w:bookmarkEnd w:id="118"/>
    <w:p>
      <w:pPr>
        <w:ind w:firstLine="410"/>
        <w:spacing w:after="0" w:line="268" w:lineRule="auto"/>
        <w:rPr>
          <w:sz w:val="20"/>
          <w:szCs w:val="20"/>
          <w:color w:val="auto"/>
        </w:rPr>
      </w:pPr>
      <w:r>
        <w:rPr>
          <w:rFonts w:ascii="Arial" w:cs="Arial" w:eastAsia="Arial" w:hAnsi="Arial"/>
          <w:sz w:val="17"/>
          <w:szCs w:val="17"/>
          <w:color w:val="auto"/>
        </w:rPr>
        <w:t>An Israeli company may insure an office holder against the following liabilities incurred for acts performed as an office holder if and to the extent provided in the company’s articles of association:</w:t>
      </w:r>
    </w:p>
    <w:p>
      <w:pPr>
        <w:spacing w:after="0" w:line="166" w:lineRule="exact"/>
        <w:rPr>
          <w:sz w:val="20"/>
          <w:szCs w:val="20"/>
          <w:color w:val="auto"/>
        </w:rPr>
      </w:pPr>
    </w:p>
    <w:p>
      <w:pPr>
        <w:ind w:left="740" w:right="40" w:hanging="325"/>
        <w:spacing w:after="0" w:line="268" w:lineRule="auto"/>
        <w:tabs>
          <w:tab w:leader="none" w:pos="7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 breach of the duty of loyalty to the company, to the extent that the office holder acted in good faith and had a reasonable basis to believe that the act would not prejudice the company;</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 breach of the duty of care to the company or to a third-party, including a breach arising out of the negligent conduct of the office holder;</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 financial liability imposed on the office holder in favor of a third-party;</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 financial liability imposed on the office holder in favor of a third-party harmed by a breach in an administrative proceeding; and</w:t>
      </w:r>
    </w:p>
    <w:p>
      <w:pPr>
        <w:spacing w:after="0" w:line="206" w:lineRule="exact"/>
        <w:rPr>
          <w:rFonts w:ascii="Arial" w:cs="Arial" w:eastAsia="Arial" w:hAnsi="Arial"/>
          <w:sz w:val="17"/>
          <w:szCs w:val="17"/>
          <w:color w:val="auto"/>
        </w:rPr>
      </w:pPr>
    </w:p>
    <w:p>
      <w:pPr>
        <w:ind w:left="740" w:right="120" w:hanging="325"/>
        <w:spacing w:after="0" w:line="268" w:lineRule="auto"/>
        <w:tabs>
          <w:tab w:leader="none" w:pos="7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expenses, including reasonable litigation expenses and legal fees, incurred by the office holder as a result of an administrative proceeding instituted against him or her, pursuant to certain provisions of the Israeli Securities Law.</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An Israeli company may not indemnify or insure an office holder against any of the following:</w:t>
      </w:r>
    </w:p>
    <w:p>
      <w:pPr>
        <w:spacing w:after="0" w:line="206" w:lineRule="exact"/>
        <w:rPr>
          <w:sz w:val="20"/>
          <w:szCs w:val="20"/>
          <w:color w:val="auto"/>
        </w:rPr>
      </w:pPr>
    </w:p>
    <w:p>
      <w:pPr>
        <w:ind w:left="740" w:right="380" w:hanging="325"/>
        <w:spacing w:after="0" w:line="268" w:lineRule="auto"/>
        <w:tabs>
          <w:tab w:leader="none" w:pos="7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breach of the duty of loyalty, except to the extent that the office holder acted in good faith and had a reasonable basis to believe that the act would not prejudice the company;</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 breach of the duty of care committed intentionally or recklessly, excluding a breach arising out of the negligent conduct of the office holder;</w:t>
      </w:r>
    </w:p>
    <w:p>
      <w:pPr>
        <w:spacing w:after="0" w:line="217" w:lineRule="exact"/>
        <w:rPr>
          <w:rFonts w:ascii="Arial" w:cs="Arial" w:eastAsia="Arial" w:hAnsi="Arial"/>
          <w:sz w:val="16"/>
          <w:szCs w:val="16"/>
          <w:color w:val="auto"/>
        </w:rPr>
      </w:pPr>
    </w:p>
    <w:p>
      <w:pPr>
        <w:ind w:left="740" w:hanging="325"/>
        <w:spacing w:after="0"/>
        <w:tabs>
          <w:tab w:leader="none" w:pos="7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 act or omission committed with intent to derive illegal personal benefit; or</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fine, monetary sanction or forfeit levied against the office holder.</w:t>
      </w:r>
    </w:p>
    <w:p>
      <w:pPr>
        <w:spacing w:after="0" w:line="206" w:lineRule="exact"/>
        <w:rPr>
          <w:sz w:val="20"/>
          <w:szCs w:val="20"/>
          <w:color w:val="auto"/>
        </w:rPr>
      </w:pPr>
    </w:p>
    <w:p>
      <w:pPr>
        <w:ind w:right="20" w:firstLine="410"/>
        <w:spacing w:after="0" w:line="293" w:lineRule="auto"/>
        <w:rPr>
          <w:sz w:val="20"/>
          <w:szCs w:val="20"/>
          <w:color w:val="auto"/>
        </w:rPr>
      </w:pPr>
      <w:r>
        <w:rPr>
          <w:rFonts w:ascii="Arial" w:cs="Arial" w:eastAsia="Arial" w:hAnsi="Arial"/>
          <w:sz w:val="15"/>
          <w:szCs w:val="15"/>
          <w:color w:val="auto"/>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does not require shareholder approval and may be approved by only the compensation committee if the engagement terms are determined in accordance with the company’s compensation policy, which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spacing w:after="0" w:line="152" w:lineRule="exact"/>
        <w:rPr>
          <w:sz w:val="20"/>
          <w:szCs w:val="20"/>
          <w:color w:val="auto"/>
        </w:rPr>
      </w:pPr>
    </w:p>
    <w:p>
      <w:pPr>
        <w:ind w:right="580" w:firstLine="410"/>
        <w:spacing w:after="0" w:line="257" w:lineRule="auto"/>
        <w:rPr>
          <w:sz w:val="20"/>
          <w:szCs w:val="20"/>
          <w:color w:val="auto"/>
        </w:rPr>
      </w:pPr>
      <w:r>
        <w:rPr>
          <w:rFonts w:ascii="Arial" w:cs="Arial" w:eastAsia="Arial" w:hAnsi="Arial"/>
          <w:sz w:val="17"/>
          <w:szCs w:val="17"/>
          <w:color w:val="auto"/>
        </w:rPr>
        <w:t>Our Articles of Association allow us to exculpate,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spacing w:after="0" w:line="175"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We have entered into indemnification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spacing w:after="0" w:line="180" w:lineRule="exact"/>
        <w:rPr>
          <w:sz w:val="20"/>
          <w:szCs w:val="20"/>
          <w:color w:val="auto"/>
        </w:rPr>
      </w:pPr>
    </w:p>
    <w:p>
      <w:pPr>
        <w:ind w:right="40" w:firstLine="410"/>
        <w:spacing w:after="0" w:line="268" w:lineRule="auto"/>
        <w:rPr>
          <w:sz w:val="20"/>
          <w:szCs w:val="20"/>
          <w:color w:val="auto"/>
        </w:rPr>
      </w:pPr>
      <w:r>
        <w:rPr>
          <w:rFonts w:ascii="Arial" w:cs="Arial" w:eastAsia="Arial" w:hAnsi="Arial"/>
          <w:sz w:val="16"/>
          <w:szCs w:val="16"/>
          <w:color w:val="auto"/>
        </w:rPr>
        <w:t>The maximum indemnification amount set forth in such agreements is limited to an amount equal to the higher of (i) 10% of our IPO’s valuation, (ii) 25% of our total shareholders’ equity as reflected in our most recent consolidated financial statements prior to the date on which the indemnity payment is made and (iii) 10% of our total market cap calculated based on the average closing price our ordinary shares over the 30 trading days prior to the actual payment, multiplied by the total number of our issued and outstanding shares as of the date of the payment (other than indemnification for an offering of securities to the public, including by a shareholder in a secondary offering, in which case the maximum indemnification amount is limited to the gross proceeds raised by us and/or any selling shareholder in such public offering). The maximum amount set forth in such agreements is in addition to any amount paid (if paid) under insurance and/or by a third-party pursuant to an indemnification arrangement.</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9" w:name="page120"/>
    <w:bookmarkEnd w:id="119"/>
    <w:p>
      <w:pPr>
        <w:ind w:right="300" w:firstLine="410"/>
        <w:spacing w:after="0" w:line="268" w:lineRule="auto"/>
        <w:rPr>
          <w:sz w:val="20"/>
          <w:szCs w:val="20"/>
          <w:color w:val="auto"/>
        </w:rPr>
      </w:pPr>
      <w:r>
        <w:rPr>
          <w:rFonts w:ascii="Arial" w:cs="Arial" w:eastAsia="Arial" w:hAnsi="Arial"/>
          <w:sz w:val="17"/>
          <w:szCs w:val="17"/>
          <w:color w:val="auto"/>
        </w:rPr>
        <w:t>In the opinion of the SEC, indemnification of directors and office holders for liabilities arising under the Securities Act, however, is against public policy and therefore unenforceable.</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D.  Employees</w:t>
      </w:r>
    </w:p>
    <w:p>
      <w:pPr>
        <w:spacing w:after="0" w:line="210" w:lineRule="exact"/>
        <w:rPr>
          <w:sz w:val="20"/>
          <w:szCs w:val="20"/>
          <w:color w:val="auto"/>
        </w:rPr>
      </w:pPr>
    </w:p>
    <w:p>
      <w:pPr>
        <w:ind w:right="140" w:firstLine="410"/>
        <w:spacing w:after="0" w:line="257" w:lineRule="auto"/>
        <w:rPr>
          <w:sz w:val="20"/>
          <w:szCs w:val="20"/>
          <w:color w:val="auto"/>
        </w:rPr>
      </w:pPr>
      <w:r>
        <w:rPr>
          <w:rFonts w:ascii="Arial" w:cs="Arial" w:eastAsia="Arial" w:hAnsi="Arial"/>
          <w:sz w:val="17"/>
          <w:szCs w:val="17"/>
          <w:color w:val="auto"/>
        </w:rPr>
        <w:t>We employ a growing and highly-skilled employee base, including our sales force and engineers and promote a culture of innovation to continuously enhance our services and commercial footprint. Our human capital objectives include, as applicable, identifying, recruiting, retaining, incentivizing and integrating our current and new employees.</w:t>
      </w:r>
    </w:p>
    <w:p>
      <w:pPr>
        <w:spacing w:after="0" w:line="175"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As of December 31, 2021, we had approximately 1,210 full-time employees. Employee turnover has not had a material impact on our operations to date. None of our employees are represented by a trade or labor union. In certain countries in which we operate, we are subject to local labor law requirements, which may automatically make our employees subject to industry-wide collective bargaining agreements. We have not experienced any work stoppages and we consider our relationship with our employees to be good.</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E.  Share Ownership</w:t>
      </w:r>
    </w:p>
    <w:p>
      <w:pPr>
        <w:spacing w:after="0" w:line="210" w:lineRule="exact"/>
        <w:rPr>
          <w:sz w:val="20"/>
          <w:szCs w:val="20"/>
          <w:color w:val="auto"/>
        </w:rPr>
      </w:pPr>
    </w:p>
    <w:p>
      <w:pPr>
        <w:ind w:right="440" w:firstLine="410"/>
        <w:spacing w:after="0" w:line="257" w:lineRule="auto"/>
        <w:rPr>
          <w:sz w:val="20"/>
          <w:szCs w:val="20"/>
          <w:color w:val="auto"/>
        </w:rPr>
      </w:pPr>
      <w:r>
        <w:rPr>
          <w:rFonts w:ascii="Arial" w:cs="Arial" w:eastAsia="Arial" w:hAnsi="Arial"/>
          <w:sz w:val="17"/>
          <w:szCs w:val="17"/>
          <w:color w:val="auto"/>
        </w:rPr>
        <w:t>For information regarding the share ownership of directors and officers, see Item 7.A. “Major Shareholders and Related Party Transactions—Major Shareholders.” For information as to our equity incentive plans, see Item 6.B. “Director, Senior Management and Employees—Compensation— Equity incentive plans.”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Major Shareholders and Related Party Transactions</w:t>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A.  Major Shareholders</w:t>
      </w:r>
    </w:p>
    <w:p>
      <w:pPr>
        <w:spacing w:after="0" w:line="210" w:lineRule="exact"/>
        <w:rPr>
          <w:sz w:val="20"/>
          <w:szCs w:val="20"/>
          <w:color w:val="auto"/>
        </w:rPr>
      </w:pPr>
    </w:p>
    <w:p>
      <w:pPr>
        <w:ind w:right="20" w:firstLine="410"/>
        <w:spacing w:after="0" w:line="271" w:lineRule="auto"/>
        <w:rPr>
          <w:sz w:val="20"/>
          <w:szCs w:val="20"/>
          <w:color w:val="auto"/>
        </w:rPr>
      </w:pPr>
      <w:r>
        <w:rPr>
          <w:rFonts w:ascii="Arial" w:cs="Arial" w:eastAsia="Arial" w:hAnsi="Arial"/>
          <w:sz w:val="16"/>
          <w:szCs w:val="16"/>
          <w:color w:val="auto"/>
        </w:rPr>
        <w:t>The beneficial ownership of ordinary shares is determined in accordance with the SEC rules and generally includes any ordinary shares over which a person exercises sole or shared voting or investment power. For purposes of the table below, we deem shares subject to options or warrants that are currently exercisable or exercisable within 60 days of February 28, 2022,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83,862,427 ordinary shares outstanding as of February 28, 2022.</w:t>
      </w:r>
    </w:p>
    <w:p>
      <w:pPr>
        <w:spacing w:after="0" w:line="166" w:lineRule="exact"/>
        <w:rPr>
          <w:sz w:val="20"/>
          <w:szCs w:val="20"/>
          <w:color w:val="auto"/>
        </w:rPr>
      </w:pPr>
    </w:p>
    <w:p>
      <w:pPr>
        <w:ind w:firstLine="410"/>
        <w:spacing w:after="0" w:line="268" w:lineRule="auto"/>
        <w:rPr>
          <w:sz w:val="20"/>
          <w:szCs w:val="20"/>
          <w:color w:val="auto"/>
        </w:rPr>
      </w:pPr>
      <w:r>
        <w:rPr>
          <w:rFonts w:ascii="Arial" w:cs="Arial" w:eastAsia="Arial" w:hAnsi="Arial"/>
          <w:sz w:val="17"/>
          <w:szCs w:val="17"/>
          <w:color w:val="auto"/>
        </w:rPr>
        <w:t>All of our shareholders, including the shareholders listed below, have the same voting rights attached to their ordinary shares. Unless otherwise noted below, each shareholder’s address is 1 Walter Moses St., Tel Aviv, 6789903, Israel.</w:t>
      </w:r>
    </w:p>
    <w:p>
      <w:pPr>
        <w:spacing w:after="0" w:line="166" w:lineRule="exact"/>
        <w:rPr>
          <w:sz w:val="20"/>
          <w:szCs w:val="20"/>
          <w:color w:val="auto"/>
        </w:rPr>
      </w:pPr>
    </w:p>
    <w:p>
      <w:pPr>
        <w:ind w:right="260" w:firstLine="410"/>
        <w:spacing w:after="0" w:line="268" w:lineRule="auto"/>
        <w:rPr>
          <w:sz w:val="20"/>
          <w:szCs w:val="20"/>
          <w:color w:val="auto"/>
        </w:rPr>
      </w:pPr>
      <w:r>
        <w:rPr>
          <w:rFonts w:ascii="Arial" w:cs="Arial" w:eastAsia="Arial" w:hAnsi="Arial"/>
          <w:sz w:val="17"/>
          <w:szCs w:val="17"/>
          <w:color w:val="auto"/>
        </w:rPr>
        <w:t>A description of any material relationship that our principal shareholders have had with us or any of our affiliates within the past three years is included under “Certain relationships and related party transactions.”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5427980"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27980" cy="1587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Principal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1845" cy="143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1845" cy="143510"/>
                    </a:xfrm>
                    <a:prstGeom prst="rect">
                      <a:avLst/>
                    </a:prstGeom>
                    <a:noFill/>
                  </pic:spPr>
                </pic:pic>
              </a:graphicData>
            </a:graphic>
          </wp:anchor>
        </w:drawing>
      </w:r>
    </w:p>
    <w:p>
      <w:pPr>
        <w:spacing w:after="0" w:line="209" w:lineRule="auto"/>
        <w:rPr>
          <w:sz w:val="20"/>
          <w:szCs w:val="20"/>
          <w:color w:val="auto"/>
        </w:rPr>
      </w:pPr>
      <w:r>
        <w:rPr>
          <w:rFonts w:ascii="Arial" w:cs="Arial" w:eastAsia="Arial" w:hAnsi="Arial"/>
          <w:sz w:val="17"/>
          <w:szCs w:val="17"/>
          <w:color w:val="auto"/>
        </w:rPr>
        <w:t>Entities Affiliated with Insight Partners</w:t>
      </w:r>
      <w:r>
        <w:rPr>
          <w:rFonts w:ascii="Arial" w:cs="Arial" w:eastAsia="Arial" w:hAnsi="Arial"/>
          <w:sz w:val="27"/>
          <w:szCs w:val="2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41845" cy="143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1845" cy="143510"/>
                    </a:xfrm>
                    <a:prstGeom prst="rect">
                      <a:avLst/>
                    </a:prstGeom>
                    <a:noFill/>
                  </pic:spPr>
                </pic:pic>
              </a:graphicData>
            </a:graphic>
          </wp:anchor>
        </w:drawing>
      </w:r>
    </w:p>
    <w:p>
      <w:pPr>
        <w:spacing w:after="0" w:line="181" w:lineRule="auto"/>
        <w:rPr>
          <w:sz w:val="20"/>
          <w:szCs w:val="20"/>
          <w:color w:val="auto"/>
        </w:rPr>
      </w:pPr>
      <w:r>
        <w:rPr>
          <w:rFonts w:ascii="Arial" w:cs="Arial" w:eastAsia="Arial" w:hAnsi="Arial"/>
          <w:sz w:val="16"/>
          <w:szCs w:val="16"/>
          <w:color w:val="auto"/>
        </w:rPr>
        <w:t>Entities Affiliated with Greenspring Associates</w:t>
      </w:r>
      <w:r>
        <w:rPr>
          <w:rFonts w:ascii="Arial" w:cs="Arial" w:eastAsia="Arial" w:hAnsi="Arial"/>
          <w:sz w:val="26"/>
          <w:szCs w:val="26"/>
          <w:color w:val="auto"/>
          <w:vertAlign w:val="superscript"/>
        </w:rPr>
        <w:t>(2)</w:t>
      </w:r>
    </w:p>
    <w:p>
      <w:pPr>
        <w:spacing w:after="0" w:line="185" w:lineRule="auto"/>
        <w:rPr>
          <w:sz w:val="20"/>
          <w:szCs w:val="20"/>
          <w:color w:val="auto"/>
        </w:rPr>
      </w:pPr>
      <w:r>
        <w:rPr>
          <w:rFonts w:ascii="Arial" w:cs="Arial" w:eastAsia="Arial" w:hAnsi="Arial"/>
          <w:sz w:val="15"/>
          <w:szCs w:val="15"/>
          <w:color w:val="auto"/>
        </w:rPr>
        <w:t>Scale Venture Partners IV, LP</w:t>
      </w:r>
      <w:r>
        <w:rPr>
          <w:rFonts w:ascii="Arial" w:cs="Arial" w:eastAsia="Arial" w:hAnsi="Arial"/>
          <w:sz w:val="24"/>
          <w:szCs w:val="24"/>
          <w:color w:val="auto"/>
          <w:vertAlign w:val="superscript"/>
        </w:rPr>
        <w:t>(3)</w:t>
      </w:r>
    </w:p>
    <w:p>
      <w:pPr>
        <w:spacing w:after="0" w:line="185" w:lineRule="auto"/>
        <w:rPr>
          <w:sz w:val="20"/>
          <w:szCs w:val="20"/>
          <w:color w:val="auto"/>
        </w:rPr>
      </w:pPr>
      <w:r>
        <w:rPr>
          <w:rFonts w:ascii="Arial" w:cs="Arial" w:eastAsia="Arial" w:hAnsi="Arial"/>
          <w:sz w:val="17"/>
          <w:szCs w:val="17"/>
          <w:color w:val="auto"/>
        </w:rPr>
        <w:t>Entities Affiliated with Mangrove Capital Partners</w:t>
      </w:r>
      <w:r>
        <w:rPr>
          <w:rFonts w:ascii="Arial" w:cs="Arial" w:eastAsia="Arial" w:hAnsi="Arial"/>
          <w:sz w:val="27"/>
          <w:szCs w:val="27"/>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7141845" cy="143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1845" cy="143510"/>
                    </a:xfrm>
                    <a:prstGeom prst="rect">
                      <a:avLst/>
                    </a:prstGeom>
                    <a:noFill/>
                  </pic:spPr>
                </pic:pic>
              </a:graphicData>
            </a:graphic>
          </wp:anchor>
        </w:drawing>
      </w:r>
    </w:p>
    <w:p>
      <w:pPr>
        <w:spacing w:after="0" w:line="181" w:lineRule="auto"/>
        <w:rPr>
          <w:sz w:val="20"/>
          <w:szCs w:val="20"/>
          <w:color w:val="auto"/>
        </w:rPr>
      </w:pPr>
      <w:r>
        <w:rPr>
          <w:rFonts w:ascii="Arial" w:cs="Arial" w:eastAsia="Arial" w:hAnsi="Arial"/>
          <w:sz w:val="16"/>
          <w:szCs w:val="16"/>
          <w:color w:val="auto"/>
        </w:rPr>
        <w:t>Entities Affiliated with Gemini Israel Ventures</w:t>
      </w:r>
      <w:r>
        <w:rPr>
          <w:rFonts w:ascii="Arial" w:cs="Arial" w:eastAsia="Arial" w:hAnsi="Arial"/>
          <w:sz w:val="26"/>
          <w:szCs w:val="26"/>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41845" cy="143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1845" cy="14351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Entities Affiliated with AMBLESIDE S.À R.L.</w:t>
      </w:r>
      <w:r>
        <w:rPr>
          <w:rFonts w:ascii="Arial" w:cs="Arial" w:eastAsia="Arial" w:hAnsi="Arial"/>
          <w:sz w:val="27"/>
          <w:szCs w:val="27"/>
          <w:color w:val="auto"/>
          <w:vertAlign w:val="superscript"/>
        </w:rPr>
        <w:t>(6)</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41845" cy="143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1845" cy="143510"/>
                    </a:xfrm>
                    <a:prstGeom prst="rect">
                      <a:avLst/>
                    </a:prstGeom>
                    <a:noFill/>
                  </pic:spPr>
                </pic:pic>
              </a:graphicData>
            </a:graphic>
          </wp:anchor>
        </w:drawing>
      </w:r>
    </w:p>
    <w:p>
      <w:pPr>
        <w:spacing w:after="0" w:line="199" w:lineRule="auto"/>
        <w:rPr>
          <w:sz w:val="20"/>
          <w:szCs w:val="20"/>
          <w:color w:val="auto"/>
        </w:rPr>
      </w:pPr>
      <w:r>
        <w:rPr>
          <w:rFonts w:ascii="Arial" w:cs="Arial" w:eastAsia="Arial" w:hAnsi="Arial"/>
          <w:sz w:val="17"/>
          <w:szCs w:val="17"/>
          <w:color w:val="auto"/>
        </w:rPr>
        <w:t>Dan Adika</w:t>
      </w:r>
      <w:r>
        <w:rPr>
          <w:rFonts w:ascii="Arial" w:cs="Arial" w:eastAsia="Arial" w:hAnsi="Arial"/>
          <w:sz w:val="27"/>
          <w:szCs w:val="27"/>
          <w:color w:val="auto"/>
          <w:vertAlign w:val="superscript"/>
        </w:rPr>
        <w:t>(7)</w:t>
      </w:r>
    </w:p>
    <w:p>
      <w:pPr>
        <w:spacing w:after="0" w:line="181" w:lineRule="auto"/>
        <w:rPr>
          <w:sz w:val="20"/>
          <w:szCs w:val="20"/>
          <w:color w:val="auto"/>
        </w:rPr>
      </w:pPr>
      <w:r>
        <w:rPr>
          <w:rFonts w:ascii="Arial" w:cs="Arial" w:eastAsia="Arial" w:hAnsi="Arial"/>
          <w:sz w:val="16"/>
          <w:szCs w:val="16"/>
          <w:color w:val="auto"/>
        </w:rPr>
        <w:t>Rafael Sweary</w:t>
      </w:r>
      <w:r>
        <w:rPr>
          <w:rFonts w:ascii="Arial" w:cs="Arial" w:eastAsia="Arial" w:hAnsi="Arial"/>
          <w:sz w:val="26"/>
          <w:szCs w:val="26"/>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141845" cy="143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1845" cy="143510"/>
                    </a:xfrm>
                    <a:prstGeom prst="rect">
                      <a:avLst/>
                    </a:prstGeom>
                    <a:noFill/>
                  </pic:spPr>
                </pic:pic>
              </a:graphicData>
            </a:graphic>
          </wp:anchor>
        </w:drawing>
      </w:r>
    </w:p>
    <w:p>
      <w:pPr>
        <w:spacing w:after="0" w:line="181" w:lineRule="auto"/>
        <w:rPr>
          <w:sz w:val="20"/>
          <w:szCs w:val="20"/>
          <w:color w:val="auto"/>
        </w:rPr>
      </w:pPr>
      <w:r>
        <w:rPr>
          <w:rFonts w:ascii="Arial" w:cs="Arial" w:eastAsia="Arial" w:hAnsi="Arial"/>
          <w:sz w:val="16"/>
          <w:szCs w:val="16"/>
          <w:color w:val="auto"/>
        </w:rPr>
        <w:t>Andrew Casey</w:t>
      </w:r>
      <w:r>
        <w:rPr>
          <w:rFonts w:ascii="Arial" w:cs="Arial" w:eastAsia="Arial" w:hAnsi="Arial"/>
          <w:sz w:val="26"/>
          <w:szCs w:val="26"/>
          <w:color w:val="auto"/>
          <w:vertAlign w:val="superscript"/>
        </w:rPr>
        <w:t>(9)</w:t>
      </w:r>
    </w:p>
    <w:p>
      <w:pPr>
        <w:spacing w:after="0" w:line="182" w:lineRule="auto"/>
        <w:rPr>
          <w:sz w:val="20"/>
          <w:szCs w:val="20"/>
          <w:color w:val="auto"/>
        </w:rPr>
      </w:pPr>
      <w:r>
        <w:rPr>
          <w:rFonts w:ascii="Arial" w:cs="Arial" w:eastAsia="Arial" w:hAnsi="Arial"/>
          <w:sz w:val="16"/>
          <w:szCs w:val="16"/>
          <w:color w:val="auto"/>
        </w:rPr>
        <w:t>Haleli Barath</w:t>
      </w:r>
      <w:r>
        <w:rPr>
          <w:rFonts w:ascii="Arial" w:cs="Arial" w:eastAsia="Arial" w:hAnsi="Arial"/>
          <w:sz w:val="26"/>
          <w:szCs w:val="26"/>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141845" cy="143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1845" cy="143510"/>
                    </a:xfrm>
                    <a:prstGeom prst="rect">
                      <a:avLst/>
                    </a:prstGeom>
                    <a:noFill/>
                  </pic:spPr>
                </pic:pic>
              </a:graphicData>
            </a:graphic>
          </wp:anchor>
        </w:drawing>
      </w:r>
    </w:p>
    <w:p>
      <w:pPr>
        <w:spacing w:after="0" w:line="181" w:lineRule="auto"/>
        <w:rPr>
          <w:sz w:val="20"/>
          <w:szCs w:val="20"/>
          <w:color w:val="auto"/>
        </w:rPr>
      </w:pPr>
      <w:r>
        <w:rPr>
          <w:rFonts w:ascii="Arial" w:cs="Arial" w:eastAsia="Arial" w:hAnsi="Arial"/>
          <w:sz w:val="16"/>
          <w:szCs w:val="16"/>
          <w:color w:val="auto"/>
        </w:rPr>
        <w:t>Michele Bettencourt</w:t>
      </w:r>
      <w:r>
        <w:rPr>
          <w:rFonts w:ascii="Arial" w:cs="Arial" w:eastAsia="Arial" w:hAnsi="Arial"/>
          <w:sz w:val="26"/>
          <w:szCs w:val="26"/>
          <w:color w:val="auto"/>
          <w:vertAlign w:val="superscript"/>
        </w:rPr>
        <w:t>(11)</w:t>
      </w:r>
    </w:p>
    <w:p>
      <w:pPr>
        <w:spacing w:after="0" w:line="181" w:lineRule="auto"/>
        <w:rPr>
          <w:sz w:val="20"/>
          <w:szCs w:val="20"/>
          <w:color w:val="auto"/>
        </w:rPr>
      </w:pPr>
      <w:r>
        <w:rPr>
          <w:rFonts w:ascii="Arial" w:cs="Arial" w:eastAsia="Arial" w:hAnsi="Arial"/>
          <w:sz w:val="16"/>
          <w:szCs w:val="16"/>
          <w:color w:val="auto"/>
        </w:rPr>
        <w:t>Menashe Ezra</w:t>
      </w:r>
      <w:r>
        <w:rPr>
          <w:rFonts w:ascii="Arial" w:cs="Arial" w:eastAsia="Arial" w:hAnsi="Arial"/>
          <w:sz w:val="26"/>
          <w:szCs w:val="26"/>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141845" cy="143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1845" cy="143510"/>
                    </a:xfrm>
                    <a:prstGeom prst="rect">
                      <a:avLst/>
                    </a:prstGeom>
                    <a:noFill/>
                  </pic:spPr>
                </pic:pic>
              </a:graphicData>
            </a:graphic>
          </wp:anchor>
        </w:drawing>
      </w:r>
    </w:p>
    <w:p>
      <w:pPr>
        <w:spacing w:after="0" w:line="182" w:lineRule="auto"/>
        <w:rPr>
          <w:sz w:val="20"/>
          <w:szCs w:val="20"/>
          <w:color w:val="auto"/>
        </w:rPr>
      </w:pPr>
      <w:r>
        <w:rPr>
          <w:rFonts w:ascii="Arial" w:cs="Arial" w:eastAsia="Arial" w:hAnsi="Arial"/>
          <w:sz w:val="16"/>
          <w:szCs w:val="16"/>
          <w:color w:val="auto"/>
        </w:rPr>
        <w:t>Ron Gutler</w:t>
      </w:r>
      <w:r>
        <w:rPr>
          <w:rFonts w:ascii="Arial" w:cs="Arial" w:eastAsia="Arial" w:hAnsi="Arial"/>
          <w:sz w:val="26"/>
          <w:szCs w:val="26"/>
          <w:color w:val="auto"/>
          <w:vertAlign w:val="superscript"/>
        </w:rPr>
        <w:t>(12)</w:t>
      </w:r>
    </w:p>
    <w:p>
      <w:pPr>
        <w:spacing w:after="0" w:line="181" w:lineRule="auto"/>
        <w:rPr>
          <w:sz w:val="20"/>
          <w:szCs w:val="20"/>
          <w:color w:val="auto"/>
        </w:rPr>
      </w:pPr>
      <w:r>
        <w:rPr>
          <w:rFonts w:ascii="Arial" w:cs="Arial" w:eastAsia="Arial" w:hAnsi="Arial"/>
          <w:sz w:val="16"/>
          <w:szCs w:val="16"/>
          <w:color w:val="auto"/>
        </w:rPr>
        <w:t>Jeff Horing</w:t>
      </w:r>
      <w:r>
        <w:rPr>
          <w:rFonts w:ascii="Arial" w:cs="Arial" w:eastAsia="Arial" w:hAnsi="Arial"/>
          <w:sz w:val="26"/>
          <w:szCs w:val="26"/>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141845" cy="143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1845" cy="143510"/>
                    </a:xfrm>
                    <a:prstGeom prst="rect">
                      <a:avLst/>
                    </a:prstGeom>
                    <a:noFill/>
                  </pic:spPr>
                </pic:pic>
              </a:graphicData>
            </a:graphic>
          </wp:anchor>
        </w:drawing>
      </w:r>
    </w:p>
    <w:p>
      <w:pPr>
        <w:spacing w:after="0" w:line="182" w:lineRule="auto"/>
        <w:rPr>
          <w:sz w:val="20"/>
          <w:szCs w:val="20"/>
          <w:color w:val="auto"/>
        </w:rPr>
      </w:pPr>
      <w:r>
        <w:rPr>
          <w:rFonts w:ascii="Arial" w:cs="Arial" w:eastAsia="Arial" w:hAnsi="Arial"/>
          <w:sz w:val="16"/>
          <w:szCs w:val="16"/>
          <w:color w:val="auto"/>
        </w:rPr>
        <w:t>Rory O’Driscoll</w:t>
      </w:r>
      <w:r>
        <w:rPr>
          <w:rFonts w:ascii="Arial" w:cs="Arial" w:eastAsia="Arial" w:hAnsi="Arial"/>
          <w:sz w:val="26"/>
          <w:szCs w:val="26"/>
          <w:color w:val="auto"/>
          <w:vertAlign w:val="superscript"/>
        </w:rPr>
        <w:t>(3)</w:t>
      </w:r>
    </w:p>
    <w:p>
      <w:pPr>
        <w:spacing w:after="0" w:line="181" w:lineRule="auto"/>
        <w:rPr>
          <w:sz w:val="20"/>
          <w:szCs w:val="20"/>
          <w:color w:val="auto"/>
        </w:rPr>
      </w:pPr>
      <w:r>
        <w:rPr>
          <w:rFonts w:ascii="Arial" w:cs="Arial" w:eastAsia="Arial" w:hAnsi="Arial"/>
          <w:sz w:val="16"/>
          <w:szCs w:val="16"/>
          <w:color w:val="auto"/>
        </w:rPr>
        <w:t>Michael Risman</w:t>
      </w:r>
      <w:r>
        <w:rPr>
          <w:rFonts w:ascii="Arial" w:cs="Arial" w:eastAsia="Arial" w:hAnsi="Arial"/>
          <w:sz w:val="26"/>
          <w:szCs w:val="26"/>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141845" cy="143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1845" cy="143510"/>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7"/>
          <w:szCs w:val="17"/>
          <w:color w:val="auto"/>
        </w:rPr>
        <w:t>Roy Saar</w:t>
      </w:r>
      <w:r>
        <w:rPr>
          <w:rFonts w:ascii="Arial" w:cs="Arial" w:eastAsia="Arial" w:hAnsi="Arial"/>
          <w:sz w:val="27"/>
          <w:szCs w:val="27"/>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41845" cy="143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1845" cy="14351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All directors and executive officers as a group (11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1418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14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Number</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auto"/>
              </w:rPr>
              <w:t>%</w:t>
            </w:r>
          </w:p>
        </w:tc>
      </w:tr>
      <w:tr>
        <w:trPr>
          <w:trHeight w:val="653"/>
        </w:trPr>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24,253,823</w:t>
            </w:r>
          </w:p>
        </w:tc>
        <w:tc>
          <w:tcPr>
            <w:tcW w:w="1120" w:type="dxa"/>
            <w:vAlign w:val="bottom"/>
          </w:tcPr>
          <w:p>
            <w:pPr>
              <w:jc w:val="right"/>
              <w:spacing w:after="0"/>
              <w:rPr>
                <w:sz w:val="20"/>
                <w:szCs w:val="20"/>
                <w:color w:val="auto"/>
              </w:rPr>
            </w:pPr>
            <w:r>
              <w:rPr>
                <w:rFonts w:ascii="Arial" w:cs="Arial" w:eastAsia="Arial" w:hAnsi="Arial"/>
                <w:sz w:val="17"/>
                <w:szCs w:val="17"/>
                <w:color w:val="auto"/>
              </w:rPr>
              <w:t>28.9</w:t>
            </w:r>
          </w:p>
        </w:tc>
      </w:tr>
      <w:tr>
        <w:trPr>
          <w:trHeight w:val="226"/>
        </w:trPr>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10,366,855</w:t>
            </w:r>
          </w:p>
        </w:tc>
        <w:tc>
          <w:tcPr>
            <w:tcW w:w="112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226"/>
        </w:trPr>
        <w:tc>
          <w:tcPr>
            <w:tcW w:w="1140" w:type="dxa"/>
            <w:vAlign w:val="bottom"/>
          </w:tcPr>
          <w:p>
            <w:pPr>
              <w:jc w:val="right"/>
              <w:spacing w:after="0"/>
              <w:rPr>
                <w:sz w:val="20"/>
                <w:szCs w:val="20"/>
                <w:color w:val="auto"/>
              </w:rPr>
            </w:pPr>
            <w:r>
              <w:rPr>
                <w:rFonts w:ascii="Arial" w:cs="Arial" w:eastAsia="Arial" w:hAnsi="Arial"/>
                <w:sz w:val="17"/>
                <w:szCs w:val="17"/>
                <w:color w:val="auto"/>
              </w:rPr>
              <w:t>9,429,021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226"/>
        </w:trPr>
        <w:tc>
          <w:tcPr>
            <w:tcW w:w="1140" w:type="dxa"/>
            <w:vAlign w:val="bottom"/>
          </w:tcPr>
          <w:p>
            <w:pPr>
              <w:jc w:val="right"/>
              <w:spacing w:after="0"/>
              <w:rPr>
                <w:sz w:val="20"/>
                <w:szCs w:val="20"/>
                <w:color w:val="auto"/>
              </w:rPr>
            </w:pPr>
            <w:r>
              <w:rPr>
                <w:rFonts w:ascii="Arial" w:cs="Arial" w:eastAsia="Arial" w:hAnsi="Arial"/>
                <w:sz w:val="17"/>
                <w:szCs w:val="17"/>
                <w:color w:val="auto"/>
              </w:rPr>
              <w:t>6,278,354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26"/>
        </w:trPr>
        <w:tc>
          <w:tcPr>
            <w:tcW w:w="1140" w:type="dxa"/>
            <w:vAlign w:val="bottom"/>
          </w:tcPr>
          <w:p>
            <w:pPr>
              <w:jc w:val="right"/>
              <w:spacing w:after="0"/>
              <w:rPr>
                <w:sz w:val="20"/>
                <w:szCs w:val="20"/>
                <w:color w:val="auto"/>
              </w:rPr>
            </w:pPr>
            <w:r>
              <w:rPr>
                <w:rFonts w:ascii="Arial" w:cs="Arial" w:eastAsia="Arial" w:hAnsi="Arial"/>
                <w:sz w:val="17"/>
                <w:szCs w:val="17"/>
                <w:color w:val="auto"/>
              </w:rPr>
              <w:t>7,730,048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26"/>
        </w:trPr>
        <w:tc>
          <w:tcPr>
            <w:tcW w:w="1140" w:type="dxa"/>
            <w:vAlign w:val="bottom"/>
          </w:tcPr>
          <w:p>
            <w:pPr>
              <w:jc w:val="right"/>
              <w:spacing w:after="0"/>
              <w:rPr>
                <w:sz w:val="20"/>
                <w:szCs w:val="20"/>
                <w:color w:val="auto"/>
              </w:rPr>
            </w:pPr>
            <w:r>
              <w:rPr>
                <w:rFonts w:ascii="Arial" w:cs="Arial" w:eastAsia="Arial" w:hAnsi="Arial"/>
                <w:sz w:val="17"/>
                <w:szCs w:val="17"/>
                <w:color w:val="auto"/>
              </w:rPr>
              <w:t>5,462,245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678"/>
        </w:trPr>
        <w:tc>
          <w:tcPr>
            <w:tcW w:w="1140" w:type="dxa"/>
            <w:vAlign w:val="bottom"/>
          </w:tcPr>
          <w:p>
            <w:pPr>
              <w:jc w:val="right"/>
              <w:spacing w:after="0"/>
              <w:rPr>
                <w:sz w:val="20"/>
                <w:szCs w:val="20"/>
                <w:color w:val="auto"/>
              </w:rPr>
            </w:pPr>
            <w:r>
              <w:rPr>
                <w:rFonts w:ascii="Arial" w:cs="Arial" w:eastAsia="Arial" w:hAnsi="Arial"/>
                <w:sz w:val="17"/>
                <w:szCs w:val="17"/>
                <w:color w:val="auto"/>
              </w:rPr>
              <w:t>2,774,278</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26"/>
        </w:trPr>
        <w:tc>
          <w:tcPr>
            <w:tcW w:w="1140" w:type="dxa"/>
            <w:vAlign w:val="bottom"/>
          </w:tcPr>
          <w:p>
            <w:pPr>
              <w:jc w:val="right"/>
              <w:spacing w:after="0"/>
              <w:rPr>
                <w:sz w:val="20"/>
                <w:szCs w:val="20"/>
                <w:color w:val="auto"/>
              </w:rPr>
            </w:pPr>
            <w:r>
              <w:rPr>
                <w:rFonts w:ascii="Arial" w:cs="Arial" w:eastAsia="Arial" w:hAnsi="Arial"/>
                <w:sz w:val="17"/>
                <w:szCs w:val="17"/>
                <w:color w:val="auto"/>
              </w:rPr>
              <w:t>2,586,250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26"/>
        </w:trPr>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282,870</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97,664</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11,664</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1140" w:type="dxa"/>
            <w:vAlign w:val="bottom"/>
          </w:tcPr>
          <w:p>
            <w:pPr>
              <w:jc w:val="right"/>
              <w:spacing w:after="0"/>
              <w:rPr>
                <w:sz w:val="20"/>
                <w:szCs w:val="20"/>
                <w:color w:val="auto"/>
              </w:rPr>
            </w:pPr>
            <w:r>
              <w:rPr>
                <w:rFonts w:ascii="Arial" w:cs="Arial" w:eastAsia="Arial" w:hAnsi="Arial"/>
                <w:sz w:val="17"/>
                <w:szCs w:val="17"/>
                <w:color w:val="auto"/>
              </w:rPr>
              <w:t>7,730,048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26"/>
        </w:trPr>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22,005</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1140" w:type="dxa"/>
            <w:vAlign w:val="bottom"/>
          </w:tcPr>
          <w:p>
            <w:pPr>
              <w:jc w:val="right"/>
              <w:spacing w:after="0"/>
              <w:rPr>
                <w:sz w:val="20"/>
                <w:szCs w:val="20"/>
                <w:color w:val="auto"/>
              </w:rPr>
            </w:pPr>
            <w:r>
              <w:rPr>
                <w:rFonts w:ascii="Arial" w:cs="Arial" w:eastAsia="Arial" w:hAnsi="Arial"/>
                <w:sz w:val="17"/>
                <w:szCs w:val="17"/>
                <w:color w:val="auto"/>
              </w:rPr>
              <w:t>9,429,021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226"/>
        </w:trPr>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181,000</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362" w:lineRule="exact"/>
        <w:rPr>
          <w:sz w:val="20"/>
          <w:szCs w:val="20"/>
          <w:color w:val="auto"/>
        </w:rPr>
      </w:pPr>
    </w:p>
    <w:p>
      <w:pPr>
        <w:sectPr>
          <w:pgSz w:w="11900" w:h="16838" w:orient="portrait"/>
          <w:cols w:equalWidth="0" w:num="2">
            <w:col w:w="7940" w:space="720"/>
            <w:col w:w="2580"/>
          </w:cols>
          <w:pgMar w:left="320" w:top="123" w:right="339" w:bottom="1440" w:gutter="0" w:footer="0" w:header="0"/>
        </w:sectPr>
      </w:pPr>
    </w:p>
    <w:p>
      <w:pPr>
        <w:spacing w:after="0" w:line="228" w:lineRule="exact"/>
        <w:rPr>
          <w:sz w:val="20"/>
          <w:szCs w:val="20"/>
          <w:color w:val="auto"/>
        </w:rPr>
      </w:pPr>
    </w:p>
    <w:p>
      <w:pPr>
        <w:ind w:left="460" w:hanging="460"/>
        <w:spacing w:after="0"/>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Indicates ownership of less than 1%.</w:t>
      </w:r>
    </w:p>
    <w:p>
      <w:pPr>
        <w:spacing w:after="0" w:line="206" w:lineRule="exact"/>
        <w:rPr>
          <w:sz w:val="20"/>
          <w:szCs w:val="20"/>
          <w:color w:val="auto"/>
        </w:rPr>
      </w:pPr>
    </w:p>
    <w:p>
      <w:pPr>
        <w:ind w:left="460" w:hanging="460"/>
        <w:spacing w:after="0" w:line="284" w:lineRule="auto"/>
        <w:tabs>
          <w:tab w:leader="none" w:pos="4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Pursuant to Schedule 13G filed with the SEC on February 11, 2022, consists of (i) 14,719,862 ordinary shares held of record by Insight Venture Partners IX, L.P., (ii) 293,822 ordinary shares held of record by Insight Venture Partners IX (Co-Investors), L.P., (iii) 7,313,935 ordinary shares held of record by Insight Venture Partners (Cayman) IX, L.P., (iv) 1,559,564 ordinary shares held of record by Insight Venture Partners (Delaware) IX, L.P., (v) 163,070 ordinary shares held of record by Insight Partners (Cayman) XI, L.P., (vi) 21,747 ordinary shares held of record by Insight Partners (Delaware) XI, L.P., (vii) 20,202 ordinary shares held of record by Insight Partners (EU) XI, S.C.Sp., (viii) 3,568 ordinary shares held of record by Insight Partners XI (Co-Investors) (B), L.P., (ix) 2,589 ordinary shares held of record by Insight Partners XI (Co-Investors), L.P., and (x) 155,464 shares held of record held by Insight Partners XI, L.P. The general partner of Insight Venture Partners IX, L.P., Insight Venture Partners IX (Co-Investors), L.P., Insight Venture Partners (Cayman) IX, L.P., and Insight Venture Partners (Delaware) IX, L.P. is Insight Venture Associates IX, L.P., (“IVA IX LP”), whose general partner is Insight Venture Associates IX, Ltd., (“IVA IX Ltd”). The general partner of Insight Partners (Cayman) XI, L.P., Insight Partners (Delaware) XI, L.P., Insight Partners XI (Co-Investors) (B), L.P., Insight Partners XI (Co-Investors), L.P. and Insight Partners XI, L.P. is Insight Associates XI, L.P., (“IA XI LP”), whose general partner is Insight Associates XI, Ltd. (“IA XI Ltd”). The general partner of Insight Partners (EU) XI, S.C.Sp. is Insight Associates (EU) XI, S.a.r.l., (“IA EU XI”). The sole shareholder of IVA IX Ltd, IA XI Ltd and IA EU XI is Insight Holdings Group, LLC. Mr. Horing, one of the Company’s directors, is a managing director at Insight Venture Partners.</w:t>
      </w:r>
    </w:p>
    <w:p>
      <w:pPr>
        <w:spacing w:after="0" w:line="16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7"/>
          <w:szCs w:val="17"/>
          <w:color w:val="auto"/>
        </w:rPr>
        <w:t>The address for these entities is c/o Insight Partners, 1114 Avenue of the Americas, 36th Floor, New York, NY 10036.</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21" w:name="page122"/>
    <w:bookmarkEnd w:id="121"/>
    <w:p>
      <w:pPr>
        <w:ind w:left="460" w:hanging="460"/>
        <w:spacing w:after="0" w:line="282" w:lineRule="auto"/>
        <w:tabs>
          <w:tab w:leader="none" w:pos="4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Consists of (i) 5,948,813 ordinary shares held by Greenspring Opportunities III, L.P. (“GO III”), (ii) 3,013,139 ordinary shares held by Greenspring Global Partners VI-A, L.P. (“GGP VIA”), (iii) 1,203,629 ordinary shares held by Greenspring Global Partners VI-C, L.P. (“GGP VIC”), (iv) 185,933 ordinary shares held by Greenspring Secondaries Fund IV, L.P. (“Greenspring Secondaries IV”), (v) 6,426 ordinary shares held by Greenspring Secondaries Fund IV-D, L.P. (“Greenspring Secondaries IV-D”) and (vi) 8,915 ordinary shares held by Greenspring Secondaries Fund IV-K, L.P. (collectively with Greenspring Secondaries IV and Greenspring Secondaries IV-D, “Greenspring Secondaries”). Greenspring Opportunities General Partner III, L.P. (“GO III GP”), is the general partner of GO III. Greenspring Opportunities GP III, LLC (“GO III GP LLC”), is the general partner of GO III GP. Greenspring General Partner VI, L.P. (“Greenspring General Partner”), is the general partner of GGP VI-A and GGP VI-C. Greenspring GP VI, LLC. (“Greenspring GP LLC”), is the general partner of Greenspring General Partner. Greenspring Secondaries General Partner IV, L.P. (“Secondaries GP”), is the general partner of Greenspring Secondaries. Greenspring Secondaries GP IV, LLC (“Secondaries GP LLC”), is the general partner of Secondaries GP. Greenspring Associates, LLC (“Greenspring Associates”), is the managing member of each of GO III GP LLC and Secondaries GP LLC. C. Ashton Newhall and James Lim own and control each of Greenspring GP LLC and Greenspring Associates. Each of C. Ashton Newhall and James Lim may be deemed to beneficially own and have voting, investment and dispositive power with respect to the shares held by GO III, GGP VI-A, GGP VI-C and Greenspring Secondaries. Greenspring Associates may be deemed to beneficially own and have voting, investment and dispositive power with respect to the shares held by GO III and Greenspring Secondaries. Each of GO III GP LLC and GO III GP may be deemed to beneficially own and have voting, investment and dispositive power with respect to the shares held by GO III. Each of Greenspring GP LLC and Greenspring General Partner may be deemed to beneficially own and have voting, investment and dispositive power with respect to the shares held by GGP VI-A and GGP VI-C. Each of Secondaries GP and Secondaries GP LLC may be deemed to beneficially own and have voting, investment and dispositive power with respect to the shares held by Greenspring Secondaries. Each of GO III GP, GO III GP LLC, Greenspring General Partner, Greenspring GP LLC, Secondaries GP, Secondaries GP LLC, Greenspring Associates, C. Ashton Newhall and James Lim disclaims beneficial ownership of such shares, except to the extent of its or his proportionate pecuniary interest therein, if any. The address of each of GO III, GGP VI-A, GGP VI-C, Greenspring Secondaries, GO III GP, GO III GP LLC, Greenspring General Partner, Greenspring GP LLC, Secondaries GP, Secondaries GP LLC, Greenspring Associates, C. Ashton Newhall, and James Lim is 100 Painters Mill Road, Suite 700, Owings Mills, Maryland 21117.</w:t>
      </w:r>
    </w:p>
    <w:p>
      <w:pPr>
        <w:spacing w:after="0" w:line="162" w:lineRule="exact"/>
        <w:rPr>
          <w:rFonts w:ascii="Arial" w:cs="Arial" w:eastAsia="Arial" w:hAnsi="Arial"/>
          <w:sz w:val="15"/>
          <w:szCs w:val="15"/>
          <w:color w:val="auto"/>
        </w:rPr>
      </w:pPr>
    </w:p>
    <w:p>
      <w:pPr>
        <w:ind w:left="460" w:right="200" w:hanging="460"/>
        <w:spacing w:after="0" w:line="251" w:lineRule="auto"/>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Pursuant to Schedule 13G/A filed with the SEC on February 7, 2022, consists of 9,429,021 ordinary shares held of record by Scale Venture Partners IV, L.P. (“SVP IV”). The general partner of SVP IV is Scale Venture Management IV, L.P. whose general partner is Scale Venture Management IV, LLC (“Scale IV LLC”). Rory O’Driscoll, one of our directors, Andrew Vitus and Stacey Bishop are managers of Scale IV LLC and share voting and dispositive power with respect to the ordinary shares held by SVP IV. The address for these entities is c/o Scale Venture Partners, 950 Tower Lane, Suite 1150, Foster City, California 94404.</w:t>
      </w:r>
    </w:p>
    <w:p>
      <w:pPr>
        <w:spacing w:after="0" w:line="182" w:lineRule="exact"/>
        <w:rPr>
          <w:rFonts w:ascii="Arial" w:cs="Arial" w:eastAsia="Arial" w:hAnsi="Arial"/>
          <w:sz w:val="17"/>
          <w:szCs w:val="17"/>
          <w:color w:val="auto"/>
        </w:rPr>
      </w:pPr>
    </w:p>
    <w:p>
      <w:pPr>
        <w:ind w:left="460" w:right="20" w:hanging="460"/>
        <w:spacing w:after="0" w:line="285" w:lineRule="auto"/>
        <w:tabs>
          <w:tab w:leader="none" w:pos="4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Pursuant to Schedule 13G filed with the SEC on January 19, 2022, consists of (i) 5,638,420 ordinary shares held by Mangrove III Investments S.à r.l (“Mangrove III”) and (ii) 639,934 ordinary shares held by Mangrove V Investments S.à r.l (“Mangrove V”). Mangrove III S.C.A. SICAR is the owner of 100% of the share capital of Mangrove III, and Mangrove V (SCA), RAIF is the owner of 100% of the share capital of Mangrove V. Mangrove III Management S.A. is the liquidator of Mangrove III S.C.A. SICAR. The members of the board of directors of Mangrove III Management S.A. are Mark Tluszcz, Hans-Jurgen Schmitz and Willibrord Ehses. As a result of these relationships, each of Mangrove III S.C.A. SICAR, Mangrove III Management S.A. and Messrs. Tluszcz, Schmitz and Ehses may be deemed to share voting and dispositive power with respect to the securities held by Mangrove III. Mangrove Capital Partners S.A. is the manager of Mangrove V (SCA), RAIF. The members of the board of directors of Mangrove Capital Partners S.A. are Mark Tluszcz, Hans-Jürgen Schmitz, Michael Rabinowicz and Gerardo Lopez Fojaca. As a result of these relationships, each of Mangrove V (SCA), RAIF, Mangrove Capital Partners S.A. and Messrs. Tluszcz, Schmitz, Rabinowicz and Lopez Fojaca may be deemed to share voting and dispositive power with respect to the securities held by Mangrove V. Roy Saar, one of our directors, is a partner at Mangrove Capital Partners. The address for these entities is 31 Boulevard Joseph II, L-1840, Luxembourg.</w:t>
      </w:r>
    </w:p>
    <w:p>
      <w:pPr>
        <w:spacing w:after="0" w:line="161" w:lineRule="exact"/>
        <w:rPr>
          <w:rFonts w:ascii="Arial" w:cs="Arial" w:eastAsia="Arial" w:hAnsi="Arial"/>
          <w:sz w:val="15"/>
          <w:szCs w:val="15"/>
          <w:color w:val="auto"/>
        </w:rPr>
      </w:pPr>
    </w:p>
    <w:p>
      <w:pPr>
        <w:ind w:left="460" w:hanging="460"/>
        <w:spacing w:after="0" w:line="293" w:lineRule="auto"/>
        <w:tabs>
          <w:tab w:leader="none" w:pos="4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Pursuant to Schedule 13G filed with the SEC on February 7, 2022, consists of (i) 7,652,748 ordinary shares held of record by Gemini Israel V Limited Partnership (“Gemini V”) and (ii) 77,300 ordinary shares held of record by Gemini Partners Investors V L.P. (“Gemini Partners”). Gemini Capital Associates V LP (“Gemini Associates LP”) is the general partner of Gemini V and Gemini Capital Associates V GP, Ltd. (“Gemini Associates GP”) is the general partner of Gemini Associates LP. Gemini Israel Funds IV Ltd. is the general partner of Gemini Partners. Yossi Sela and Menashe Ezra are the managing partners of Gemini Associates GP, and Gemini Israel Funds IV Ltd. The address for these entities is 1 Abba Eban Avenue, Merkazim 2001, Bldg A, 3rd Floor, Herzliya Israel.</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2" w:name="page123"/>
    <w:bookmarkEnd w:id="122"/>
    <w:p>
      <w:pPr>
        <w:ind w:left="460" w:hanging="460"/>
        <w:spacing w:after="0" w:line="249" w:lineRule="auto"/>
        <w:tabs>
          <w:tab w:leader="none" w:pos="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Pursuant to Schedule 13D/A filed with the SEC on December 17, 2021, consists of: (i) 3,404,955 ordinary shares held or record by Ambleside S.à r.l. (“Ambleside”) and (ii) 2,057,290 ordinary shares held of record by Ambleside Lux S.à r.l. (“Ambleside Lux”). Vitruvian III Luxembourg S.à r.l. (“Vitruvian Luxembourg”), is the sole shareholder of Ambleside. VIP III Cortex-B S.à r.l. (“VIP III Cortex-B”) is the sole shareholder of Ambleside Lux. VIP III Nominees Limited (“VIP Nominees”) is the nominee for and on behalf of VIP III LP, and VIP III Co-Invest LP (collectively, the “Funds”), and sole legal shareholder of Vitruvian Luxembourg and VIP III Cortex-B. Vitruvian Partners LLP (“Vitruvian Partners”) is the manager of the Funds and sole shareholder of VIP Nominees. Michael Risman, one of our directors, is a managing partner of Vitruvian Partners. The address of the principal business office of VIP Nominees, VIP III LP and Vitruvian Partners is 105 Wigmore Street, London W1U 1QY, the address of the principal business office of VIP III Co-Invest LP is 12 Castle Street St Helier Jersey JE2 3RT and the address of the principal business office of Ambleside, Ambleside Lux, Vitruvian Luxembourg and VIP III Cortex-B is 21, rue Philippe II, L-2340 Luxembourg.</w:t>
      </w:r>
    </w:p>
    <w:p>
      <w:pPr>
        <w:spacing w:after="0" w:line="183" w:lineRule="exact"/>
        <w:rPr>
          <w:rFonts w:ascii="Arial" w:cs="Arial" w:eastAsia="Arial" w:hAnsi="Arial"/>
          <w:sz w:val="17"/>
          <w:szCs w:val="17"/>
          <w:color w:val="auto"/>
        </w:rPr>
      </w:pPr>
    </w:p>
    <w:p>
      <w:pPr>
        <w:ind w:left="460" w:hanging="460"/>
        <w:spacing w:after="0"/>
        <w:tabs>
          <w:tab w:leader="none" w:pos="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Includes 2,400,734 ordinary shares underlying options exercisable within 60 days of February 28, 2022.</w:t>
      </w:r>
    </w:p>
    <w:p>
      <w:pPr>
        <w:spacing w:after="0" w:line="206" w:lineRule="exact"/>
        <w:rPr>
          <w:rFonts w:ascii="Arial" w:cs="Arial" w:eastAsia="Arial" w:hAnsi="Arial"/>
          <w:sz w:val="17"/>
          <w:szCs w:val="17"/>
          <w:color w:val="auto"/>
        </w:rPr>
      </w:pPr>
    </w:p>
    <w:p>
      <w:pPr>
        <w:ind w:left="460" w:right="280" w:hanging="460"/>
        <w:spacing w:after="0" w:line="268" w:lineRule="auto"/>
        <w:tabs>
          <w:tab w:leader="none" w:pos="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Includes (a) 1,133,305 ordinary shares held by Brooks S.M. Projects Ltd. and (b) 1,445,445 ordinary shares underlying options exercisable within 60 days of February 28, 2022.</w:t>
      </w:r>
    </w:p>
    <w:p>
      <w:pPr>
        <w:spacing w:after="0" w:line="165" w:lineRule="exact"/>
        <w:rPr>
          <w:rFonts w:ascii="Arial" w:cs="Arial" w:eastAsia="Arial" w:hAnsi="Arial"/>
          <w:sz w:val="17"/>
          <w:szCs w:val="17"/>
          <w:color w:val="auto"/>
        </w:rPr>
      </w:pPr>
    </w:p>
    <w:p>
      <w:pPr>
        <w:ind w:left="460" w:hanging="460"/>
        <w:spacing w:after="0"/>
        <w:tabs>
          <w:tab w:leader="none" w:pos="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Consists of 282,870 ordinary shares underlying options exercisable within 60 days of February 28, 2022.</w:t>
      </w:r>
    </w:p>
    <w:p>
      <w:pPr>
        <w:spacing w:after="0" w:line="206" w:lineRule="exact"/>
        <w:rPr>
          <w:rFonts w:ascii="Arial" w:cs="Arial" w:eastAsia="Arial" w:hAnsi="Arial"/>
          <w:sz w:val="17"/>
          <w:szCs w:val="17"/>
          <w:color w:val="auto"/>
        </w:rPr>
      </w:pPr>
    </w:p>
    <w:p>
      <w:pPr>
        <w:ind w:left="460" w:hanging="460"/>
        <w:spacing w:after="0"/>
        <w:tabs>
          <w:tab w:leader="none" w:pos="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Includes 11,664 ordinary shares underlying options exercisable within 60 days of February 28, 2022.</w:t>
      </w:r>
    </w:p>
    <w:p>
      <w:pPr>
        <w:spacing w:after="0" w:line="206" w:lineRule="exact"/>
        <w:rPr>
          <w:rFonts w:ascii="Arial" w:cs="Arial" w:eastAsia="Arial" w:hAnsi="Arial"/>
          <w:sz w:val="17"/>
          <w:szCs w:val="17"/>
          <w:color w:val="auto"/>
        </w:rPr>
      </w:pPr>
    </w:p>
    <w:p>
      <w:pPr>
        <w:ind w:left="460" w:hanging="460"/>
        <w:spacing w:after="0"/>
        <w:tabs>
          <w:tab w:leader="none" w:pos="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Consists of 11,664 ordinary shares underlying options exercisable within 60 days of February 28, 2022.</w:t>
      </w:r>
    </w:p>
    <w:p>
      <w:pPr>
        <w:spacing w:after="0" w:line="206" w:lineRule="exact"/>
        <w:rPr>
          <w:rFonts w:ascii="Arial" w:cs="Arial" w:eastAsia="Arial" w:hAnsi="Arial"/>
          <w:sz w:val="17"/>
          <w:szCs w:val="17"/>
          <w:color w:val="auto"/>
        </w:rPr>
      </w:pPr>
    </w:p>
    <w:p>
      <w:pPr>
        <w:ind w:left="460" w:hanging="460"/>
        <w:spacing w:after="0"/>
        <w:tabs>
          <w:tab w:leader="none" w:pos="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Consists of 22,005 ordinary shares underlying options exercisable within 60 days of February 28, 2022.</w:t>
      </w:r>
    </w:p>
    <w:p>
      <w:pPr>
        <w:spacing w:after="0" w:line="206" w:lineRule="exact"/>
        <w:rPr>
          <w:rFonts w:ascii="Arial" w:cs="Arial" w:eastAsia="Arial" w:hAnsi="Arial"/>
          <w:sz w:val="17"/>
          <w:szCs w:val="17"/>
          <w:color w:val="auto"/>
        </w:rPr>
      </w:pPr>
    </w:p>
    <w:p>
      <w:pPr>
        <w:ind w:left="460" w:hanging="460"/>
        <w:spacing w:after="0"/>
        <w:tabs>
          <w:tab w:leader="none" w:pos="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Does not include 24,253,823 ordinary shares beneficially held by entities affiliated with Insight Partners as set forth in footnote (1) above.</w:t>
      </w:r>
    </w:p>
    <w:p>
      <w:pPr>
        <w:spacing w:after="0" w:line="206" w:lineRule="exact"/>
        <w:rPr>
          <w:rFonts w:ascii="Arial" w:cs="Arial" w:eastAsia="Arial" w:hAnsi="Arial"/>
          <w:sz w:val="17"/>
          <w:szCs w:val="17"/>
          <w:color w:val="auto"/>
        </w:rPr>
      </w:pPr>
    </w:p>
    <w:p>
      <w:pPr>
        <w:ind w:left="460" w:hanging="460"/>
        <w:spacing w:after="0"/>
        <w:tabs>
          <w:tab w:leader="none" w:pos="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Does not include 5,462,245 ordinary shares beneficially held by entities affiliated with Ambleside as set forth in footnote (6) above.</w:t>
      </w:r>
    </w:p>
    <w:p>
      <w:pPr>
        <w:spacing w:after="0" w:line="206" w:lineRule="exact"/>
        <w:rPr>
          <w:rFonts w:ascii="Arial" w:cs="Arial" w:eastAsia="Arial" w:hAnsi="Arial"/>
          <w:sz w:val="17"/>
          <w:szCs w:val="17"/>
          <w:color w:val="auto"/>
        </w:rPr>
      </w:pPr>
    </w:p>
    <w:p>
      <w:pPr>
        <w:ind w:left="460" w:hanging="460"/>
        <w:spacing w:after="0"/>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Does not include 6,278,354 ordinary shares beneficially held by entities affiliated with Mangrove Capital Partners as set forth in footnote (4) above.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Changes in Ownership</w:t>
      </w:r>
    </w:p>
    <w:p>
      <w:pPr>
        <w:spacing w:after="0" w:line="210" w:lineRule="exact"/>
        <w:rPr>
          <w:sz w:val="20"/>
          <w:szCs w:val="20"/>
          <w:color w:val="auto"/>
        </w:rPr>
      </w:pPr>
    </w:p>
    <w:p>
      <w:pPr>
        <w:ind w:right="180" w:firstLine="410"/>
        <w:spacing w:after="0" w:line="268" w:lineRule="auto"/>
        <w:rPr>
          <w:sz w:val="20"/>
          <w:szCs w:val="20"/>
          <w:color w:val="auto"/>
        </w:rPr>
      </w:pPr>
      <w:r>
        <w:rPr>
          <w:rFonts w:ascii="Arial" w:cs="Arial" w:eastAsia="Arial" w:hAnsi="Arial"/>
          <w:sz w:val="17"/>
          <w:szCs w:val="17"/>
          <w:color w:val="auto"/>
        </w:rPr>
        <w:t>To our knowledge, other than as disclosed in the table above, our other filings with the SEC and this Annual Report on form 20-F, there has been no significant change in the percentage ownership held by any major shareholder during the past three years.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Rights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Neither our major shareholders nor our directors and executive officers will have different or special voting rights with respect to their ordinary shares.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Registered Holders</w:t>
      </w:r>
    </w:p>
    <w:p>
      <w:pPr>
        <w:spacing w:after="0" w:line="210"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As of February 28, 2022, approximately 73% of our outstanding shares were held by 181 holders of record in the United States. The number of record holders in the United States is not representative of the number of beneficial holders nor is it representative of where such beneficial holders are resident since many of these ordinary shares were held by brokers or other nominees.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b w:val="1"/>
          <w:bCs w:val="1"/>
          <w:color w:val="auto"/>
        </w:rPr>
        <w:t>Change in Control Arrangements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are not aware of any arrangement that may at a subsequent date, result in a change of control of the Company.</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B.  Related Party Transactions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is a description of our related party transactions as defined under Item 7.B of Form 20-F, since January 1, 2019.</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Equity Financings</w:t>
      </w:r>
    </w:p>
    <w:p>
      <w:pPr>
        <w:spacing w:after="0" w:line="210" w:lineRule="exact"/>
        <w:rPr>
          <w:sz w:val="20"/>
          <w:szCs w:val="20"/>
          <w:color w:val="auto"/>
        </w:rPr>
      </w:pPr>
    </w:p>
    <w:p>
      <w:pPr>
        <w:ind w:right="80" w:firstLine="410"/>
        <w:spacing w:after="0" w:line="290" w:lineRule="auto"/>
        <w:rPr>
          <w:sz w:val="20"/>
          <w:szCs w:val="20"/>
          <w:color w:val="auto"/>
        </w:rPr>
      </w:pPr>
      <w:r>
        <w:rPr>
          <w:rFonts w:ascii="Arial" w:cs="Arial" w:eastAsia="Arial" w:hAnsi="Arial"/>
          <w:sz w:val="15"/>
          <w:szCs w:val="15"/>
          <w:i w:val="1"/>
          <w:iCs w:val="1"/>
          <w:color w:val="auto"/>
        </w:rPr>
        <w:t xml:space="preserve">Series E-3 Preferred Share Financing. </w:t>
      </w:r>
      <w:r>
        <w:rPr>
          <w:rFonts w:ascii="Arial" w:cs="Arial" w:eastAsia="Arial" w:hAnsi="Arial"/>
          <w:sz w:val="15"/>
          <w:szCs w:val="15"/>
          <w:color w:val="auto"/>
        </w:rPr>
        <w:t>In June 2018, we signed a third extension to the Series E Share Purchase Agreement, dated as of October 7, 2016,</w:t>
      </w:r>
      <w:r>
        <w:rPr>
          <w:rFonts w:ascii="Arial" w:cs="Arial" w:eastAsia="Arial" w:hAnsi="Arial"/>
          <w:sz w:val="15"/>
          <w:szCs w:val="15"/>
          <w:i w:val="1"/>
          <w:iCs w:val="1"/>
          <w:color w:val="auto"/>
        </w:rPr>
        <w:t xml:space="preserve"> </w:t>
      </w:r>
      <w:r>
        <w:rPr>
          <w:rFonts w:ascii="Arial" w:cs="Arial" w:eastAsia="Arial" w:hAnsi="Arial"/>
          <w:sz w:val="15"/>
          <w:szCs w:val="15"/>
          <w:color w:val="auto"/>
        </w:rPr>
        <w:t>undertaking to sell to investors an aggregate of 3,047,459 of our Series E-3 preferred shares at a purchase price of $13.12569 per share for an aggregate purchase price of $40 million, such shares to be issued (against payment) upon our funding request, no later than 24 months from the initial closing. In October 2018, we signed a joinder to the third extension to the Series E Share Purchase Agreement, undertaking to sell an aggregate of 761,864 of our Series E-3 preferred shares at a purchase price of $13.12569 per share for an aggregate purchase price of $10 million. Each Series E-3 preferred share automatically converted into one ordinary share immediately prior to the closing of our IPO in accordance with the terms of our articles of association in effect prior to our IPO.</w:t>
      </w:r>
    </w:p>
    <w:p>
      <w:pPr>
        <w:spacing w:after="0" w:line="155" w:lineRule="exact"/>
        <w:rPr>
          <w:sz w:val="20"/>
          <w:szCs w:val="20"/>
          <w:color w:val="auto"/>
        </w:rPr>
      </w:pPr>
    </w:p>
    <w:p>
      <w:pPr>
        <w:ind w:firstLine="410"/>
        <w:spacing w:after="0" w:line="290" w:lineRule="auto"/>
        <w:rPr>
          <w:sz w:val="20"/>
          <w:szCs w:val="20"/>
          <w:color w:val="auto"/>
        </w:rPr>
      </w:pPr>
      <w:r>
        <w:rPr>
          <w:rFonts w:ascii="Arial" w:cs="Arial" w:eastAsia="Arial" w:hAnsi="Arial"/>
          <w:sz w:val="15"/>
          <w:szCs w:val="15"/>
          <w:i w:val="1"/>
          <w:iCs w:val="1"/>
          <w:color w:val="auto"/>
        </w:rPr>
        <w:t xml:space="preserve">Series F Preferred Share Financing. </w:t>
      </w:r>
      <w:r>
        <w:rPr>
          <w:rFonts w:ascii="Arial" w:cs="Arial" w:eastAsia="Arial" w:hAnsi="Arial"/>
          <w:sz w:val="15"/>
          <w:szCs w:val="15"/>
          <w:color w:val="auto"/>
        </w:rPr>
        <w:t>In November 2019, we signed a Series F Share Purchase Agreement, undertaking to sell to investors an aggregate of</w:t>
      </w:r>
      <w:r>
        <w:rPr>
          <w:rFonts w:ascii="Arial" w:cs="Arial" w:eastAsia="Arial" w:hAnsi="Arial"/>
          <w:sz w:val="15"/>
          <w:szCs w:val="15"/>
          <w:i w:val="1"/>
          <w:iCs w:val="1"/>
          <w:color w:val="auto"/>
        </w:rPr>
        <w:t xml:space="preserve"> </w:t>
      </w:r>
      <w:r>
        <w:rPr>
          <w:rFonts w:ascii="Arial" w:cs="Arial" w:eastAsia="Arial" w:hAnsi="Arial"/>
          <w:sz w:val="15"/>
          <w:szCs w:val="15"/>
          <w:color w:val="auto"/>
        </w:rPr>
        <w:t>4,103,487 of our Series F preferred shares at a purchase price of $21.932565 per share for an aggregate purchase price of $90 million, such shares to be issued (against payment) from time to time upon our funding request(s) or the purchase request(s) of such investors, no later than 24 months from the initial closing or (if earlier) upon an IPO or exit event. In January 2020, we signed a joinder to the Series F Share Purchase Agreement, selling an aggregate of 159,338 of our Series F preferred shares at a purchase price of $21.932565 per share for an aggregate purchase price of approximately $3.5 million. Each Series F preferred share automatically converted into one ordinary share immediately prior to the closing of our IPO in accordance with the terms of our articles of association in effect prior to our IPO.</w:t>
      </w:r>
    </w:p>
    <w:p>
      <w:pPr>
        <w:spacing w:after="0" w:line="155" w:lineRule="exact"/>
        <w:rPr>
          <w:sz w:val="20"/>
          <w:szCs w:val="20"/>
          <w:color w:val="auto"/>
        </w:rPr>
      </w:pPr>
    </w:p>
    <w:p>
      <w:pPr>
        <w:ind w:right="100" w:firstLine="410"/>
        <w:spacing w:after="0" w:line="257" w:lineRule="auto"/>
        <w:rPr>
          <w:sz w:val="20"/>
          <w:szCs w:val="20"/>
          <w:color w:val="auto"/>
        </w:rPr>
      </w:pPr>
      <w:r>
        <w:rPr>
          <w:rFonts w:ascii="Arial" w:cs="Arial" w:eastAsia="Arial" w:hAnsi="Arial"/>
          <w:sz w:val="17"/>
          <w:szCs w:val="17"/>
          <w:color w:val="auto"/>
        </w:rPr>
        <w:t>The following table summarizes the Series E-3 preferred shares and Series F preferred shares purchased by holders of more than 5% of our share capital, our executive officers, members of our board of directors and any entities affiliated with our executive officers or a member of our board of directors, as of the date of this Annual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gridSpan w:val="4"/>
          </w:tcPr>
          <w:p>
            <w:pPr>
              <w:jc w:val="right"/>
              <w:ind w:right="640"/>
              <w:spacing w:after="0"/>
              <w:rPr>
                <w:sz w:val="20"/>
                <w:szCs w:val="20"/>
                <w:color w:val="auto"/>
              </w:rPr>
            </w:pPr>
            <w:r>
              <w:rPr>
                <w:rFonts w:ascii="Arial" w:cs="Arial" w:eastAsia="Arial" w:hAnsi="Arial"/>
                <w:sz w:val="17"/>
                <w:szCs w:val="17"/>
                <w:b w:val="1"/>
                <w:bCs w:val="1"/>
                <w:color w:val="auto"/>
              </w:rPr>
              <w:t>Series E-3 Preferred Shares</w:t>
            </w:r>
          </w:p>
        </w:tc>
        <w:tc>
          <w:tcPr>
            <w:tcW w:w="2820" w:type="dxa"/>
            <w:vAlign w:val="bottom"/>
            <w:gridSpan w:val="4"/>
          </w:tcPr>
          <w:p>
            <w:pPr>
              <w:jc w:val="right"/>
              <w:ind w:right="540"/>
              <w:spacing w:after="0"/>
              <w:rPr>
                <w:sz w:val="20"/>
                <w:szCs w:val="20"/>
                <w:color w:val="auto"/>
              </w:rPr>
            </w:pPr>
            <w:r>
              <w:rPr>
                <w:rFonts w:ascii="Arial" w:cs="Arial" w:eastAsia="Arial" w:hAnsi="Arial"/>
                <w:sz w:val="17"/>
                <w:szCs w:val="17"/>
                <w:b w:val="1"/>
                <w:bCs w:val="1"/>
                <w:color w:val="auto"/>
              </w:rPr>
              <w:t>Series F Preferred Shares</w:t>
            </w:r>
          </w:p>
        </w:tc>
        <w:tc>
          <w:tcPr>
            <w:tcW w:w="0" w:type="dxa"/>
            <w:vAlign w:val="bottom"/>
          </w:tcPr>
          <w:p>
            <w:pPr>
              <w:spacing w:after="0"/>
              <w:rPr>
                <w:sz w:val="1"/>
                <w:szCs w:val="1"/>
                <w:color w:val="auto"/>
              </w:rPr>
            </w:pPr>
          </w:p>
        </w:tc>
      </w:tr>
      <w:tr>
        <w:trPr>
          <w:trHeight w:val="184"/>
        </w:trPr>
        <w:tc>
          <w:tcPr>
            <w:tcW w:w="5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7"/>
                <w:szCs w:val="17"/>
                <w:b w:val="1"/>
                <w:bCs w:val="1"/>
                <w:color w:val="auto"/>
                <w:w w:val="85"/>
              </w:rPr>
              <w:t>Aggregate</w:t>
            </w:r>
          </w:p>
        </w:tc>
        <w:tc>
          <w:tcPr>
            <w:tcW w:w="16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7"/>
                <w:szCs w:val="17"/>
                <w:b w:val="1"/>
                <w:bCs w:val="1"/>
                <w:color w:val="auto"/>
                <w:w w:val="85"/>
              </w:rPr>
              <w:t>Aggregate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3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Shareholder</w:t>
            </w:r>
            <w:r>
              <w:rPr>
                <w:rFonts w:ascii="Arial" w:cs="Arial" w:eastAsia="Arial" w:hAnsi="Arial"/>
                <w:sz w:val="27"/>
                <w:szCs w:val="27"/>
                <w:b w:val="1"/>
                <w:bCs w:val="1"/>
                <w:color w:val="auto"/>
                <w:vertAlign w:val="superscript"/>
              </w:rPr>
              <w:t>(1)</w:t>
            </w: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4"/>
              </w:rPr>
              <w:t>Shares</w:t>
            </w:r>
          </w:p>
        </w:tc>
        <w:tc>
          <w:tcPr>
            <w:tcW w:w="172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6"/>
              </w:rPr>
              <w:t>Purchase</w:t>
            </w:r>
          </w:p>
        </w:tc>
        <w:tc>
          <w:tcPr>
            <w:tcW w:w="13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4"/>
              </w:rPr>
              <w:t>Shares</w:t>
            </w:r>
          </w:p>
        </w:tc>
        <w:tc>
          <w:tcPr>
            <w:tcW w:w="152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86"/>
              </w:rPr>
              <w:t>Purchase</w:t>
            </w:r>
          </w:p>
        </w:tc>
        <w:tc>
          <w:tcPr>
            <w:tcW w:w="0" w:type="dxa"/>
            <w:vAlign w:val="bottom"/>
          </w:tcPr>
          <w:p>
            <w:pPr>
              <w:spacing w:after="0"/>
              <w:rPr>
                <w:sz w:val="1"/>
                <w:szCs w:val="1"/>
                <w:color w:val="auto"/>
              </w:rPr>
            </w:pPr>
          </w:p>
        </w:tc>
      </w:tr>
      <w:tr>
        <w:trPr>
          <w:trHeight w:val="222"/>
        </w:trPr>
        <w:tc>
          <w:tcPr>
            <w:tcW w:w="5340" w:type="dxa"/>
            <w:vAlign w:val="bottom"/>
            <w:gridSpan w:val="2"/>
            <w:vMerge w:val="continue"/>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7"/>
              </w:rPr>
              <w:t>Purchased</w:t>
            </w:r>
          </w:p>
        </w:tc>
        <w:tc>
          <w:tcPr>
            <w:tcW w:w="17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6"/>
              </w:rPr>
              <w:t>Price</w:t>
            </w:r>
          </w:p>
        </w:tc>
        <w:tc>
          <w:tcPr>
            <w:tcW w:w="13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5"/>
              </w:rPr>
              <w:t>Purchased</w:t>
            </w:r>
          </w:p>
        </w:tc>
        <w:tc>
          <w:tcPr>
            <w:tcW w:w="152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w w:val="91"/>
              </w:rPr>
              <w:t>Price</w:t>
            </w:r>
          </w:p>
        </w:tc>
        <w:tc>
          <w:tcPr>
            <w:tcW w:w="0" w:type="dxa"/>
            <w:vAlign w:val="bottom"/>
          </w:tcPr>
          <w:p>
            <w:pPr>
              <w:spacing w:after="0"/>
              <w:rPr>
                <w:sz w:val="1"/>
                <w:szCs w:val="1"/>
                <w:color w:val="auto"/>
              </w:rPr>
            </w:pPr>
          </w:p>
        </w:tc>
      </w:tr>
      <w:tr>
        <w:trPr>
          <w:trHeight w:val="201"/>
        </w:trPr>
        <w:tc>
          <w:tcPr>
            <w:tcW w:w="52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5"/>
                <w:szCs w:val="15"/>
                <w:color w:val="auto"/>
              </w:rPr>
              <w:t>Entities Affiliated with Insight Partners</w:t>
            </w:r>
            <w:r>
              <w:rPr>
                <w:rFonts w:ascii="Arial" w:cs="Arial" w:eastAsia="Arial" w:hAnsi="Arial"/>
                <w:sz w:val="23"/>
                <w:szCs w:val="23"/>
                <w:color w:val="auto"/>
                <w:vertAlign w:val="superscript"/>
              </w:rPr>
              <w:t>(2)</w:t>
            </w:r>
          </w:p>
        </w:tc>
        <w:tc>
          <w:tcPr>
            <w:tcW w:w="6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2,607,525</w:t>
            </w:r>
          </w:p>
        </w:tc>
        <w:tc>
          <w:tcPr>
            <w:tcW w:w="120" w:type="dxa"/>
            <w:vAlign w:val="bottom"/>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 million</w:t>
            </w:r>
          </w:p>
        </w:tc>
        <w:tc>
          <w:tcPr>
            <w:tcW w:w="16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911,886</w:t>
            </w:r>
          </w:p>
        </w:tc>
        <w:tc>
          <w:tcPr>
            <w:tcW w:w="140" w:type="dxa"/>
            <w:vAlign w:val="bottom"/>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 million</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gridSpan w:val="2"/>
          </w:tcPr>
          <w:p>
            <w:pPr>
              <w:spacing w:after="0" w:line="201" w:lineRule="exact"/>
              <w:rPr>
                <w:sz w:val="20"/>
                <w:szCs w:val="20"/>
                <w:color w:val="auto"/>
              </w:rPr>
            </w:pPr>
            <w:r>
              <w:rPr>
                <w:rFonts w:ascii="Arial" w:cs="Arial" w:eastAsia="Arial" w:hAnsi="Arial"/>
                <w:sz w:val="15"/>
                <w:szCs w:val="15"/>
                <w:color w:val="auto"/>
              </w:rPr>
              <w:t>Entities Affiliated with Mangrove Capital Partners</w:t>
            </w:r>
            <w:r>
              <w:rPr>
                <w:rFonts w:ascii="Arial" w:cs="Arial" w:eastAsia="Arial" w:hAnsi="Arial"/>
                <w:sz w:val="23"/>
                <w:szCs w:val="23"/>
                <w:color w:val="auto"/>
                <w:vertAlign w:val="superscript"/>
              </w:rPr>
              <w:t>(3)</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439,934</w:t>
            </w:r>
          </w:p>
        </w:tc>
        <w:tc>
          <w:tcPr>
            <w:tcW w:w="1720" w:type="dxa"/>
            <w:vAlign w:val="bottom"/>
            <w:gridSpan w:val="2"/>
          </w:tcPr>
          <w:p>
            <w:pPr>
              <w:jc w:val="right"/>
              <w:ind w:right="160"/>
              <w:spacing w:after="0"/>
              <w:rPr>
                <w:sz w:val="20"/>
                <w:szCs w:val="20"/>
                <w:color w:val="auto"/>
              </w:rPr>
            </w:pPr>
            <w:r>
              <w:rPr>
                <w:rFonts w:ascii="Arial" w:cs="Arial" w:eastAsia="Arial" w:hAnsi="Arial"/>
                <w:sz w:val="17"/>
                <w:szCs w:val="17"/>
                <w:color w:val="auto"/>
              </w:rPr>
              <w:t>$5.8 million</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5340" w:type="dxa"/>
            <w:vAlign w:val="bottom"/>
            <w:gridSpan w:val="2"/>
            <w:shd w:val="clear" w:color="auto" w:fill="CCEEFF"/>
          </w:tcPr>
          <w:p>
            <w:pPr>
              <w:spacing w:after="0" w:line="201" w:lineRule="exact"/>
              <w:rPr>
                <w:sz w:val="20"/>
                <w:szCs w:val="20"/>
                <w:color w:val="auto"/>
              </w:rPr>
            </w:pPr>
            <w:r>
              <w:rPr>
                <w:rFonts w:ascii="Arial" w:cs="Arial" w:eastAsia="Arial" w:hAnsi="Arial"/>
                <w:sz w:val="15"/>
                <w:szCs w:val="15"/>
                <w:color w:val="auto"/>
              </w:rPr>
              <w:t>Entity Affiliated with Vitruvian Partners</w:t>
            </w:r>
            <w:r>
              <w:rPr>
                <w:rFonts w:ascii="Arial" w:cs="Arial" w:eastAsia="Arial" w:hAnsi="Arial"/>
                <w:sz w:val="23"/>
                <w:szCs w:val="23"/>
                <w:color w:val="auto"/>
                <w:vertAlign w:val="superscript"/>
              </w:rPr>
              <w:t>(4)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3,191,601</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$70.0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183515</wp:posOffset>
            </wp:positionV>
            <wp:extent cx="71418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344" w:lineRule="exact"/>
        <w:rPr>
          <w:sz w:val="20"/>
          <w:szCs w:val="20"/>
          <w:color w:val="auto"/>
        </w:rPr>
      </w:pPr>
    </w:p>
    <w:p>
      <w:pPr>
        <w:ind w:left="460" w:hanging="460"/>
        <w:spacing w:after="0"/>
        <w:tabs>
          <w:tab w:leader="none" w:pos="4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Additional details regarding certain of these shareholders and their equity holdings are provided in this Annual Report under the caption “Major Shareholders.”</w:t>
      </w:r>
    </w:p>
    <w:p>
      <w:pPr>
        <w:spacing w:after="0" w:line="40" w:lineRule="exact"/>
        <w:rPr>
          <w:rFonts w:ascii="Arial" w:cs="Arial" w:eastAsia="Arial" w:hAnsi="Arial"/>
          <w:sz w:val="15"/>
          <w:szCs w:val="15"/>
          <w:color w:val="auto"/>
        </w:rPr>
      </w:pPr>
    </w:p>
    <w:p>
      <w:pPr>
        <w:ind w:left="460" w:hanging="460"/>
        <w:spacing w:after="0"/>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Jeff Horing, a member of our board of directors, is a member of the board of managers of Insight Holdings Group LLC.</w:t>
      </w:r>
    </w:p>
    <w:p>
      <w:pPr>
        <w:spacing w:after="0" w:line="5" w:lineRule="exact"/>
        <w:rPr>
          <w:rFonts w:ascii="Arial" w:cs="Arial" w:eastAsia="Arial" w:hAnsi="Arial"/>
          <w:sz w:val="17"/>
          <w:szCs w:val="17"/>
          <w:color w:val="auto"/>
        </w:rPr>
      </w:pPr>
    </w:p>
    <w:p>
      <w:pPr>
        <w:ind w:left="460" w:hanging="460"/>
        <w:spacing w:after="0"/>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Roy Saar, a member of our board of directors, is a partner at Mangrove Capital Partners.</w:t>
      </w:r>
    </w:p>
    <w:p>
      <w:pPr>
        <w:spacing w:after="0" w:line="5" w:lineRule="exact"/>
        <w:rPr>
          <w:rFonts w:ascii="Arial" w:cs="Arial" w:eastAsia="Arial" w:hAnsi="Arial"/>
          <w:sz w:val="17"/>
          <w:szCs w:val="17"/>
          <w:color w:val="auto"/>
        </w:rPr>
      </w:pPr>
    </w:p>
    <w:p>
      <w:pPr>
        <w:ind w:left="460" w:hanging="460"/>
        <w:spacing w:after="0"/>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Michael Risman, a member of our board of directors, is the managing partner of Vitruvian Partners.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Rights of Appointment Pre-IPO</w:t>
      </w:r>
    </w:p>
    <w:p>
      <w:pPr>
        <w:spacing w:after="0" w:line="210" w:lineRule="exact"/>
        <w:rPr>
          <w:sz w:val="20"/>
          <w:szCs w:val="20"/>
          <w:color w:val="auto"/>
        </w:rPr>
      </w:pPr>
    </w:p>
    <w:p>
      <w:pPr>
        <w:ind w:right="180" w:firstLine="410"/>
        <w:spacing w:after="0" w:line="299" w:lineRule="auto"/>
        <w:rPr>
          <w:sz w:val="20"/>
          <w:szCs w:val="20"/>
          <w:color w:val="auto"/>
        </w:rPr>
      </w:pPr>
      <w:r>
        <w:rPr>
          <w:rFonts w:ascii="Arial" w:cs="Arial" w:eastAsia="Arial" w:hAnsi="Arial"/>
          <w:sz w:val="16"/>
          <w:szCs w:val="16"/>
          <w:color w:val="auto"/>
        </w:rPr>
        <w:t>Our board of directors currently consists of ten directors. Pursuant to our articles of association in effect prior to our IPO, certain of our shareholders, including our related parties, had rights to appoint members of our board of directors. See the section titled “Management—Appointment Rights.”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4" w:name="page125"/>
    <w:bookmarkEnd w:id="124"/>
    <w:p>
      <w:pPr>
        <w:ind w:right="260" w:firstLine="410"/>
        <w:spacing w:after="0" w:line="335" w:lineRule="auto"/>
        <w:rPr>
          <w:sz w:val="20"/>
          <w:szCs w:val="20"/>
          <w:color w:val="auto"/>
        </w:rPr>
      </w:pPr>
      <w:r>
        <w:rPr>
          <w:rFonts w:ascii="Arial" w:cs="Arial" w:eastAsia="Arial" w:hAnsi="Arial"/>
          <w:sz w:val="15"/>
          <w:szCs w:val="15"/>
          <w:color w:val="auto"/>
        </w:rPr>
        <w:t>All rights to appoint directors and observers terminated upon the closing of our IPO, although currently serving directors that were appointed prior to our IPO will continue to serve pursuant to their appointment until the annual general meeting of our shareholders at which the term of their class of director expires.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 Rights Agreement</w:t>
      </w:r>
    </w:p>
    <w:p>
      <w:pPr>
        <w:spacing w:after="0" w:line="210" w:lineRule="exact"/>
        <w:rPr>
          <w:sz w:val="20"/>
          <w:szCs w:val="20"/>
          <w:color w:val="auto"/>
        </w:rPr>
      </w:pPr>
    </w:p>
    <w:p>
      <w:pPr>
        <w:jc w:val="both"/>
        <w:ind w:right="140" w:firstLine="410"/>
        <w:spacing w:after="0" w:line="257" w:lineRule="auto"/>
        <w:rPr>
          <w:sz w:val="20"/>
          <w:szCs w:val="20"/>
          <w:color w:val="auto"/>
        </w:rPr>
      </w:pPr>
      <w:r>
        <w:rPr>
          <w:rFonts w:ascii="Arial" w:cs="Arial" w:eastAsia="Arial" w:hAnsi="Arial"/>
          <w:sz w:val="17"/>
          <w:szCs w:val="17"/>
          <w:color w:val="auto"/>
        </w:rPr>
        <w:t>In June 2021, we entered into an amended and restated investor’s rights agreement with certain holders of our preferred shares, entities affiliated with certain of our executive officers and directors, as well as certain of our executive officers and directors. These shareholders are entitled to certain registration rights with respect to the registrable securities held by them.</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Transactions</w:t>
      </w:r>
    </w:p>
    <w:p>
      <w:pPr>
        <w:spacing w:after="0" w:line="210" w:lineRule="exact"/>
        <w:rPr>
          <w:sz w:val="20"/>
          <w:szCs w:val="20"/>
          <w:color w:val="auto"/>
        </w:rPr>
      </w:pPr>
    </w:p>
    <w:p>
      <w:pPr>
        <w:ind w:firstLine="410"/>
        <w:spacing w:after="0" w:line="274" w:lineRule="auto"/>
        <w:rPr>
          <w:sz w:val="20"/>
          <w:szCs w:val="20"/>
          <w:color w:val="auto"/>
        </w:rPr>
      </w:pPr>
      <w:r>
        <w:rPr>
          <w:rFonts w:ascii="Arial" w:cs="Arial" w:eastAsia="Arial" w:hAnsi="Arial"/>
          <w:sz w:val="16"/>
          <w:szCs w:val="16"/>
          <w:color w:val="auto"/>
        </w:rPr>
        <w:t>In March 2012, we entered into a consulting agreement with Brooks S.M. Projects Ltd. (“Brooks”), an entity controlled by Rafael Sweary, our President and a member of our board of directors. Under the agreement, Brooks and Mr. Sweary provided marketing, business strategy and business development consulting services at a monthly cost of NIS 41,250 plus VAT. In May 2019, Brooks and Mr. Sweary terminated the consulting agreement. We paid Brooks an aggregate of approximately $0.5 million and $0.2 million under the consulting agreement for the years ended December 31, 2018 and 2019, respectively.</w:t>
      </w:r>
    </w:p>
    <w:p>
      <w:pPr>
        <w:spacing w:after="0" w:line="164" w:lineRule="exact"/>
        <w:rPr>
          <w:sz w:val="20"/>
          <w:szCs w:val="20"/>
          <w:color w:val="auto"/>
        </w:rPr>
      </w:pPr>
    </w:p>
    <w:p>
      <w:pPr>
        <w:jc w:val="both"/>
        <w:ind w:firstLine="410"/>
        <w:spacing w:after="0" w:line="257" w:lineRule="auto"/>
        <w:rPr>
          <w:sz w:val="20"/>
          <w:szCs w:val="20"/>
          <w:color w:val="auto"/>
        </w:rPr>
      </w:pPr>
      <w:r>
        <w:rPr>
          <w:rFonts w:ascii="Arial" w:cs="Arial" w:eastAsia="Arial" w:hAnsi="Arial"/>
          <w:sz w:val="17"/>
          <w:szCs w:val="17"/>
          <w:color w:val="auto"/>
        </w:rPr>
        <w:t>Maya Flisser, the spouse of Dan Adika, our Chief Executive Officer and a member of our board of directors, is employed by us as a Purchasing Manager based in Tel Aviv. We believe Ms. Flisser’s compensation is aligned with that of employees of similar companies in Tel Aviv having similar skills and experience. Ms. Flisser is not an executive officer of the Company.</w:t>
      </w:r>
    </w:p>
    <w:p>
      <w:pPr>
        <w:spacing w:after="0" w:line="175" w:lineRule="exact"/>
        <w:rPr>
          <w:sz w:val="20"/>
          <w:szCs w:val="20"/>
          <w:color w:val="auto"/>
        </w:rPr>
      </w:pPr>
    </w:p>
    <w:p>
      <w:pPr>
        <w:ind w:right="260" w:firstLine="410"/>
        <w:spacing w:after="0" w:line="299" w:lineRule="auto"/>
        <w:rPr>
          <w:sz w:val="20"/>
          <w:szCs w:val="20"/>
          <w:color w:val="auto"/>
        </w:rPr>
      </w:pPr>
      <w:r>
        <w:rPr>
          <w:rFonts w:ascii="Arial" w:cs="Arial" w:eastAsia="Arial" w:hAnsi="Arial"/>
          <w:sz w:val="16"/>
          <w:szCs w:val="16"/>
          <w:color w:val="auto"/>
        </w:rPr>
        <w:t>For each of the years ended December 31, 2019, 2020 and 2021, we paid BFP &amp; Co. (“BFP”), our external corporate counsel, consideration of approximately $590,000, $320,000 and $920,000, respectively, for legal services. Haleli Barath, a member of our board of directors, is a partner at BFP.</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Agreements with Directors and Officers</w:t>
      </w:r>
    </w:p>
    <w:p>
      <w:pPr>
        <w:spacing w:after="0" w:line="210" w:lineRule="exact"/>
        <w:rPr>
          <w:sz w:val="20"/>
          <w:szCs w:val="20"/>
          <w:color w:val="auto"/>
        </w:rPr>
      </w:pPr>
    </w:p>
    <w:p>
      <w:pPr>
        <w:ind w:right="40" w:firstLine="410"/>
        <w:spacing w:after="0" w:line="268" w:lineRule="auto"/>
        <w:rPr>
          <w:sz w:val="20"/>
          <w:szCs w:val="20"/>
          <w:color w:val="auto"/>
        </w:rPr>
      </w:pPr>
      <w:r>
        <w:rPr>
          <w:rFonts w:ascii="Arial" w:cs="Arial" w:eastAsia="Arial" w:hAnsi="Arial"/>
          <w:sz w:val="17"/>
          <w:szCs w:val="17"/>
          <w:i w:val="1"/>
          <w:iCs w:val="1"/>
          <w:color w:val="auto"/>
        </w:rPr>
        <w:t xml:space="preserve">Employment and Consulting Agreements. </w:t>
      </w:r>
      <w:r>
        <w:rPr>
          <w:rFonts w:ascii="Arial" w:cs="Arial" w:eastAsia="Arial" w:hAnsi="Arial"/>
          <w:sz w:val="17"/>
          <w:szCs w:val="17"/>
          <w:color w:val="auto"/>
        </w:rPr>
        <w:t>We have entered into written employment agreements with each of our executive officers. See Item 6.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and Consulting Agreements with Executive Officers.”</w:t>
      </w:r>
    </w:p>
    <w:p>
      <w:pPr>
        <w:spacing w:after="0" w:line="166" w:lineRule="exact"/>
        <w:rPr>
          <w:sz w:val="20"/>
          <w:szCs w:val="20"/>
          <w:color w:val="auto"/>
        </w:rPr>
      </w:pPr>
    </w:p>
    <w:p>
      <w:pPr>
        <w:ind w:right="300" w:firstLine="410"/>
        <w:spacing w:after="0" w:line="257" w:lineRule="auto"/>
        <w:rPr>
          <w:sz w:val="20"/>
          <w:szCs w:val="20"/>
          <w:color w:val="auto"/>
        </w:rPr>
      </w:pPr>
      <w:r>
        <w:rPr>
          <w:rFonts w:ascii="Arial" w:cs="Arial" w:eastAsia="Arial" w:hAnsi="Arial"/>
          <w:sz w:val="17"/>
          <w:szCs w:val="17"/>
          <w:i w:val="1"/>
          <w:iCs w:val="1"/>
          <w:color w:val="auto"/>
        </w:rPr>
        <w:t xml:space="preserve">Awards. </w:t>
      </w:r>
      <w:r>
        <w:rPr>
          <w:rFonts w:ascii="Arial" w:cs="Arial" w:eastAsia="Arial" w:hAnsi="Arial"/>
          <w:sz w:val="17"/>
          <w:szCs w:val="17"/>
          <w:color w:val="auto"/>
        </w:rPr>
        <w:t>Since our inception, we have granted options to purchase our ordinary shares to our executive officers and certain of our directors. Such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may contain acceleration provisions upon certain merger, acquisition or change of control transactions and other circumstances. We describe our option plans under “Management—Share Option Plans.”</w:t>
      </w:r>
    </w:p>
    <w:p>
      <w:pPr>
        <w:spacing w:after="0" w:line="175" w:lineRule="exact"/>
        <w:rPr>
          <w:sz w:val="20"/>
          <w:szCs w:val="20"/>
          <w:color w:val="auto"/>
        </w:rPr>
      </w:pPr>
    </w:p>
    <w:p>
      <w:pPr>
        <w:ind w:right="100" w:firstLine="410"/>
        <w:spacing w:after="0" w:line="251" w:lineRule="auto"/>
        <w:rPr>
          <w:sz w:val="20"/>
          <w:szCs w:val="20"/>
          <w:color w:val="auto"/>
        </w:rPr>
      </w:pPr>
      <w:r>
        <w:rPr>
          <w:rFonts w:ascii="Arial" w:cs="Arial" w:eastAsia="Arial" w:hAnsi="Arial"/>
          <w:sz w:val="17"/>
          <w:szCs w:val="17"/>
          <w:i w:val="1"/>
          <w:iCs w:val="1"/>
          <w:color w:val="auto"/>
        </w:rPr>
        <w:t xml:space="preserve">Exculpation, Indemnification and Insurance. </w:t>
      </w:r>
      <w:r>
        <w:rPr>
          <w:rFonts w:ascii="Arial" w:cs="Arial" w:eastAsia="Arial" w:hAnsi="Arial"/>
          <w:sz w:val="17"/>
          <w:szCs w:val="17"/>
          <w:color w:val="auto"/>
        </w:rPr>
        <w:t>Our Articles of Association permit us to exculpate, indemnify and insure certain of our office holders to the fullest</w:t>
      </w:r>
      <w:r>
        <w:rPr>
          <w:rFonts w:ascii="Arial" w:cs="Arial" w:eastAsia="Arial" w:hAnsi="Arial"/>
          <w:sz w:val="17"/>
          <w:szCs w:val="17"/>
          <w:i w:val="1"/>
          <w:iCs w:val="1"/>
          <w:color w:val="auto"/>
        </w:rPr>
        <w:t xml:space="preserve"> </w:t>
      </w:r>
      <w:r>
        <w:rPr>
          <w:rFonts w:ascii="Arial" w:cs="Arial" w:eastAsia="Arial" w:hAnsi="Arial"/>
          <w:sz w:val="17"/>
          <w:szCs w:val="17"/>
          <w:color w:val="auto"/>
        </w:rPr>
        <w:t>extent permitted by the Companies Law. We have entered into agreements with certain office holders, exculpating them from a breach of their duty of care to us to the fullest extent permitted by law and undertaking to indemnify them to the fullest extent permitted by law, subject to certain exceptions, including with respect to liabilities resulting from the IPO to the extent that such liabilities are not covered by insurance. See Item 6. “Directors, Senior Management and Employees— Exculpation, Insurance and Indemnification of Directors and Officers.”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 Policy</w:t>
      </w:r>
    </w:p>
    <w:p>
      <w:pPr>
        <w:spacing w:after="0" w:line="210" w:lineRule="exact"/>
        <w:rPr>
          <w:sz w:val="20"/>
          <w:szCs w:val="20"/>
          <w:color w:val="auto"/>
        </w:rPr>
      </w:pPr>
    </w:p>
    <w:p>
      <w:pPr>
        <w:ind w:right="80" w:firstLine="410"/>
        <w:spacing w:after="0" w:line="250" w:lineRule="auto"/>
        <w:rPr>
          <w:sz w:val="20"/>
          <w:szCs w:val="20"/>
          <w:color w:val="auto"/>
        </w:rPr>
      </w:pPr>
      <w:r>
        <w:rPr>
          <w:rFonts w:ascii="Arial" w:cs="Arial" w:eastAsia="Arial" w:hAnsi="Arial"/>
          <w:sz w:val="17"/>
          <w:szCs w:val="17"/>
          <w:color w:val="auto"/>
        </w:rPr>
        <w:t>Our board of directors has adopted a written related party transaction policy that sets forth the policies and procedures for the review and approval or ratification of related person transactions. This policy covers interested party transactions under the Companies Law, interested party transactions as defined in Part I, Item 7.B of Form 20-F and transactions between the Company and an interested party, which are material to the Company or the interested party, and any such transactions between the Company and an interested party that are unusual in their nature or conditions, involving goods, services, or tangible or intangible assets. A transaction involving an amount exceeding $120,000 is presumed to be material, though transactions involving lower amounts may be material based on the facts and circumstances.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5" w:name="page126"/>
    <w:bookmarkEnd w:id="125"/>
    <w:p>
      <w:pPr>
        <w:ind w:left="420" w:right="8300" w:hanging="282"/>
        <w:spacing w:after="0" w:line="493" w:lineRule="auto"/>
        <w:tabs>
          <w:tab w:leader="none" w:pos="437"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Interests of Experts and Counsel </w:t>
      </w:r>
      <w:r>
        <w:rPr>
          <w:rFonts w:ascii="Arial" w:cs="Arial" w:eastAsia="Arial" w:hAnsi="Arial"/>
          <w:sz w:val="17"/>
          <w:szCs w:val="17"/>
          <w:color w:val="auto"/>
        </w:rPr>
        <w:t>Not applicable.</w:t>
      </w:r>
    </w:p>
    <w:p>
      <w:pPr>
        <w:spacing w:after="0"/>
        <w:rPr>
          <w:sz w:val="20"/>
          <w:szCs w:val="20"/>
          <w:color w:val="auto"/>
        </w:rPr>
      </w:pPr>
      <w:r>
        <w:rPr>
          <w:rFonts w:ascii="Arial" w:cs="Arial" w:eastAsia="Arial" w:hAnsi="Arial"/>
          <w:sz w:val="17"/>
          <w:szCs w:val="17"/>
          <w:b w:val="1"/>
          <w:bCs w:val="1"/>
          <w:color w:val="auto"/>
        </w:rPr>
        <w:t>Item 8. Financial Information</w:t>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A.  Consolidated Statements and Other Financial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Financial Statements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See Item 18.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and Arbitration Proceedings</w:t>
      </w:r>
    </w:p>
    <w:p>
      <w:pPr>
        <w:spacing w:after="0" w:line="206" w:lineRule="exact"/>
        <w:rPr>
          <w:sz w:val="20"/>
          <w:szCs w:val="20"/>
          <w:color w:val="auto"/>
        </w:rPr>
      </w:pPr>
    </w:p>
    <w:p>
      <w:pPr>
        <w:ind w:right="140" w:firstLine="410"/>
        <w:spacing w:after="0" w:line="271" w:lineRule="auto"/>
        <w:rPr>
          <w:sz w:val="20"/>
          <w:szCs w:val="20"/>
          <w:color w:val="auto"/>
        </w:rPr>
      </w:pPr>
      <w:r>
        <w:rPr>
          <w:rFonts w:ascii="Arial" w:cs="Arial" w:eastAsia="Arial" w:hAnsi="Arial"/>
          <w:sz w:val="16"/>
          <w:szCs w:val="16"/>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Policy</w:t>
      </w:r>
    </w:p>
    <w:p>
      <w:pPr>
        <w:spacing w:after="0" w:line="206" w:lineRule="exact"/>
        <w:rPr>
          <w:sz w:val="20"/>
          <w:szCs w:val="20"/>
          <w:color w:val="auto"/>
        </w:rPr>
      </w:pPr>
    </w:p>
    <w:p>
      <w:pPr>
        <w:ind w:firstLine="410"/>
        <w:spacing w:after="0" w:line="298" w:lineRule="auto"/>
        <w:rPr>
          <w:sz w:val="20"/>
          <w:szCs w:val="20"/>
          <w:color w:val="auto"/>
        </w:rPr>
      </w:pPr>
      <w:r>
        <w:rPr>
          <w:rFonts w:ascii="Arial" w:cs="Arial" w:eastAsia="Arial" w:hAnsi="Arial"/>
          <w:sz w:val="15"/>
          <w:szCs w:val="15"/>
          <w:color w:val="auto"/>
        </w:rPr>
        <w:t>We do not anticipate paying any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restrictions under our Credit Facility and other factors that our directors may deem relevant. The Companies Law imposes restrictions on our ability to declare and pay dividends.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Payment of dividends may be subject to Israeli withholding taxes. See Item 10.E. “Taxation—Israeli Tax Considerations” for additional information</w:t>
      </w:r>
    </w:p>
    <w:p>
      <w:pPr>
        <w:spacing w:after="0" w:line="214" w:lineRule="exact"/>
        <w:rPr>
          <w:sz w:val="20"/>
          <w:szCs w:val="20"/>
          <w:color w:val="auto"/>
        </w:rPr>
      </w:pPr>
    </w:p>
    <w:p>
      <w:pPr>
        <w:ind w:left="420" w:right="9200" w:hanging="282"/>
        <w:spacing w:after="0" w:line="493" w:lineRule="auto"/>
        <w:tabs>
          <w:tab w:leader="none" w:pos="437"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Changes </w:t>
      </w:r>
      <w:r>
        <w:rPr>
          <w:rFonts w:ascii="Arial" w:cs="Arial" w:eastAsia="Arial" w:hAnsi="Arial"/>
          <w:sz w:val="17"/>
          <w:szCs w:val="17"/>
          <w:color w:val="auto"/>
        </w:rPr>
        <w:t>None.</w:t>
      </w:r>
    </w:p>
    <w:p>
      <w:pPr>
        <w:spacing w:after="0"/>
        <w:rPr>
          <w:sz w:val="20"/>
          <w:szCs w:val="20"/>
          <w:color w:val="auto"/>
        </w:rPr>
      </w:pPr>
      <w:r>
        <w:rPr>
          <w:rFonts w:ascii="Arial" w:cs="Arial" w:eastAsia="Arial" w:hAnsi="Arial"/>
          <w:sz w:val="17"/>
          <w:szCs w:val="17"/>
          <w:b w:val="1"/>
          <w:bCs w:val="1"/>
          <w:color w:val="auto"/>
        </w:rPr>
        <w:t>Item 9. The Offer and Listing</w:t>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A.  Offer and Listing Details</w:t>
      </w:r>
    </w:p>
    <w:p>
      <w:pPr>
        <w:spacing w:after="0" w:line="210" w:lineRule="exact"/>
        <w:rPr>
          <w:sz w:val="20"/>
          <w:szCs w:val="20"/>
          <w:color w:val="auto"/>
        </w:rPr>
      </w:pPr>
    </w:p>
    <w:p>
      <w:pPr>
        <w:ind w:right="280" w:firstLine="410"/>
        <w:spacing w:after="0" w:line="268" w:lineRule="auto"/>
        <w:rPr>
          <w:sz w:val="20"/>
          <w:szCs w:val="20"/>
          <w:color w:val="auto"/>
        </w:rPr>
      </w:pPr>
      <w:r>
        <w:rPr>
          <w:rFonts w:ascii="Arial" w:cs="Arial" w:eastAsia="Arial" w:hAnsi="Arial"/>
          <w:sz w:val="17"/>
          <w:szCs w:val="17"/>
          <w:color w:val="auto"/>
        </w:rPr>
        <w:t>Our ordinary shares commenced trading on the Nasdaq Global Select Market on June 16, 2021 under the symbol “WKME.” Prior to this, no public market existed for our ordinary shares.</w:t>
      </w:r>
    </w:p>
    <w:p>
      <w:pPr>
        <w:spacing w:after="0" w:line="162" w:lineRule="exact"/>
        <w:rPr>
          <w:sz w:val="20"/>
          <w:szCs w:val="20"/>
          <w:color w:val="auto"/>
        </w:rPr>
      </w:pPr>
    </w:p>
    <w:p>
      <w:pPr>
        <w:ind w:left="420" w:right="9220" w:hanging="282"/>
        <w:spacing w:after="0" w:line="558" w:lineRule="auto"/>
        <w:tabs>
          <w:tab w:leader="none" w:pos="437" w:val="left"/>
        </w:tabs>
        <w:numPr>
          <w:ilvl w:val="0"/>
          <w:numId w:val="8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Plan of Distribution </w:t>
      </w:r>
      <w:r>
        <w:rPr>
          <w:rFonts w:ascii="Arial" w:cs="Arial" w:eastAsia="Arial" w:hAnsi="Arial"/>
          <w:sz w:val="15"/>
          <w:szCs w:val="15"/>
          <w:color w:val="auto"/>
        </w:rPr>
        <w:t>Not applicable.</w:t>
      </w:r>
    </w:p>
    <w:p>
      <w:pPr>
        <w:spacing w:after="0" w:line="1" w:lineRule="exact"/>
        <w:rPr>
          <w:rFonts w:ascii="Arial" w:cs="Arial" w:eastAsia="Arial" w:hAnsi="Arial"/>
          <w:sz w:val="15"/>
          <w:szCs w:val="15"/>
          <w:b w:val="1"/>
          <w:bCs w:val="1"/>
          <w:color w:val="auto"/>
        </w:rPr>
      </w:pPr>
    </w:p>
    <w:p>
      <w:pPr>
        <w:ind w:left="420" w:hanging="282"/>
        <w:spacing w:after="0"/>
        <w:tabs>
          <w:tab w:leader="none" w:pos="420"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Markets</w:t>
      </w:r>
    </w:p>
    <w:p>
      <w:pPr>
        <w:spacing w:after="0" w:line="210" w:lineRule="exact"/>
        <w:rPr>
          <w:rFonts w:ascii="Arial" w:cs="Arial" w:eastAsia="Arial" w:hAnsi="Arial"/>
          <w:sz w:val="17"/>
          <w:szCs w:val="17"/>
          <w:b w:val="1"/>
          <w:bCs w:val="1"/>
          <w:color w:val="auto"/>
        </w:rPr>
      </w:pPr>
    </w:p>
    <w:p>
      <w:pPr>
        <w:ind w:left="420"/>
        <w:spacing w:after="0"/>
        <w:rPr>
          <w:rFonts w:ascii="Arial" w:cs="Arial" w:eastAsia="Arial" w:hAnsi="Arial"/>
          <w:sz w:val="17"/>
          <w:szCs w:val="17"/>
          <w:b w:val="1"/>
          <w:bCs w:val="1"/>
          <w:color w:val="auto"/>
        </w:rPr>
      </w:pPr>
      <w:r>
        <w:rPr>
          <w:rFonts w:ascii="Arial" w:cs="Arial" w:eastAsia="Arial" w:hAnsi="Arial"/>
          <w:sz w:val="17"/>
          <w:szCs w:val="17"/>
          <w:color w:val="auto"/>
        </w:rPr>
        <w:t>Our ordinary shares commenced trading on the Nasdaq Global Select Market on June 16, 2021.</w:t>
      </w:r>
    </w:p>
    <w:p>
      <w:pPr>
        <w:spacing w:after="0" w:line="36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060"/>
          </w:cols>
          <w:pgMar w:left="320" w:top="324" w:right="519" w:bottom="1440" w:gutter="0" w:footer="0" w:header="0"/>
        </w:sectPr>
      </w:pPr>
    </w:p>
    <w:bookmarkStart w:id="126" w:name="page127"/>
    <w:bookmarkEnd w:id="126"/>
    <w:p>
      <w:pPr>
        <w:ind w:left="420" w:right="9280" w:hanging="282"/>
        <w:spacing w:after="0" w:line="598" w:lineRule="auto"/>
        <w:tabs>
          <w:tab w:leader="none" w:pos="437" w:val="left"/>
        </w:tabs>
        <w:numPr>
          <w:ilvl w:val="0"/>
          <w:numId w:val="8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Selling Shareholders </w:t>
      </w:r>
      <w:r>
        <w:rPr>
          <w:rFonts w:ascii="Arial" w:cs="Arial" w:eastAsia="Arial" w:hAnsi="Arial"/>
          <w:sz w:val="14"/>
          <w:szCs w:val="14"/>
          <w:color w:val="auto"/>
        </w:rPr>
        <w:t>Not applicable.</w:t>
      </w:r>
    </w:p>
    <w:p>
      <w:pPr>
        <w:spacing w:after="0" w:line="1" w:lineRule="exact"/>
        <w:rPr>
          <w:rFonts w:ascii="Arial" w:cs="Arial" w:eastAsia="Arial" w:hAnsi="Arial"/>
          <w:sz w:val="14"/>
          <w:szCs w:val="14"/>
          <w:b w:val="1"/>
          <w:bCs w:val="1"/>
          <w:color w:val="auto"/>
        </w:rPr>
      </w:pPr>
    </w:p>
    <w:p>
      <w:pPr>
        <w:ind w:left="420" w:hanging="282"/>
        <w:spacing w:after="0"/>
        <w:tabs>
          <w:tab w:leader="none" w:pos="42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Dilution</w:t>
      </w:r>
    </w:p>
    <w:p>
      <w:pPr>
        <w:spacing w:after="0" w:line="210" w:lineRule="exact"/>
        <w:rPr>
          <w:rFonts w:ascii="Arial" w:cs="Arial" w:eastAsia="Arial" w:hAnsi="Arial"/>
          <w:sz w:val="17"/>
          <w:szCs w:val="17"/>
          <w:b w:val="1"/>
          <w:bCs w:val="1"/>
          <w:color w:val="auto"/>
        </w:rPr>
      </w:pPr>
    </w:p>
    <w:p>
      <w:pPr>
        <w:ind w:left="420"/>
        <w:spacing w:after="0"/>
        <w:rPr>
          <w:rFonts w:ascii="Arial" w:cs="Arial" w:eastAsia="Arial" w:hAnsi="Arial"/>
          <w:sz w:val="17"/>
          <w:szCs w:val="17"/>
          <w:b w:val="1"/>
          <w:bCs w:val="1"/>
          <w:color w:val="auto"/>
        </w:rPr>
      </w:pPr>
      <w:r>
        <w:rPr>
          <w:rFonts w:ascii="Arial" w:cs="Arial" w:eastAsia="Arial" w:hAnsi="Arial"/>
          <w:sz w:val="17"/>
          <w:szCs w:val="17"/>
          <w:color w:val="auto"/>
        </w:rPr>
        <w:t>Not applicable.</w:t>
      </w:r>
    </w:p>
    <w:p>
      <w:pPr>
        <w:spacing w:after="0" w:line="202" w:lineRule="exact"/>
        <w:rPr>
          <w:rFonts w:ascii="Arial" w:cs="Arial" w:eastAsia="Arial" w:hAnsi="Arial"/>
          <w:sz w:val="17"/>
          <w:szCs w:val="17"/>
          <w:b w:val="1"/>
          <w:bCs w:val="1"/>
          <w:color w:val="auto"/>
        </w:rPr>
      </w:pPr>
    </w:p>
    <w:p>
      <w:pPr>
        <w:ind w:left="420" w:hanging="282"/>
        <w:spacing w:after="0"/>
        <w:tabs>
          <w:tab w:leader="none" w:pos="42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Expenses of the Issue</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Additional Information</w:t>
      </w:r>
    </w:p>
    <w:p>
      <w:pPr>
        <w:spacing w:after="0" w:line="206" w:lineRule="exact"/>
        <w:rPr>
          <w:sz w:val="20"/>
          <w:szCs w:val="20"/>
          <w:color w:val="auto"/>
        </w:rPr>
      </w:pPr>
    </w:p>
    <w:p>
      <w:pPr>
        <w:jc w:val="both"/>
        <w:ind w:left="420" w:right="9740" w:hanging="282"/>
        <w:spacing w:after="0" w:line="558" w:lineRule="auto"/>
        <w:tabs>
          <w:tab w:leader="none" w:pos="437" w:val="left"/>
        </w:tabs>
        <w:numPr>
          <w:ilvl w:val="0"/>
          <w:numId w:val="8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 Capital </w:t>
      </w:r>
      <w:r>
        <w:rPr>
          <w:rFonts w:ascii="Arial" w:cs="Arial" w:eastAsia="Arial" w:hAnsi="Arial"/>
          <w:sz w:val="15"/>
          <w:szCs w:val="15"/>
          <w:color w:val="auto"/>
        </w:rPr>
        <w:t>Not applicable.</w:t>
      </w:r>
    </w:p>
    <w:p>
      <w:pPr>
        <w:spacing w:after="0" w:line="1" w:lineRule="exact"/>
        <w:rPr>
          <w:rFonts w:ascii="Arial" w:cs="Arial" w:eastAsia="Arial" w:hAnsi="Arial"/>
          <w:sz w:val="15"/>
          <w:szCs w:val="15"/>
          <w:b w:val="1"/>
          <w:bCs w:val="1"/>
          <w:color w:val="auto"/>
        </w:rPr>
      </w:pPr>
    </w:p>
    <w:p>
      <w:pPr>
        <w:ind w:left="420" w:hanging="282"/>
        <w:spacing w:after="0"/>
        <w:tabs>
          <w:tab w:leader="none" w:pos="420"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Memorandum and Articles of Association</w:t>
      </w:r>
    </w:p>
    <w:p>
      <w:pPr>
        <w:spacing w:after="0" w:line="210" w:lineRule="exact"/>
        <w:rPr>
          <w:sz w:val="20"/>
          <w:szCs w:val="20"/>
          <w:color w:val="auto"/>
        </w:rPr>
      </w:pPr>
    </w:p>
    <w:p>
      <w:pPr>
        <w:ind w:right="20" w:firstLine="410"/>
        <w:spacing w:after="0" w:line="268" w:lineRule="auto"/>
        <w:rPr>
          <w:sz w:val="20"/>
          <w:szCs w:val="20"/>
          <w:color w:val="auto"/>
        </w:rPr>
      </w:pPr>
      <w:r>
        <w:rPr>
          <w:rFonts w:ascii="Arial" w:cs="Arial" w:eastAsia="Arial" w:hAnsi="Arial"/>
          <w:sz w:val="17"/>
          <w:szCs w:val="17"/>
          <w:color w:val="auto"/>
        </w:rPr>
        <w:t>A copy of our Articles of Association is attached as Exhibit 1.1 to this Annual Report. Other than as set forth below, the information called for by this Item is set forth in Exhibit 2.1 to this Annual Report and is incorporated by reference into this Annual Report.</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C.  Material Contracts</w:t>
      </w:r>
    </w:p>
    <w:p>
      <w:pPr>
        <w:spacing w:after="0" w:line="210" w:lineRule="exact"/>
        <w:rPr>
          <w:sz w:val="20"/>
          <w:szCs w:val="20"/>
          <w:color w:val="auto"/>
        </w:rPr>
      </w:pPr>
    </w:p>
    <w:p>
      <w:pPr>
        <w:ind w:right="160" w:firstLine="410"/>
        <w:spacing w:after="0" w:line="268" w:lineRule="auto"/>
        <w:rPr>
          <w:sz w:val="20"/>
          <w:szCs w:val="20"/>
          <w:color w:val="auto"/>
        </w:rPr>
      </w:pPr>
      <w:r>
        <w:rPr>
          <w:rFonts w:ascii="Arial" w:cs="Arial" w:eastAsia="Arial" w:hAnsi="Arial"/>
          <w:sz w:val="17"/>
          <w:szCs w:val="17"/>
          <w:color w:val="auto"/>
        </w:rPr>
        <w:t>Except as disclosed below or otherwise disclosed in this Annual Report (including the Exhibits), we are not currently, nor have we been for the past two years, party to any material contract, other than contracts entered into in the ordinary course of business.</w:t>
      </w:r>
    </w:p>
    <w:p>
      <w:pPr>
        <w:spacing w:after="0" w:line="166" w:lineRule="exact"/>
        <w:rPr>
          <w:sz w:val="20"/>
          <w:szCs w:val="20"/>
          <w:color w:val="auto"/>
        </w:rPr>
      </w:pPr>
    </w:p>
    <w:p>
      <w:pPr>
        <w:ind w:left="900" w:right="180" w:hanging="297"/>
        <w:spacing w:after="0" w:line="257" w:lineRule="auto"/>
        <w:tabs>
          <w:tab w:leader="none" w:pos="900" w:val="left"/>
        </w:tabs>
        <w:numPr>
          <w:ilvl w:val="0"/>
          <w:numId w:val="88"/>
        </w:numPr>
        <w:rPr>
          <w:rFonts w:ascii="Arial" w:cs="Arial" w:eastAsia="Arial" w:hAnsi="Arial"/>
          <w:sz w:val="17"/>
          <w:szCs w:val="17"/>
          <w:color w:val="0000EE"/>
        </w:rPr>
      </w:pPr>
      <w:hyperlink r:id="rId159">
        <w:r>
          <w:rPr>
            <w:rFonts w:ascii="Arial" w:cs="Arial" w:eastAsia="Arial" w:hAnsi="Arial"/>
            <w:sz w:val="17"/>
            <w:szCs w:val="17"/>
            <w:u w:val="single" w:color="auto"/>
            <w:color w:val="0000EE"/>
          </w:rPr>
          <w:t>Form of Indemnification Agreement entered into by and between the Registrant and each director and executive officer (Exhibit 10.5 to the Company's</w:t>
        </w:r>
      </w:hyperlink>
      <w:r>
        <w:rPr>
          <w:rFonts w:ascii="Arial" w:cs="Arial" w:eastAsia="Arial" w:hAnsi="Arial"/>
          <w:sz w:val="17"/>
          <w:szCs w:val="17"/>
          <w:u w:val="single" w:color="auto"/>
          <w:color w:val="0000EE"/>
        </w:rPr>
        <w:t xml:space="preserve"> </w:t>
      </w:r>
      <w:hyperlink r:id="rId159">
        <w:r>
          <w:rPr>
            <w:rFonts w:ascii="Arial" w:cs="Arial" w:eastAsia="Arial" w:hAnsi="Arial"/>
            <w:sz w:val="17"/>
            <w:szCs w:val="17"/>
            <w:u w:val="single" w:color="auto"/>
            <w:color w:val="0000EE"/>
          </w:rPr>
          <w:t>Registration Statement on Form F-1 (File No. 333-256219) filed with the SEC on May 17, 2021).</w:t>
        </w:r>
        <w:r>
          <w:rPr>
            <w:rFonts w:ascii="Arial" w:cs="Arial" w:eastAsia="Arial" w:hAnsi="Arial"/>
            <w:sz w:val="17"/>
            <w:szCs w:val="17"/>
            <w:color w:val="0000EE"/>
          </w:rPr>
          <w:t xml:space="preserve"> </w:t>
        </w:r>
        <w:r>
          <w:rPr>
            <w:rFonts w:ascii="Arial" w:cs="Arial" w:eastAsia="Arial" w:hAnsi="Arial"/>
            <w:sz w:val="17"/>
            <w:szCs w:val="17"/>
            <w:color w:val="000000"/>
          </w:rPr>
          <w:t>See Item 6, "Directors, Senior Management and</w:t>
        </w:r>
      </w:hyperlink>
      <w:r>
        <w:rPr>
          <w:rFonts w:ascii="Arial" w:cs="Arial" w:eastAsia="Arial" w:hAnsi="Arial"/>
          <w:sz w:val="17"/>
          <w:szCs w:val="17"/>
          <w:color w:val="0000EE"/>
        </w:rPr>
        <w:t xml:space="preserve"> </w:t>
      </w:r>
      <w:r>
        <w:rPr>
          <w:rFonts w:ascii="Arial" w:cs="Arial" w:eastAsia="Arial" w:hAnsi="Arial"/>
          <w:sz w:val="17"/>
          <w:szCs w:val="17"/>
          <w:color w:val="000000"/>
        </w:rPr>
        <w:t>Employees" for more information about this document.</w:t>
      </w:r>
    </w:p>
    <w:p>
      <w:pPr>
        <w:spacing w:after="0" w:line="175" w:lineRule="exact"/>
        <w:rPr>
          <w:rFonts w:ascii="Arial" w:cs="Arial" w:eastAsia="Arial" w:hAnsi="Arial"/>
          <w:sz w:val="17"/>
          <w:szCs w:val="17"/>
          <w:color w:val="0000EE"/>
        </w:rPr>
      </w:pPr>
    </w:p>
    <w:p>
      <w:pPr>
        <w:ind w:left="900" w:right="80" w:hanging="297"/>
        <w:spacing w:after="0" w:line="268" w:lineRule="auto"/>
        <w:tabs>
          <w:tab w:leader="none" w:pos="900" w:val="left"/>
        </w:tabs>
        <w:numPr>
          <w:ilvl w:val="0"/>
          <w:numId w:val="88"/>
        </w:numPr>
        <w:rPr>
          <w:rFonts w:ascii="Arial" w:cs="Arial" w:eastAsia="Arial" w:hAnsi="Arial"/>
          <w:sz w:val="17"/>
          <w:szCs w:val="17"/>
          <w:color w:val="0000EE"/>
        </w:rPr>
      </w:pPr>
      <w:hyperlink r:id="rId160">
        <w:r>
          <w:rPr>
            <w:rFonts w:ascii="Arial" w:cs="Arial" w:eastAsia="Arial" w:hAnsi="Arial"/>
            <w:sz w:val="17"/>
            <w:szCs w:val="17"/>
            <w:u w:val="single" w:color="auto"/>
            <w:color w:val="0000EE"/>
          </w:rPr>
          <w:t>Restated 2012 Share Option Plan (Exhibit 10.1 to the Company's Registration Statement on Form F-1 (File No. 333-256219) filed with the SEC on May</w:t>
        </w:r>
      </w:hyperlink>
      <w:r>
        <w:rPr>
          <w:rFonts w:ascii="Arial" w:cs="Arial" w:eastAsia="Arial" w:hAnsi="Arial"/>
          <w:sz w:val="17"/>
          <w:szCs w:val="17"/>
          <w:u w:val="single" w:color="auto"/>
          <w:color w:val="0000EE"/>
        </w:rPr>
        <w:t xml:space="preserve"> </w:t>
      </w:r>
      <w:hyperlink r:id="rId160">
        <w:r>
          <w:rPr>
            <w:rFonts w:ascii="Arial" w:cs="Arial" w:eastAsia="Arial" w:hAnsi="Arial"/>
            <w:sz w:val="17"/>
            <w:szCs w:val="17"/>
            <w:u w:val="single" w:color="auto"/>
            <w:color w:val="0000EE"/>
          </w:rPr>
          <w:t>17, 2021).</w:t>
        </w:r>
        <w:r>
          <w:rPr>
            <w:rFonts w:ascii="Arial" w:cs="Arial" w:eastAsia="Arial" w:hAnsi="Arial"/>
            <w:sz w:val="17"/>
            <w:szCs w:val="17"/>
            <w:color w:val="0000EE"/>
          </w:rPr>
          <w:t xml:space="preserve"> </w:t>
        </w:r>
        <w:r>
          <w:rPr>
            <w:rFonts w:ascii="Arial" w:cs="Arial" w:eastAsia="Arial" w:hAnsi="Arial"/>
            <w:sz w:val="17"/>
            <w:szCs w:val="17"/>
            <w:color w:val="000000"/>
          </w:rPr>
          <w:t>See Item 6, "Directors, Senior Management and Employees" for more information about this document.</w:t>
        </w:r>
      </w:hyperlink>
    </w:p>
    <w:p>
      <w:pPr>
        <w:spacing w:after="0" w:line="165" w:lineRule="exact"/>
        <w:rPr>
          <w:rFonts w:ascii="Arial" w:cs="Arial" w:eastAsia="Arial" w:hAnsi="Arial"/>
          <w:sz w:val="17"/>
          <w:szCs w:val="17"/>
          <w:color w:val="0000EE"/>
        </w:rPr>
      </w:pPr>
    </w:p>
    <w:p>
      <w:pPr>
        <w:ind w:left="900" w:right="300" w:hanging="297"/>
        <w:spacing w:after="0" w:line="268" w:lineRule="auto"/>
        <w:tabs>
          <w:tab w:leader="none" w:pos="900" w:val="left"/>
        </w:tabs>
        <w:numPr>
          <w:ilvl w:val="0"/>
          <w:numId w:val="88"/>
        </w:numPr>
        <w:rPr>
          <w:rFonts w:ascii="Arial" w:cs="Arial" w:eastAsia="Arial" w:hAnsi="Arial"/>
          <w:sz w:val="17"/>
          <w:szCs w:val="17"/>
          <w:color w:val="0000EE"/>
        </w:rPr>
      </w:pPr>
      <w:hyperlink r:id="rId161">
        <w:r>
          <w:rPr>
            <w:rFonts w:ascii="Arial" w:cs="Arial" w:eastAsia="Arial" w:hAnsi="Arial"/>
            <w:sz w:val="17"/>
            <w:szCs w:val="17"/>
            <w:u w:val="single" w:color="auto"/>
            <w:color w:val="0000EE"/>
          </w:rPr>
          <w:t>2021 Share Incentive Plan (Exhibit 10.2 to the Company's Registration Statement on Form F-1 (File No. 333-256219) filed with the SEC on May 17,</w:t>
        </w:r>
      </w:hyperlink>
      <w:r>
        <w:rPr>
          <w:rFonts w:ascii="Arial" w:cs="Arial" w:eastAsia="Arial" w:hAnsi="Arial"/>
          <w:sz w:val="17"/>
          <w:szCs w:val="17"/>
          <w:u w:val="single" w:color="auto"/>
          <w:color w:val="0000EE"/>
        </w:rPr>
        <w:t xml:space="preserve"> </w:t>
      </w:r>
      <w:hyperlink r:id="rId161">
        <w:r>
          <w:rPr>
            <w:rFonts w:ascii="Arial" w:cs="Arial" w:eastAsia="Arial" w:hAnsi="Arial"/>
            <w:sz w:val="17"/>
            <w:szCs w:val="17"/>
            <w:u w:val="single" w:color="auto"/>
            <w:color w:val="0000EE"/>
          </w:rPr>
          <w:t>2021).</w:t>
        </w:r>
        <w:r>
          <w:rPr>
            <w:rFonts w:ascii="Arial" w:cs="Arial" w:eastAsia="Arial" w:hAnsi="Arial"/>
            <w:sz w:val="17"/>
            <w:szCs w:val="17"/>
            <w:color w:val="0000EE"/>
          </w:rPr>
          <w:t xml:space="preserve"> </w:t>
        </w:r>
        <w:r>
          <w:rPr>
            <w:rFonts w:ascii="Arial" w:cs="Arial" w:eastAsia="Arial" w:hAnsi="Arial"/>
            <w:sz w:val="17"/>
            <w:szCs w:val="17"/>
            <w:color w:val="000000"/>
          </w:rPr>
          <w:t>See Item 6, "Directors, Senior Management and Employees" for more information about this document.</w:t>
        </w:r>
      </w:hyperlink>
    </w:p>
    <w:p>
      <w:pPr>
        <w:spacing w:after="0" w:line="165" w:lineRule="exact"/>
        <w:rPr>
          <w:rFonts w:ascii="Arial" w:cs="Arial" w:eastAsia="Arial" w:hAnsi="Arial"/>
          <w:sz w:val="17"/>
          <w:szCs w:val="17"/>
          <w:color w:val="0000EE"/>
        </w:rPr>
      </w:pPr>
    </w:p>
    <w:p>
      <w:pPr>
        <w:ind w:left="900" w:right="200" w:hanging="297"/>
        <w:spacing w:after="0" w:line="299" w:lineRule="auto"/>
        <w:tabs>
          <w:tab w:leader="none" w:pos="900" w:val="left"/>
        </w:tabs>
        <w:numPr>
          <w:ilvl w:val="0"/>
          <w:numId w:val="88"/>
        </w:numPr>
        <w:rPr>
          <w:rFonts w:ascii="Arial" w:cs="Arial" w:eastAsia="Arial" w:hAnsi="Arial"/>
          <w:sz w:val="16"/>
          <w:szCs w:val="16"/>
          <w:color w:val="0000EE"/>
        </w:rPr>
      </w:pPr>
      <w:hyperlink r:id="rId162">
        <w:r>
          <w:rPr>
            <w:rFonts w:ascii="Arial" w:cs="Arial" w:eastAsia="Arial" w:hAnsi="Arial"/>
            <w:sz w:val="16"/>
            <w:szCs w:val="16"/>
            <w:u w:val="single" w:color="auto"/>
            <w:color w:val="0000EE"/>
          </w:rPr>
          <w:t>2021 Employee Share Purchase Plan (Exhibit 10.3 to the Company's Registration Statement on Form F-1 (File No. 333-256219) filed with the SEC on</w:t>
        </w:r>
      </w:hyperlink>
      <w:r>
        <w:rPr>
          <w:rFonts w:ascii="Arial" w:cs="Arial" w:eastAsia="Arial" w:hAnsi="Arial"/>
          <w:sz w:val="16"/>
          <w:szCs w:val="16"/>
          <w:u w:val="single" w:color="auto"/>
          <w:color w:val="0000EE"/>
        </w:rPr>
        <w:t xml:space="preserve"> </w:t>
      </w:r>
      <w:hyperlink r:id="rId162">
        <w:r>
          <w:rPr>
            <w:rFonts w:ascii="Arial" w:cs="Arial" w:eastAsia="Arial" w:hAnsi="Arial"/>
            <w:sz w:val="16"/>
            <w:szCs w:val="16"/>
            <w:u w:val="single" w:color="auto"/>
            <w:color w:val="0000EE"/>
          </w:rPr>
          <w:t>May 17, 2021).</w:t>
        </w:r>
        <w:r>
          <w:rPr>
            <w:rFonts w:ascii="Arial" w:cs="Arial" w:eastAsia="Arial" w:hAnsi="Arial"/>
            <w:sz w:val="16"/>
            <w:szCs w:val="16"/>
            <w:color w:val="0000EE"/>
          </w:rPr>
          <w:t xml:space="preserve"> </w:t>
        </w:r>
        <w:r>
          <w:rPr>
            <w:rFonts w:ascii="Arial" w:cs="Arial" w:eastAsia="Arial" w:hAnsi="Arial"/>
            <w:sz w:val="16"/>
            <w:szCs w:val="16"/>
            <w:color w:val="000000"/>
          </w:rPr>
          <w:t>See Item 6, "Directors, Senior Management and Employees" for more information about this document.</w:t>
        </w:r>
      </w:hyperlink>
    </w:p>
    <w:p>
      <w:pPr>
        <w:spacing w:after="0" w:line="144" w:lineRule="exact"/>
        <w:rPr>
          <w:rFonts w:ascii="Arial" w:cs="Arial" w:eastAsia="Arial" w:hAnsi="Arial"/>
          <w:sz w:val="16"/>
          <w:szCs w:val="16"/>
          <w:color w:val="0000EE"/>
        </w:rPr>
      </w:pPr>
    </w:p>
    <w:p>
      <w:pPr>
        <w:ind w:left="900" w:hanging="297"/>
        <w:spacing w:after="0" w:line="299" w:lineRule="auto"/>
        <w:tabs>
          <w:tab w:leader="none" w:pos="900" w:val="left"/>
        </w:tabs>
        <w:numPr>
          <w:ilvl w:val="0"/>
          <w:numId w:val="88"/>
        </w:numPr>
        <w:rPr>
          <w:rFonts w:ascii="Arial" w:cs="Arial" w:eastAsia="Arial" w:hAnsi="Arial"/>
          <w:sz w:val="16"/>
          <w:szCs w:val="16"/>
          <w:color w:val="0000EE"/>
        </w:rPr>
      </w:pPr>
      <w:hyperlink r:id="rId163">
        <w:r>
          <w:rPr>
            <w:rFonts w:ascii="Arial" w:cs="Arial" w:eastAsia="Arial" w:hAnsi="Arial"/>
            <w:sz w:val="16"/>
            <w:szCs w:val="16"/>
            <w:u w:val="single" w:color="auto"/>
            <w:color w:val="0000EE"/>
          </w:rPr>
          <w:t>Compensation Policy for Officers and Directors (Exhibit 10.4 to the Company's Registration Statement on Form F-1 (File No. 333-256219) filed with the</w:t>
        </w:r>
      </w:hyperlink>
      <w:r>
        <w:rPr>
          <w:rFonts w:ascii="Arial" w:cs="Arial" w:eastAsia="Arial" w:hAnsi="Arial"/>
          <w:sz w:val="16"/>
          <w:szCs w:val="16"/>
          <w:u w:val="single" w:color="auto"/>
          <w:color w:val="0000EE"/>
        </w:rPr>
        <w:t xml:space="preserve"> </w:t>
      </w:r>
      <w:hyperlink r:id="rId163">
        <w:r>
          <w:rPr>
            <w:rFonts w:ascii="Arial" w:cs="Arial" w:eastAsia="Arial" w:hAnsi="Arial"/>
            <w:sz w:val="16"/>
            <w:szCs w:val="16"/>
            <w:u w:val="single" w:color="auto"/>
            <w:color w:val="0000EE"/>
          </w:rPr>
          <w:t>SEC on May 10, 2021).</w:t>
        </w:r>
        <w:r>
          <w:rPr>
            <w:rFonts w:ascii="Arial" w:cs="Arial" w:eastAsia="Arial" w:hAnsi="Arial"/>
            <w:sz w:val="16"/>
            <w:szCs w:val="16"/>
            <w:color w:val="0000EE"/>
          </w:rPr>
          <w:t xml:space="preserve"> </w:t>
        </w:r>
        <w:r>
          <w:rPr>
            <w:rFonts w:ascii="Arial" w:cs="Arial" w:eastAsia="Arial" w:hAnsi="Arial"/>
            <w:sz w:val="16"/>
            <w:szCs w:val="16"/>
            <w:color w:val="000000"/>
          </w:rPr>
          <w:t>See Item 6, "Directors, Senior Management and Employees" for more information about this document.</w:t>
        </w:r>
      </w:hyperlink>
    </w:p>
    <w:p>
      <w:pPr>
        <w:spacing w:after="0" w:line="144" w:lineRule="exact"/>
        <w:rPr>
          <w:rFonts w:ascii="Arial" w:cs="Arial" w:eastAsia="Arial" w:hAnsi="Arial"/>
          <w:sz w:val="16"/>
          <w:szCs w:val="16"/>
          <w:color w:val="0000EE"/>
        </w:rPr>
      </w:pPr>
    </w:p>
    <w:p>
      <w:pPr>
        <w:ind w:left="900" w:right="220" w:hanging="297"/>
        <w:spacing w:after="0" w:line="257" w:lineRule="auto"/>
        <w:tabs>
          <w:tab w:leader="none" w:pos="900" w:val="left"/>
        </w:tabs>
        <w:numPr>
          <w:ilvl w:val="0"/>
          <w:numId w:val="88"/>
        </w:numPr>
        <w:rPr>
          <w:rFonts w:ascii="Arial" w:cs="Arial" w:eastAsia="Arial" w:hAnsi="Arial"/>
          <w:sz w:val="17"/>
          <w:szCs w:val="17"/>
          <w:color w:val="0000EE"/>
        </w:rPr>
      </w:pPr>
      <w:hyperlink r:id="rId164">
        <w:r>
          <w:rPr>
            <w:rFonts w:ascii="Arial" w:cs="Arial" w:eastAsia="Arial" w:hAnsi="Arial"/>
            <w:sz w:val="17"/>
            <w:szCs w:val="17"/>
            <w:u w:val="single" w:color="auto"/>
            <w:color w:val="0000EE"/>
          </w:rPr>
          <w:t>2021 Amended and Restated Investor’s Rights Agreement, dated as of June 6, 2021, by and among the Registrant and the parties named in Schedule 1</w:t>
        </w:r>
      </w:hyperlink>
      <w:r>
        <w:rPr>
          <w:rFonts w:ascii="Arial" w:cs="Arial" w:eastAsia="Arial" w:hAnsi="Arial"/>
          <w:sz w:val="17"/>
          <w:szCs w:val="17"/>
          <w:u w:val="single" w:color="auto"/>
          <w:color w:val="0000EE"/>
        </w:rPr>
        <w:t xml:space="preserve"> </w:t>
      </w:r>
      <w:hyperlink r:id="rId164">
        <w:r>
          <w:rPr>
            <w:rFonts w:ascii="Arial" w:cs="Arial" w:eastAsia="Arial" w:hAnsi="Arial"/>
            <w:sz w:val="17"/>
            <w:szCs w:val="17"/>
            <w:u w:val="single" w:color="auto"/>
            <w:color w:val="0000EE"/>
          </w:rPr>
          <w:t>thereto (Exhibit 4.2 to the Company's Registration Statement on Form F-1 (File No. 333-256219) filed with the SEC on May 17, 2021).</w:t>
        </w:r>
        <w:r>
          <w:rPr>
            <w:rFonts w:ascii="Arial" w:cs="Arial" w:eastAsia="Arial" w:hAnsi="Arial"/>
            <w:sz w:val="17"/>
            <w:szCs w:val="17"/>
            <w:color w:val="0000EE"/>
          </w:rPr>
          <w:t xml:space="preserve"> </w:t>
        </w:r>
        <w:r>
          <w:rPr>
            <w:rFonts w:ascii="Arial" w:cs="Arial" w:eastAsia="Arial" w:hAnsi="Arial"/>
            <w:sz w:val="17"/>
            <w:szCs w:val="17"/>
            <w:color w:val="000000"/>
          </w:rPr>
          <w:t>See Item 6,</w:t>
        </w:r>
      </w:hyperlink>
      <w:r>
        <w:rPr>
          <w:rFonts w:ascii="Arial" w:cs="Arial" w:eastAsia="Arial" w:hAnsi="Arial"/>
          <w:sz w:val="17"/>
          <w:szCs w:val="17"/>
          <w:color w:val="0000EE"/>
        </w:rPr>
        <w:t xml:space="preserve"> </w:t>
      </w:r>
      <w:r>
        <w:rPr>
          <w:rFonts w:ascii="Arial" w:cs="Arial" w:eastAsia="Arial" w:hAnsi="Arial"/>
          <w:sz w:val="17"/>
          <w:szCs w:val="17"/>
          <w:color w:val="000000"/>
        </w:rPr>
        <w:t>"Directors, Senior Management and Employees" for more information about this document.</w:t>
      </w:r>
    </w:p>
    <w:p>
      <w:pPr>
        <w:spacing w:after="0" w:line="339" w:lineRule="exact"/>
        <w:rPr>
          <w:rFonts w:ascii="Arial" w:cs="Arial" w:eastAsia="Arial" w:hAnsi="Arial"/>
          <w:sz w:val="17"/>
          <w:szCs w:val="17"/>
          <w:color w:val="auto"/>
        </w:rPr>
      </w:pPr>
    </w:p>
    <w:p>
      <w:pPr>
        <w:jc w:val="center"/>
        <w:ind w:right="-79"/>
        <w:spacing w:after="0"/>
        <w:rPr>
          <w:sz w:val="20"/>
          <w:szCs w:val="20"/>
          <w:color w:val="auto"/>
        </w:rPr>
      </w:pPr>
      <w:r>
        <w:rPr>
          <w:rFonts w:ascii="Arial" w:cs="Arial" w:eastAsia="Arial" w:hAnsi="Arial"/>
          <w:sz w:val="17"/>
          <w:szCs w:val="17"/>
          <w:color w:val="auto"/>
        </w:rPr>
        <w:t>127</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127" w:name="page128"/>
    <w:bookmarkEnd w:id="127"/>
    <w:p>
      <w:pPr>
        <w:ind w:left="140"/>
        <w:spacing w:after="0"/>
        <w:rPr>
          <w:sz w:val="20"/>
          <w:szCs w:val="20"/>
          <w:color w:val="auto"/>
        </w:rPr>
      </w:pPr>
      <w:r>
        <w:rPr>
          <w:rFonts w:ascii="Arial" w:cs="Arial" w:eastAsia="Arial" w:hAnsi="Arial"/>
          <w:sz w:val="17"/>
          <w:szCs w:val="17"/>
          <w:b w:val="1"/>
          <w:bCs w:val="1"/>
          <w:color w:val="auto"/>
        </w:rPr>
        <w:t>D.  Exchange Controls</w:t>
      </w:r>
    </w:p>
    <w:p>
      <w:pPr>
        <w:spacing w:after="0" w:line="210" w:lineRule="exact"/>
        <w:rPr>
          <w:sz w:val="20"/>
          <w:szCs w:val="20"/>
          <w:color w:val="auto"/>
        </w:rPr>
      </w:pPr>
    </w:p>
    <w:p>
      <w:pPr>
        <w:ind w:right="140" w:firstLine="410"/>
        <w:spacing w:after="0" w:line="335" w:lineRule="auto"/>
        <w:rPr>
          <w:sz w:val="20"/>
          <w:szCs w:val="20"/>
          <w:color w:val="auto"/>
        </w:rPr>
      </w:pPr>
      <w:r>
        <w:rPr>
          <w:rFonts w:ascii="Arial" w:cs="Arial" w:eastAsia="Arial" w:hAnsi="Arial"/>
          <w:sz w:val="15"/>
          <w:szCs w:val="15"/>
          <w:color w:val="auto"/>
        </w:rPr>
        <w:t>There are currently no Israeli currency control restrictions on remittances of dividends on our ordinary shares, proceeds from the sale of the ordinary shares or interest or other payments to non-residents of Israel, except for shareholders who are subjects of countries that are, have been, or will be, in a state of war with Israel.</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E.  Taxation</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Israeli Tax Considerations</w:t>
      </w:r>
    </w:p>
    <w:p>
      <w:pPr>
        <w:spacing w:after="0" w:line="210" w:lineRule="exact"/>
        <w:rPr>
          <w:sz w:val="20"/>
          <w:szCs w:val="20"/>
          <w:color w:val="auto"/>
        </w:rPr>
      </w:pPr>
    </w:p>
    <w:p>
      <w:pPr>
        <w:ind w:right="120" w:firstLine="410"/>
        <w:spacing w:after="0" w:line="267" w:lineRule="auto"/>
        <w:rPr>
          <w:sz w:val="20"/>
          <w:szCs w:val="20"/>
          <w:color w:val="auto"/>
        </w:rPr>
      </w:pPr>
      <w:r>
        <w:rPr>
          <w:rFonts w:ascii="Arial" w:cs="Arial" w:eastAsia="Arial" w:hAnsi="Arial"/>
          <w:sz w:val="16"/>
          <w:szCs w:val="16"/>
          <w:color w:val="auto"/>
        </w:rPr>
        <w:t>The following is a brief summary of the material Israeli tax laws applicable to us, and certain Israeli Government programs that benefit us. This section also contains a discussion of material Israeli tax consequences concerning the ownership and disposition of our ordinary shares.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To the extent that the discussion is based on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70"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General corporate tax structure in Israel</w:t>
      </w:r>
    </w:p>
    <w:p>
      <w:pPr>
        <w:spacing w:after="0" w:line="206"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Israeli companies are generally subject to corporate tax. The standard corporate tax rate in 2021 is 23%. However, the effective tax rate payable by a company that derives income from an, a Preferred Enterprise or a Preferred Technological Enterprise (as discussed below) may be considerably less. Capital gains derived by an Israeli company are generally subject to the prevailing corporate tax rate.</w:t>
      </w:r>
    </w:p>
    <w:p>
      <w:pPr>
        <w:spacing w:after="0" w:line="175"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Law for the Encouragement of Capital Investments, 5719-1959</w:t>
      </w:r>
    </w:p>
    <w:p>
      <w:pPr>
        <w:spacing w:after="0" w:line="206" w:lineRule="exact"/>
        <w:rPr>
          <w:sz w:val="20"/>
          <w:szCs w:val="20"/>
          <w:color w:val="auto"/>
        </w:rPr>
      </w:pPr>
    </w:p>
    <w:p>
      <w:pPr>
        <w:ind w:right="660" w:firstLine="410"/>
        <w:spacing w:after="0" w:line="268" w:lineRule="auto"/>
        <w:rPr>
          <w:sz w:val="20"/>
          <w:szCs w:val="20"/>
          <w:color w:val="auto"/>
        </w:rPr>
      </w:pPr>
      <w:r>
        <w:rPr>
          <w:rFonts w:ascii="Arial" w:cs="Arial" w:eastAsia="Arial" w:hAnsi="Arial"/>
          <w:sz w:val="17"/>
          <w:szCs w:val="17"/>
          <w:color w:val="auto"/>
        </w:rPr>
        <w:t>The Law for the Encouragement of Capital Investments, 5719-1959, generally referred to as the Investment Law, provides certain incentives for capital investments in production facilities (or other eligible assets).</w:t>
      </w:r>
    </w:p>
    <w:p>
      <w:pPr>
        <w:spacing w:after="0" w:line="166" w:lineRule="exact"/>
        <w:rPr>
          <w:sz w:val="20"/>
          <w:szCs w:val="20"/>
          <w:color w:val="auto"/>
        </w:rPr>
      </w:pPr>
    </w:p>
    <w:p>
      <w:pPr>
        <w:ind w:firstLine="410"/>
        <w:spacing w:after="0" w:line="288" w:lineRule="auto"/>
        <w:rPr>
          <w:sz w:val="20"/>
          <w:szCs w:val="20"/>
          <w:color w:val="auto"/>
        </w:rPr>
      </w:pPr>
      <w:r>
        <w:rPr>
          <w:rFonts w:ascii="Arial" w:cs="Arial" w:eastAsia="Arial" w:hAnsi="Arial"/>
          <w:sz w:val="15"/>
          <w:szCs w:val="15"/>
          <w:color w:val="auto"/>
        </w:rPr>
        <w:t>The Investment Law was significantly amended effective as of April 1, 2005 (the “2005 Amendment”), as of January 1, 2011 (the “2011 Amendment”) and as of January 1, 2017 (the “2017 Amendment”). Pursuant to the 2005 Amendment, tax benefits granted in accordance with the provisions of the Investment Law prior to its revision by the 2005 Amendment remain in force but any benefits granted subsequently are subject to the provisions of the amended Investment Law.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The 2017 Amendment introduced new benefits for Preferred Technological Enterprises, alongside the existing tax benefits.</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28" w:name="page129"/>
    <w:bookmarkEnd w:id="128"/>
    <w:p>
      <w:pPr>
        <w:ind w:left="940"/>
        <w:spacing w:after="0"/>
        <w:rPr>
          <w:sz w:val="20"/>
          <w:szCs w:val="20"/>
          <w:color w:val="auto"/>
        </w:rPr>
      </w:pPr>
      <w:r>
        <w:rPr>
          <w:rFonts w:ascii="Arial" w:cs="Arial" w:eastAsia="Arial" w:hAnsi="Arial"/>
          <w:sz w:val="17"/>
          <w:szCs w:val="17"/>
          <w:i w:val="1"/>
          <w:iCs w:val="1"/>
          <w:color w:val="auto"/>
        </w:rPr>
        <w:t>Tax benefits under the 2011 Amendment</w:t>
      </w:r>
    </w:p>
    <w:p>
      <w:pPr>
        <w:spacing w:after="0" w:line="206" w:lineRule="exact"/>
        <w:rPr>
          <w:sz w:val="20"/>
          <w:szCs w:val="20"/>
          <w:color w:val="auto"/>
        </w:rPr>
      </w:pPr>
    </w:p>
    <w:p>
      <w:pPr>
        <w:ind w:right="20" w:firstLine="410"/>
        <w:spacing w:after="0" w:line="266" w:lineRule="auto"/>
        <w:rPr>
          <w:sz w:val="20"/>
          <w:szCs w:val="20"/>
          <w:color w:val="auto"/>
        </w:rPr>
      </w:pPr>
      <w:r>
        <w:rPr>
          <w:rFonts w:ascii="Arial" w:cs="Arial" w:eastAsia="Arial" w:hAnsi="Arial"/>
          <w:sz w:val="16"/>
          <w:szCs w:val="16"/>
          <w:color w:val="auto"/>
        </w:rPr>
        <w:t>The 2011 Amendment introduced new benefits for income generated by a “Preferred Company” through its “Preferred Enterprise” (as such terms are defined in the Investment Law) as of January 1, 2011. The definition of a Preferred Company includes a company incorporated in Israel that is not fully owned by a governmental entity, and that has, among other things, Preferred Enterprise status and is controlled and managed from Israel. Pursuant to the 2011 Amendment, a Preferred Company is entitled to a reduced corporate tax rate of 15% with respect to its income derived from its Preferred Enterprise in 2011 and 2012, unless the Preferred Enterprise is located in a specified development zone, in which case the rate will be 10%. Under the 2011 Amendment, together with amendments to the Investment Law from 2014 and 2017, such corporate tax rate was reduced from 15% and 10%, respectively, to 12.5% and 7%, respectively, in 2013, 16% and 9% respectively, in 2014, 2015 and 2016, and 16% and 7.5%, respectively, in 2017 and thereafter. Income derived by a Preferred Company from a “Special Preferred Enterprise” (as such term is defined in the Investment Law) would be entitled, during a benefits period of 10 years, to further reduced tax rates of 8%, or 5% if the Special Preferred Enterprise is located in a certain development zone.</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Dividends distributed from income which is attributed to a “Preferred Enterprise” should generally be subject to withholding tax at source at the following rates:</w:t>
      </w:r>
    </w:p>
    <w:p>
      <w:pPr>
        <w:spacing w:after="0" w:line="41" w:lineRule="exact"/>
        <w:rPr>
          <w:sz w:val="20"/>
          <w:szCs w:val="20"/>
          <w:color w:val="auto"/>
        </w:rPr>
      </w:pPr>
    </w:p>
    <w:p>
      <w:pPr>
        <w:spacing w:after="0" w:line="248" w:lineRule="auto"/>
        <w:tabs>
          <w:tab w:leader="none" w:pos="2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Israeli resident corporations-0%, (although, if such dividends are subsequently distributed to individuals or a non-Israeli company the below rates detailed in sub sections (ii) and (iii) shall apply), (ii) Israeli resident individuals-20% and (iii) non-Israeli residents (individuals and corporations)- subject to the receipt in advance of a valid certificate from the Israel Tax Authority (“ITA”) allowing for a reduced tax rate, 20% or such lower rate as may be provided under the provisions of any applicable double tax treaty.</w:t>
      </w:r>
    </w:p>
    <w:p>
      <w:pPr>
        <w:spacing w:after="0" w:line="184" w:lineRule="exact"/>
        <w:rPr>
          <w:sz w:val="20"/>
          <w:szCs w:val="20"/>
          <w:color w:val="auto"/>
        </w:rPr>
      </w:pPr>
    </w:p>
    <w:p>
      <w:pPr>
        <w:ind w:firstLine="410"/>
        <w:spacing w:after="0" w:line="274" w:lineRule="auto"/>
        <w:rPr>
          <w:sz w:val="20"/>
          <w:szCs w:val="20"/>
          <w:color w:val="auto"/>
        </w:rPr>
      </w:pPr>
      <w:r>
        <w:rPr>
          <w:rFonts w:ascii="Arial" w:cs="Arial" w:eastAsia="Arial" w:hAnsi="Arial"/>
          <w:sz w:val="16"/>
          <w:szCs w:val="16"/>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a “Benefited Enterprise” (as such term is defined under the Investment Law) can elect to continue to benefit from the benefits provided to it before the 2011 Amendment came into effect, provided that certain conditions are met.</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currently do not intend to implement the 2011 Amendment.</w:t>
      </w:r>
    </w:p>
    <w:p>
      <w:pPr>
        <w:spacing w:after="0" w:line="206"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Tax benefits under the 2017 Amendment that became effective on January 1, 2017</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2017 Amendment was enacted as part of the Economic Efficiency Law that was published on December 29, 2016, and is effective as of January 1, 2017. The</w:t>
      </w:r>
    </w:p>
    <w:p>
      <w:pPr>
        <w:spacing w:after="0" w:line="41" w:lineRule="exact"/>
        <w:rPr>
          <w:sz w:val="20"/>
          <w:szCs w:val="20"/>
          <w:color w:val="auto"/>
        </w:rPr>
      </w:pPr>
    </w:p>
    <w:p>
      <w:pPr>
        <w:ind w:right="360"/>
        <w:spacing w:after="0" w:line="253" w:lineRule="auto"/>
        <w:rPr>
          <w:sz w:val="20"/>
          <w:szCs w:val="20"/>
          <w:color w:val="auto"/>
        </w:rPr>
      </w:pPr>
      <w:r>
        <w:rPr>
          <w:rFonts w:ascii="Arial" w:cs="Arial" w:eastAsia="Arial" w:hAnsi="Arial"/>
          <w:sz w:val="17"/>
          <w:szCs w:val="17"/>
          <w:color w:val="auto"/>
        </w:rPr>
        <w:t>2017 Amendment provided new tax benefits for two types of “Preferred Technological Enterprises,” as described below, and is in addition to the other existing tax beneficial programs under the Investment Law.</w:t>
      </w:r>
    </w:p>
    <w:p>
      <w:pPr>
        <w:spacing w:after="0" w:line="178" w:lineRule="exact"/>
        <w:rPr>
          <w:sz w:val="20"/>
          <w:szCs w:val="20"/>
          <w:color w:val="auto"/>
        </w:rPr>
      </w:pPr>
    </w:p>
    <w:p>
      <w:pPr>
        <w:ind w:right="40" w:firstLine="410"/>
        <w:spacing w:after="0" w:line="269" w:lineRule="auto"/>
        <w:rPr>
          <w:sz w:val="20"/>
          <w:szCs w:val="20"/>
          <w:color w:val="auto"/>
        </w:rPr>
      </w:pPr>
      <w:r>
        <w:rPr>
          <w:rFonts w:ascii="Arial" w:cs="Arial" w:eastAsia="Arial" w:hAnsi="Arial"/>
          <w:sz w:val="16"/>
          <w:szCs w:val="16"/>
          <w:color w:val="auto"/>
        </w:rPr>
        <w:t>The 2017 Amendment provides that a technology company satisfying certain conditions should qualify as a Preferred Technological Enterprise (“PTE”) and thereby enjoy a reduced corporate tax rate of 12% on income that qualifies as “Preferred Technological Income,” as defined in the Investment Law. The tax rate is further reduced to 7.5% for a PTE located in development zone “A”. In addition, a PTE will enjoy a reduced corporate tax rate of 12% on capital gain derived from the sale of certain “Benefited Intangible Assets” (as defined in the Investment Law) to a related foreign company if the Benefited Intangible Assets were acquired from a foreign company on or after January 1, 2017 for at least NIS 200 million, and the sale received prior approval from the National Authority for Technological Innovation previously known as the Israeli Office of the Chief Scientist), to which we refer as IIA.</w:t>
      </w:r>
    </w:p>
    <w:p>
      <w:pPr>
        <w:spacing w:after="0" w:line="169" w:lineRule="exact"/>
        <w:rPr>
          <w:sz w:val="20"/>
          <w:szCs w:val="20"/>
          <w:color w:val="auto"/>
        </w:rPr>
      </w:pPr>
    </w:p>
    <w:p>
      <w:pPr>
        <w:ind w:right="80" w:firstLine="410"/>
        <w:spacing w:after="0" w:line="268" w:lineRule="auto"/>
        <w:rPr>
          <w:sz w:val="20"/>
          <w:szCs w:val="20"/>
          <w:color w:val="auto"/>
        </w:rPr>
      </w:pPr>
      <w:r>
        <w:rPr>
          <w:rFonts w:ascii="Arial" w:cs="Arial" w:eastAsia="Arial" w:hAnsi="Arial"/>
          <w:sz w:val="16"/>
          <w:szCs w:val="16"/>
          <w:color w:val="auto"/>
        </w:rPr>
        <w:t>The 2017 Amendment further provides that a technology company satisfying certain conditions (group turnover of at least NIS 10 billion) should qualify as a “Special Preferred Technological Enterprise” and will thereby enjoy a reduced corporate tax rate of 6% on “Preferred Technological Income” regardless of the company’s geographic location within Israel. In addition, a Special Preferred Technological Enterprise should enjoy a reduced corporate tax rate of 6% on capital gain derived from the sale of certain “Benefited Intangible Assets” to a related foreign company if the Benefited Intangible Assets were either developed by the Special Preferred Enterprise or acquired from a foreign company on or after January 1, 2017, and the sale received prior approval from IIA. A Special Preferred Technological Enterprise that acquires Benefited Intangible Assets from a foreign company for more than NIS 500 million should be eligible for these benefits for at least ten years, subject to certain approvals as specified in the Investment Law.</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9" w:name="page130"/>
    <w:bookmarkEnd w:id="129"/>
    <w:p>
      <w:pPr>
        <w:ind w:right="40" w:firstLine="410"/>
        <w:spacing w:after="0" w:line="267" w:lineRule="auto"/>
        <w:rPr>
          <w:sz w:val="20"/>
          <w:szCs w:val="20"/>
          <w:color w:val="auto"/>
        </w:rPr>
      </w:pPr>
      <w:r>
        <w:rPr>
          <w:rFonts w:ascii="Arial" w:cs="Arial" w:eastAsia="Arial" w:hAnsi="Arial"/>
          <w:sz w:val="16"/>
          <w:szCs w:val="16"/>
          <w:color w:val="auto"/>
        </w:rPr>
        <w:t>Dividends distributed out of Preferred Technological Income to Israeli shareholders by a PTE or a Special Preferred Technology Enterprise, paid out of Preferred Technological Income, should generally subject to withholding tax at source at the rate of 20% (in the case of non-Israeli shareholders, a lower rate may be provided in an applicable tax treaty) but in either case, subject to the receipt in advance of a valid certificate from the ITA allowing for a reduced tax rate. However, if such dividends are paid to an Israeli company, no tax is generally required to be withheld (although, if such dividends are subsequently distributed to individuals or a non-Israeli company, withholding tax at a rate of 20% or such lower rate as may be provided in an applicable tax treaty, should apply). If such dividends are distributed to a foreign company that holds solely or together with other foreign companies 90% or more in the Israeli company and other conditions are met, the withholding tax rate should be 4% (or such lower rate as may be provided in an applicable tax treaty, in either case, subject to the receipt in advance of a valid certificate from the ITA allowing for such reduced tax rate).</w:t>
      </w:r>
    </w:p>
    <w:p>
      <w:pPr>
        <w:spacing w:after="0" w:line="170"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We are currently are not entitled to the benefits under the 2017 Amendment. We are examining the potential impact of the 2017 Amendment and the degree to which we may qualify as a PTE, the amount of Preferred Technological Income that we may have and other benefits that we may receive from the 2017 Amendment in the future.</w:t>
      </w:r>
    </w:p>
    <w:p>
      <w:pPr>
        <w:spacing w:after="0" w:line="175"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Tax benefits and grants for research and development</w:t>
      </w:r>
    </w:p>
    <w:p>
      <w:pPr>
        <w:spacing w:after="0" w:line="206" w:lineRule="exact"/>
        <w:rPr>
          <w:sz w:val="20"/>
          <w:szCs w:val="20"/>
          <w:color w:val="auto"/>
        </w:rPr>
      </w:pPr>
    </w:p>
    <w:p>
      <w:pPr>
        <w:ind w:right="260" w:firstLine="410"/>
        <w:spacing w:after="0" w:line="335" w:lineRule="auto"/>
        <w:rPr>
          <w:sz w:val="20"/>
          <w:szCs w:val="20"/>
          <w:color w:val="auto"/>
        </w:rPr>
      </w:pPr>
      <w:r>
        <w:rPr>
          <w:rFonts w:ascii="Arial" w:cs="Arial" w:eastAsia="Arial" w:hAnsi="Arial"/>
          <w:sz w:val="15"/>
          <w:szCs w:val="15"/>
          <w:color w:val="auto"/>
        </w:rPr>
        <w:t>Israeli tax law allows, under certain conditions, a tax deduction for expenditures, including capital expenditures, in scientific research in the fields of industry, agriculture, transportation or energy, for the year in which they are incurred. Expenditures are deemed related to scientific research and development projects, if:</w:t>
      </w:r>
    </w:p>
    <w:p>
      <w:pPr>
        <w:spacing w:after="0" w:line="121" w:lineRule="exact"/>
        <w:rPr>
          <w:sz w:val="20"/>
          <w:szCs w:val="20"/>
          <w:color w:val="auto"/>
        </w:rPr>
      </w:pPr>
    </w:p>
    <w:p>
      <w:pPr>
        <w:ind w:left="740" w:hanging="325"/>
        <w:spacing w:after="0"/>
        <w:tabs>
          <w:tab w:leader="none" w:pos="7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expenditures are approved by the relevant Israeli government ministry, determined by the field of research;</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research and development must be for the promotion of the company; and</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research and development is carried out by or on behalf of the company seeking such tax deduction.</w:t>
      </w:r>
    </w:p>
    <w:p>
      <w:pPr>
        <w:spacing w:after="0" w:line="206" w:lineRule="exact"/>
        <w:rPr>
          <w:sz w:val="20"/>
          <w:szCs w:val="20"/>
          <w:color w:val="auto"/>
        </w:rPr>
      </w:pPr>
    </w:p>
    <w:p>
      <w:pPr>
        <w:ind w:right="180" w:firstLine="410"/>
        <w:spacing w:after="0" w:line="253" w:lineRule="auto"/>
        <w:rPr>
          <w:sz w:val="20"/>
          <w:szCs w:val="20"/>
          <w:color w:val="auto"/>
        </w:rPr>
      </w:pPr>
      <w:r>
        <w:rPr>
          <w:rFonts w:ascii="Arial" w:cs="Arial" w:eastAsia="Arial" w:hAnsi="Arial"/>
          <w:sz w:val="17"/>
          <w:szCs w:val="17"/>
          <w:color w:val="auto"/>
        </w:rPr>
        <w:t>The amount of such deductible expenses is reduced by the sum of any funds received through government grants for the finance of such scientific research and development projects. No deduction under these research and development deduction rules is allowed if such deduction is related to an expense invested in an asset depreciable under the general depreciation rules of the Ordinance. Expenditures that are unqualified under the conditions above are deductible in equal amounts over three years.</w:t>
      </w:r>
    </w:p>
    <w:p>
      <w:pPr>
        <w:spacing w:after="0" w:line="180" w:lineRule="exact"/>
        <w:rPr>
          <w:sz w:val="20"/>
          <w:szCs w:val="20"/>
          <w:color w:val="auto"/>
        </w:rPr>
      </w:pPr>
    </w:p>
    <w:p>
      <w:pPr>
        <w:ind w:right="220" w:firstLine="410"/>
        <w:spacing w:after="0" w:line="268" w:lineRule="auto"/>
        <w:rPr>
          <w:sz w:val="20"/>
          <w:szCs w:val="20"/>
          <w:color w:val="auto"/>
        </w:rPr>
      </w:pPr>
      <w:r>
        <w:rPr>
          <w:rFonts w:ascii="Arial" w:cs="Arial" w:eastAsia="Arial" w:hAnsi="Arial"/>
          <w:sz w:val="17"/>
          <w:szCs w:val="17"/>
          <w:color w:val="auto"/>
        </w:rPr>
        <w:t>From time to time we may apply to the Israel Innovation Authority for approval to allow a tax deduction for all or most of research and development expenses during the year incurred. There can be no assurance that such application will be accepted.</w:t>
      </w:r>
    </w:p>
    <w:p>
      <w:pPr>
        <w:spacing w:after="0" w:line="166"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Taxation of our shareholders</w:t>
      </w:r>
    </w:p>
    <w:p>
      <w:pPr>
        <w:spacing w:after="0" w:line="206" w:lineRule="exact"/>
        <w:rPr>
          <w:sz w:val="20"/>
          <w:szCs w:val="20"/>
          <w:color w:val="auto"/>
        </w:rPr>
      </w:pPr>
    </w:p>
    <w:p>
      <w:pPr>
        <w:ind w:firstLine="410"/>
        <w:spacing w:after="0" w:line="271" w:lineRule="auto"/>
        <w:rPr>
          <w:sz w:val="20"/>
          <w:szCs w:val="20"/>
          <w:color w:val="auto"/>
        </w:rPr>
      </w:pPr>
      <w:r>
        <w:rPr>
          <w:rFonts w:ascii="Arial" w:cs="Arial" w:eastAsia="Arial" w:hAnsi="Arial"/>
          <w:sz w:val="16"/>
          <w:szCs w:val="16"/>
          <w:i w:val="1"/>
          <w:iCs w:val="1"/>
          <w:color w:val="auto"/>
        </w:rPr>
        <w:t>Capital gains taxes applicable to non-Israeli resident shareholders</w:t>
      </w:r>
      <w:r>
        <w:rPr>
          <w:rFonts w:ascii="Arial" w:cs="Arial" w:eastAsia="Arial" w:hAnsi="Arial"/>
          <w:sz w:val="16"/>
          <w:szCs w:val="16"/>
          <w:color w:val="auto"/>
        </w:rPr>
        <w:t>. Capital gain tax is imposed on the disposition of capital assets by an Israeli resident for tax</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and on the disposition of such assets by a non-Israeli resident for tax purposes if those assets are (i) located in Israel; (ii) are shares or a right to a share in an Israeli resident corporation, or (iii) represent, directly or indirectly, rights to assets the majority of which are located in Israel, unless a specific exemption is available or unless a tax treaty between Israel and the shareholder’s country of residence provides otherwise. The Ordinance distinguishes between “Real Capital Gain” and the “Inflationary Surplus.” Real Capital Gain is the excess of the total capital gain over Inflationary Surplus.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0" w:name="page131"/>
    <w:bookmarkEnd w:id="130"/>
    <w:p>
      <w:pPr>
        <w:jc w:val="both"/>
        <w:ind w:right="200" w:firstLine="410"/>
        <w:spacing w:after="0" w:line="257" w:lineRule="auto"/>
        <w:rPr>
          <w:sz w:val="20"/>
          <w:szCs w:val="20"/>
          <w:color w:val="auto"/>
        </w:rPr>
      </w:pPr>
      <w:r>
        <w:rPr>
          <w:rFonts w:ascii="Arial" w:cs="Arial" w:eastAsia="Arial" w:hAnsi="Arial"/>
          <w:sz w:val="17"/>
          <w:szCs w:val="17"/>
          <w:color w:val="auto"/>
        </w:rPr>
        <w:t>Inflationary Surplus is a portion of the total capital gain which is equivalent to the increase in the relevant asset’s cost base that is attributable to the increase in the Israeli consumer price index or, in certain circumstances, a foreign currency exchange rate, between the date of purchase and the date of disposition. Inflationary Surplus attributed to the period after December 31, 1993 is not currently subject to tax in Israel.</w:t>
      </w:r>
    </w:p>
    <w:p>
      <w:pPr>
        <w:spacing w:after="0" w:line="175" w:lineRule="exact"/>
        <w:rPr>
          <w:sz w:val="20"/>
          <w:szCs w:val="20"/>
          <w:color w:val="auto"/>
        </w:rPr>
      </w:pPr>
    </w:p>
    <w:p>
      <w:pPr>
        <w:ind w:right="220" w:firstLine="410"/>
        <w:spacing w:after="0" w:line="274" w:lineRule="auto"/>
        <w:rPr>
          <w:sz w:val="20"/>
          <w:szCs w:val="20"/>
          <w:color w:val="auto"/>
        </w:rPr>
      </w:pPr>
      <w:r>
        <w:rPr>
          <w:rFonts w:ascii="Arial" w:cs="Arial" w:eastAsia="Arial" w:hAnsi="Arial"/>
          <w:sz w:val="16"/>
          <w:szCs w:val="16"/>
          <w:color w:val="auto"/>
        </w:rPr>
        <w:t>Real Capital Gain accrued by individuals on the sale of our shares should generally be taxed at the rate of 25%. However, if the individual shareholder is a “Controlling Shareholder” (as defined below) at the time of sale or at any time during the preceding 12-month period, such capital gain should be taxed at the rate of 30%. Furthermore, where an individual claimed real interest expenses and linkage differentials on securities, the capital gain on the sale of the securities should be taxed at a rate of 30%. Real Capital Gain derived by corporations should generally be subject to the corporate tax rate (23% in 2021).</w:t>
      </w:r>
    </w:p>
    <w:p>
      <w:pPr>
        <w:spacing w:after="0" w:line="164" w:lineRule="exact"/>
        <w:rPr>
          <w:sz w:val="20"/>
          <w:szCs w:val="20"/>
          <w:color w:val="auto"/>
        </w:rPr>
      </w:pPr>
    </w:p>
    <w:p>
      <w:pPr>
        <w:ind w:right="40" w:firstLine="410"/>
        <w:spacing w:after="0" w:line="269" w:lineRule="auto"/>
        <w:rPr>
          <w:sz w:val="20"/>
          <w:szCs w:val="20"/>
          <w:color w:val="auto"/>
        </w:rPr>
      </w:pPr>
      <w:r>
        <w:rPr>
          <w:rFonts w:ascii="Arial" w:cs="Arial" w:eastAsia="Arial" w:hAnsi="Arial"/>
          <w:sz w:val="16"/>
          <w:szCs w:val="16"/>
          <w:color w:val="auto"/>
        </w:rPr>
        <w:t>A non-Israeli resident who derives capital gains from the sale of shares in an Israeli resident company that were purchased upon or after the company was listed for trading on a stock exchange outside of Israel, should be exempt from Israeli capital gains tax so long as the capital gain derived from the sale of shares was not attributed to a permanent establishment that the non-resident maintains in Israel. However, non-Israeli entities (including corporations) should not be entitled to the foregoing exemption if Israeli residents: (i) have a controlling interest more than 25% in such non-Israeli entity or (ii) are the beneficiaries of, or are entitled to, 25% or more of the revenues or profits of such non-Israeli corporation, whether directly or indirectly. In addition, such exemption is not applicable to a person whose gains from selling or otherwise disposing of the shares are deemed to be business income.</w:t>
      </w:r>
    </w:p>
    <w:p>
      <w:pPr>
        <w:spacing w:after="0" w:line="169" w:lineRule="exact"/>
        <w:rPr>
          <w:sz w:val="20"/>
          <w:szCs w:val="20"/>
          <w:color w:val="auto"/>
        </w:rPr>
      </w:pPr>
    </w:p>
    <w:p>
      <w:pPr>
        <w:ind w:firstLine="410"/>
        <w:spacing w:after="0" w:line="286" w:lineRule="auto"/>
        <w:rPr>
          <w:sz w:val="20"/>
          <w:szCs w:val="20"/>
          <w:color w:val="auto"/>
        </w:rPr>
      </w:pPr>
      <w:r>
        <w:rPr>
          <w:rFonts w:ascii="Arial" w:cs="Arial" w:eastAsia="Arial" w:hAnsi="Arial"/>
          <w:sz w:val="15"/>
          <w:szCs w:val="15"/>
          <w:color w:val="auto"/>
        </w:rPr>
        <w:t>Additionally, a sale of securities by a non-Israeli resident may be exempt from Israeli capital gains tax under the provisions of an applicable tax treaty, subject to the eligibility of such person to the treaty benefits. For example, under Convention Between the Government of the United States of America and the Government of the State of Israel with respect to Taxes on Income, as amended (the “U.S Israel Tax Treaty”), the sale, exchange or other disposition of shares by a shareholder who is a United States resident (for purposes of the treaty) holding the shares as a capital asset and is entitled to claim the benefits afforded to such a resident by the U.S. Israel Tax Treaty (a “Treaty U.S. Resident”) is generally exempt from Israeli capital gains tax unless: (i) the capital gain arising from such sale, exchange or disposition is attributed to real estate located in Israel; (ii) the capital gain arising from such sale, exchange or disposition is attributed to royalties; (iii) the capital gain arising from the such sale, exchange or disposition is attributed to a permanent establishment in Israel, under certain terms; (iv) such Treaty U.S. Resident holds, directly or indirectly, shares representing 10% or more of the voting capital during any part of the 12 month period preceding the disposition, subject to certain conditions; or (v) such Treaty U.S. Resident , being an individual, was present in Israel for 183 days or more during the relevant taxable year.</w:t>
      </w:r>
    </w:p>
    <w:p>
      <w:pPr>
        <w:spacing w:after="0" w:line="159" w:lineRule="exact"/>
        <w:rPr>
          <w:sz w:val="20"/>
          <w:szCs w:val="20"/>
          <w:color w:val="auto"/>
        </w:rPr>
      </w:pPr>
    </w:p>
    <w:p>
      <w:pPr>
        <w:ind w:right="140" w:firstLine="410"/>
        <w:spacing w:after="0" w:line="271" w:lineRule="auto"/>
        <w:rPr>
          <w:sz w:val="20"/>
          <w:szCs w:val="20"/>
          <w:color w:val="auto"/>
        </w:rPr>
      </w:pPr>
      <w:r>
        <w:rPr>
          <w:rFonts w:ascii="Arial" w:cs="Arial" w:eastAsia="Arial" w:hAnsi="Arial"/>
          <w:sz w:val="16"/>
          <w:szCs w:val="16"/>
          <w:color w:val="auto"/>
        </w:rPr>
        <w:t>Shareholders may be required to demonstrate that they are exempt from tax on their capital gains in order to avoid withholding at source at the time of sale, by presenting a valid withholding exemption certificate issued by the ITA prior to the applicable payment. In addition, in transactions involving a sale of all of the shares of an Israeli resident company, in the form of a merger or otherwise, the ITA may require from shareholders who are not liable for Israeli tax to sign declarations in forms specified by this authority or obtain a specific exemption from the ITA to confirm their status as a non-Israeli resident for tax purposes, and, in the absence of such declarations or exemptions, may require the purchaser of the shares to withhold taxes.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1" w:name="page132"/>
    <w:bookmarkEnd w:id="131"/>
    <w:p>
      <w:pPr>
        <w:ind w:right="20" w:firstLine="410"/>
        <w:spacing w:after="0" w:line="282" w:lineRule="auto"/>
        <w:rPr>
          <w:sz w:val="20"/>
          <w:szCs w:val="20"/>
          <w:color w:val="auto"/>
        </w:rPr>
      </w:pPr>
      <w:r>
        <w:rPr>
          <w:rFonts w:ascii="Arial" w:cs="Arial" w:eastAsia="Arial" w:hAnsi="Arial"/>
          <w:sz w:val="15"/>
          <w:szCs w:val="15"/>
          <w:i w:val="1"/>
          <w:iCs w:val="1"/>
          <w:color w:val="auto"/>
        </w:rPr>
        <w:t>Taxation of non-Israeli shareholders on receipt of dividends</w:t>
      </w:r>
      <w:r>
        <w:rPr>
          <w:rFonts w:ascii="Arial" w:cs="Arial" w:eastAsia="Arial" w:hAnsi="Arial"/>
          <w:sz w:val="15"/>
          <w:szCs w:val="15"/>
          <w:color w:val="auto"/>
        </w:rPr>
        <w:t>. Non-Israeli residents (either individuals or corporations) are generally subject to Israeli income tax</w:t>
      </w:r>
      <w:r>
        <w:rPr>
          <w:rFonts w:ascii="Arial" w:cs="Arial" w:eastAsia="Arial" w:hAnsi="Arial"/>
          <w:sz w:val="15"/>
          <w:szCs w:val="15"/>
          <w:i w:val="1"/>
          <w:iCs w:val="1"/>
          <w:color w:val="auto"/>
        </w:rPr>
        <w:t xml:space="preserve"> </w:t>
      </w:r>
      <w:r>
        <w:rPr>
          <w:rFonts w:ascii="Arial" w:cs="Arial" w:eastAsia="Arial" w:hAnsi="Arial"/>
          <w:sz w:val="15"/>
          <w:szCs w:val="15"/>
          <w:color w:val="auto"/>
        </w:rPr>
        <w:t>on the receipt of dividends paid on our ordinary shares at the rate of 25%, which tax will be withheld at source, unless relief is provided in a treaty between Israel and the shareholder’s country of residence (subject to the receipt in advance of a valid certificate from the ITA allowing for a reduced tax rate). With respect to a person who is a “substantial shareholder” at the time of receiving the dividend or on any time during the preceding twelve months, the applicable tax rate is 30%. A “substantial shareholder” is generally a person who alone or together with such person’s relative or another person who collaborates with such person on a permanent basis, holds, directly or indirectly, 10% or more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Such dividends are generally subject to Israeli withholding tax at a rate of 25% so long as the shares are registered with a nominee company (whether the recipient is a substantial shareholder or not), or 20% if the dividend is distributed from income attributed to a Preferred Enterprise or PTE or such lower rate as may be provided in an applicable tax treaty, subject to the receipt in advance of a valid certificate from the ITA allowing for a reduced tax rate. For example, under the U.S. Israel Tax Treaty, and subject to the eligibility to the benefits under this treaty, the maximum rate of tax withheld at source in Israel on dividends paid to a holder of our ordinary shares who is a Treaty U.S. Resident is 25%. However, generally, the maximum rate of withholding tax on dividends, not generated by a Preferred Enterprise, that are paid to a United States corporation holding 10% or more of the outstanding voting capital throughout the tax year in which the dividend is distributed as well as during the previous tax year, is 12.5%, provided that not more than 25% of the gross income for such preceding year consists of certain types of dividends and interest. Notwithstanding the foregoing, dividends distributed from income attributed to a Preferred Enterprise are not entitled to such reduction under the tax treaty but are subject to a withholding tax rate of 15% for a shareholder that is a U.S. corporation, provided that the conditions related to 10% or more holding and to our gross income for the previous year (as set forth in the previous sentence) are met. If the dividend is attributable partly to income derived from a Preferred Enterprise, and partly to other sources of income, the withholding rate will be a blended rate reflecting the relative portions of the two types of income. We cannot assure you that we will designate the profits that we may distribute in a way that will reduce shareholders’ tax liability. The aforementioned rates under the U.S. Israel Tax Treaty would not apply if the dividend income is derived through a permanent establishment of the Treaty U.S. Resident in Israel.</w:t>
      </w:r>
    </w:p>
    <w:p>
      <w:pPr>
        <w:spacing w:after="0" w:line="164" w:lineRule="exact"/>
        <w:rPr>
          <w:sz w:val="20"/>
          <w:szCs w:val="20"/>
          <w:color w:val="auto"/>
        </w:rPr>
      </w:pPr>
    </w:p>
    <w:p>
      <w:pPr>
        <w:ind w:right="20" w:firstLine="410"/>
        <w:spacing w:after="0" w:line="307" w:lineRule="auto"/>
        <w:rPr>
          <w:sz w:val="20"/>
          <w:szCs w:val="20"/>
          <w:color w:val="auto"/>
        </w:rPr>
      </w:pPr>
      <w:r>
        <w:rPr>
          <w:rFonts w:ascii="Arial" w:cs="Arial" w:eastAsia="Arial" w:hAnsi="Arial"/>
          <w:sz w:val="15"/>
          <w:szCs w:val="15"/>
          <w:color w:val="auto"/>
        </w:rPr>
        <w:t>A non-Israeli resident who receives dividends from which full tax was withheld is generally exempt from the obligation to file tax returns in Israel with respect to such income, provided that (i) such income was not generated from business conducted in Israel by the taxpayer, (ii) the taxpayer has no other taxable sources of income in Israel with respect to which a tax return is required to be filed, and (iii) the taxpayer is not obligated to pay surtax (as further explained below).</w:t>
      </w:r>
    </w:p>
    <w:p>
      <w:pPr>
        <w:spacing w:after="0" w:line="141"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i w:val="1"/>
          <w:iCs w:val="1"/>
          <w:color w:val="auto"/>
        </w:rPr>
        <w:t xml:space="preserve">Surtax. </w:t>
      </w:r>
      <w:r>
        <w:rPr>
          <w:rFonts w:ascii="Arial" w:cs="Arial" w:eastAsia="Arial" w:hAnsi="Arial"/>
          <w:sz w:val="17"/>
          <w:szCs w:val="17"/>
          <w:color w:val="auto"/>
        </w:rPr>
        <w:t>Subject to the provisions of an applicable tax treaty, individuals who are subject to tax in Israel (whether any such individual is an Israeli resident or non-Israeli resident) are also subject to an additional tax at a rate of 3% on annual taxable income (including, but not limited to, dividends, interest and capital gain) exceeding NIS 647,640 for 2021, which amount is linked to the annual change in the Israeli consumer price index.</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Estate and Gift Tax. </w:t>
      </w:r>
      <w:r>
        <w:rPr>
          <w:rFonts w:ascii="Arial" w:cs="Arial" w:eastAsia="Arial" w:hAnsi="Arial"/>
          <w:sz w:val="17"/>
          <w:szCs w:val="17"/>
          <w:color w:val="auto"/>
        </w:rPr>
        <w:t>Israeli law presently does not impose estate or gift taxes.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U.S. Federal Income Tax Considerations for U.S. Holders</w:t>
      </w:r>
    </w:p>
    <w:p>
      <w:pPr>
        <w:spacing w:after="0" w:line="210" w:lineRule="exact"/>
        <w:rPr>
          <w:sz w:val="20"/>
          <w:szCs w:val="20"/>
          <w:color w:val="auto"/>
        </w:rPr>
      </w:pPr>
    </w:p>
    <w:p>
      <w:pPr>
        <w:ind w:firstLine="410"/>
        <w:spacing w:after="0" w:line="267" w:lineRule="auto"/>
        <w:rPr>
          <w:sz w:val="20"/>
          <w:szCs w:val="20"/>
          <w:color w:val="auto"/>
        </w:rPr>
      </w:pPr>
      <w:r>
        <w:rPr>
          <w:rFonts w:ascii="Arial" w:cs="Arial" w:eastAsia="Arial" w:hAnsi="Arial"/>
          <w:sz w:val="16"/>
          <w:szCs w:val="16"/>
          <w:color w:val="auto"/>
        </w:rPr>
        <w:t>The following is a description of certain material United States federal income tax considerations of the ownership and disposition of our ordinary shares. This description addresses only the United States federal income tax consequences to U.S. Holders (as defined below) that hold our ordinary shares as capital assets within the meaning of Section 1221 of the Internal Revenue Code of 1986, as amended (the “Code”), and that have the U.S. dollar as their functional currency. This discussion is based upon the Code, applicable U.S. Treasury regulations, administrative pronouncements and judicial decisions, in each case as in effect on the date hereof, all of which are subject to change (possibly with retroactive effect). No ruling will be requested from the Internal Revenue Service (the “IRS”) regarding the tax consequences of the ownership or disposition of the ordinary shares, and there can be no assurance that the IRS will agree with the discussion set out below. This summary does not address any U.S. tax consequences other than U.S. federal income tax consequences (e.g., the estate and gift tax or the Medicare tax on net investment income) and does not address any state, local or non-U.S. tax consequences.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This description does not address tax considerations applicable to holders that may be subject to special tax rules, including, without limitation:</w:t>
      </w:r>
    </w:p>
    <w:p>
      <w:pPr>
        <w:spacing w:after="0" w:line="206" w:lineRule="exact"/>
        <w:rPr>
          <w:sz w:val="20"/>
          <w:szCs w:val="20"/>
          <w:color w:val="auto"/>
        </w:rPr>
      </w:pPr>
    </w:p>
    <w:p>
      <w:pPr>
        <w:ind w:left="740" w:hanging="325"/>
        <w:spacing w:after="0"/>
        <w:tabs>
          <w:tab w:leader="none" w:pos="7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banks, financial institutions or insurance companies;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2" w:name="page133"/>
    <w:bookmarkEnd w:id="132"/>
    <w:p>
      <w:pPr>
        <w:ind w:left="740" w:hanging="325"/>
        <w:spacing w:after="0"/>
        <w:tabs>
          <w:tab w:leader="none" w:pos="7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real estate investment trusts or regulated investment companies;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dealers or brokers;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traders that elect to mark to market;</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tax-exempt entities or organizations;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“individual retirement accounts” and other tax-deferred accounts;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United States;</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persons that are resident or ordinarily resident in or have a permanent establishment in a jurisdiction outside the United States;</w:t>
      </w:r>
    </w:p>
    <w:p>
      <w:pPr>
        <w:spacing w:after="0" w:line="206" w:lineRule="exact"/>
        <w:rPr>
          <w:rFonts w:ascii="Arial" w:cs="Arial" w:eastAsia="Arial" w:hAnsi="Arial"/>
          <w:sz w:val="17"/>
          <w:szCs w:val="17"/>
          <w:color w:val="auto"/>
        </w:rPr>
      </w:pPr>
    </w:p>
    <w:p>
      <w:pPr>
        <w:ind w:left="740" w:right="520" w:hanging="325"/>
        <w:spacing w:after="0" w:line="268" w:lineRule="auto"/>
        <w:tabs>
          <w:tab w:leader="none" w:pos="7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persons that acquired our ordinary shares pursuant to the exercise of any employee share option or otherwise as compensation for the performance of services;</w:t>
      </w:r>
    </w:p>
    <w:p>
      <w:pPr>
        <w:spacing w:after="0" w:line="165" w:lineRule="exact"/>
        <w:rPr>
          <w:rFonts w:ascii="Arial" w:cs="Arial" w:eastAsia="Arial" w:hAnsi="Arial"/>
          <w:sz w:val="17"/>
          <w:szCs w:val="17"/>
          <w:color w:val="auto"/>
        </w:rPr>
      </w:pPr>
    </w:p>
    <w:p>
      <w:pPr>
        <w:ind w:left="740" w:right="60" w:hanging="325"/>
        <w:spacing w:after="0" w:line="268" w:lineRule="auto"/>
        <w:tabs>
          <w:tab w:leader="none" w:pos="7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persons holding our ordinary shares as part of a “hedging,” “integrated” or “conversion” transaction or as a position in a “straddle” for United States federal income tax purposes;</w:t>
      </w:r>
    </w:p>
    <w:p>
      <w:pPr>
        <w:spacing w:after="0" w:line="165" w:lineRule="exact"/>
        <w:rPr>
          <w:rFonts w:ascii="Arial" w:cs="Arial" w:eastAsia="Arial" w:hAnsi="Arial"/>
          <w:sz w:val="17"/>
          <w:szCs w:val="17"/>
          <w:color w:val="auto"/>
        </w:rPr>
      </w:pPr>
    </w:p>
    <w:p>
      <w:pPr>
        <w:ind w:left="740" w:right="20" w:hanging="325"/>
        <w:spacing w:after="0" w:line="268" w:lineRule="auto"/>
        <w:tabs>
          <w:tab w:leader="none" w:pos="7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persons subject to special tax accounting as a result of any item of gross income with respect to the ordinary shares being taken into account in an applicable financial statement;</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partnerships or other pass-through entities and persons holding the ordinary shares through partnerships or other pass-through entities; or</w:t>
      </w:r>
    </w:p>
    <w:p>
      <w:pPr>
        <w:spacing w:after="0" w:line="206" w:lineRule="exact"/>
        <w:rPr>
          <w:rFonts w:ascii="Arial" w:cs="Arial" w:eastAsia="Arial" w:hAnsi="Arial"/>
          <w:sz w:val="17"/>
          <w:szCs w:val="17"/>
          <w:color w:val="auto"/>
        </w:rPr>
      </w:pPr>
    </w:p>
    <w:p>
      <w:pPr>
        <w:ind w:left="740" w:hanging="325"/>
        <w:spacing w:after="0"/>
        <w:tabs>
          <w:tab w:leader="none" w:pos="7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holders that own directly, indirectly or through attribution 10% or more of the total voting power or value of all of our outstanding shares.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purposes of this description, a “U.S. Holder” is a beneficial owner of our ordinary shares that, for United States federal income tax purposes, is:</w:t>
      </w:r>
    </w:p>
    <w:p>
      <w:pPr>
        <w:spacing w:after="0" w:line="218" w:lineRule="exact"/>
        <w:rPr>
          <w:sz w:val="20"/>
          <w:szCs w:val="20"/>
          <w:color w:val="auto"/>
        </w:rPr>
      </w:pPr>
    </w:p>
    <w:p>
      <w:pPr>
        <w:ind w:left="740" w:hanging="325"/>
        <w:spacing w:after="0"/>
        <w:tabs>
          <w:tab w:leader="none" w:pos="7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206" w:lineRule="exact"/>
        <w:rPr>
          <w:rFonts w:ascii="Arial" w:cs="Arial" w:eastAsia="Arial" w:hAnsi="Arial"/>
          <w:sz w:val="17"/>
          <w:szCs w:val="17"/>
          <w:color w:val="auto"/>
        </w:rPr>
      </w:pPr>
    </w:p>
    <w:p>
      <w:pPr>
        <w:ind w:left="740" w:right="100" w:hanging="325"/>
        <w:spacing w:after="0" w:line="268" w:lineRule="auto"/>
        <w:tabs>
          <w:tab w:leader="none" w:pos="7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United States federal income tax purposes) created or organized in or under the laws of the United States or any state thereof, including the District of Columbia;</w:t>
      </w:r>
    </w:p>
    <w:p>
      <w:pPr>
        <w:spacing w:after="0" w:line="165" w:lineRule="exact"/>
        <w:rPr>
          <w:rFonts w:ascii="Arial" w:cs="Arial" w:eastAsia="Arial" w:hAnsi="Arial"/>
          <w:sz w:val="17"/>
          <w:szCs w:val="17"/>
          <w:color w:val="auto"/>
        </w:rPr>
      </w:pPr>
    </w:p>
    <w:p>
      <w:pPr>
        <w:ind w:left="740" w:hanging="325"/>
        <w:spacing w:after="0"/>
        <w:tabs>
          <w:tab w:leader="none" w:pos="7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 estate the income of which is subject to United States federal income taxation regardless of its source; or</w:t>
      </w:r>
    </w:p>
    <w:p>
      <w:pPr>
        <w:spacing w:after="0" w:line="206" w:lineRule="exact"/>
        <w:rPr>
          <w:rFonts w:ascii="Arial" w:cs="Arial" w:eastAsia="Arial" w:hAnsi="Arial"/>
          <w:sz w:val="17"/>
          <w:szCs w:val="17"/>
          <w:color w:val="auto"/>
        </w:rPr>
      </w:pPr>
    </w:p>
    <w:p>
      <w:pPr>
        <w:ind w:left="740" w:hanging="325"/>
        <w:spacing w:after="0" w:line="257" w:lineRule="auto"/>
        <w:tabs>
          <w:tab w:leader="none" w:pos="7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 trust if such trust has validly elected to be treated as a United States person for United States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175" w:lineRule="exact"/>
        <w:rPr>
          <w:sz w:val="20"/>
          <w:szCs w:val="20"/>
          <w:color w:val="auto"/>
        </w:rPr>
      </w:pPr>
    </w:p>
    <w:p>
      <w:pPr>
        <w:ind w:right="80" w:firstLine="410"/>
        <w:spacing w:after="0" w:line="307" w:lineRule="auto"/>
        <w:rPr>
          <w:sz w:val="20"/>
          <w:szCs w:val="20"/>
          <w:color w:val="auto"/>
        </w:rPr>
      </w:pPr>
      <w:r>
        <w:rPr>
          <w:rFonts w:ascii="Arial" w:cs="Arial" w:eastAsia="Arial" w:hAnsi="Arial"/>
          <w:sz w:val="15"/>
          <w:szCs w:val="15"/>
          <w:color w:val="auto"/>
        </w:rPr>
        <w:t>If an entity or arrangement treated as a partnership for United States federal income tax purposes holds our ordinary shares, the tax treatment of a partner in such partnership will generally depend on the status of the partner and the activities of the partnership. Such a partner or partnership should consult its tax advisor as to the particular United States federal income tax consequences of owning and disposing of our ordinary shares in its particular circumstance.</w:t>
      </w:r>
    </w:p>
    <w:p>
      <w:pPr>
        <w:spacing w:after="0" w:line="137" w:lineRule="exact"/>
        <w:rPr>
          <w:sz w:val="20"/>
          <w:szCs w:val="20"/>
          <w:color w:val="auto"/>
        </w:rPr>
      </w:pPr>
    </w:p>
    <w:p>
      <w:pPr>
        <w:ind w:right="180" w:firstLine="410"/>
        <w:spacing w:after="0" w:line="273" w:lineRule="auto"/>
        <w:rPr>
          <w:sz w:val="20"/>
          <w:szCs w:val="20"/>
          <w:color w:val="auto"/>
        </w:rPr>
      </w:pPr>
      <w:r>
        <w:rPr>
          <w:rFonts w:ascii="Arial" w:cs="Arial" w:eastAsia="Arial" w:hAnsi="Arial"/>
          <w:sz w:val="17"/>
          <w:szCs w:val="17"/>
          <w:b w:val="1"/>
          <w:bCs w:val="1"/>
          <w:color w:val="auto"/>
        </w:rPr>
        <w:t>You should consult your tax advisor with respect to the United States federal, state, local and foreign tax consequences of owning and disposing of our ordinary shares.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3" w:name="page134"/>
    <w:bookmarkEnd w:id="133"/>
    <w:p>
      <w:pPr>
        <w:ind w:left="940"/>
        <w:spacing w:after="0"/>
        <w:rPr>
          <w:sz w:val="20"/>
          <w:szCs w:val="20"/>
          <w:color w:val="auto"/>
        </w:rPr>
      </w:pPr>
      <w:r>
        <w:rPr>
          <w:rFonts w:ascii="Arial" w:cs="Arial" w:eastAsia="Arial" w:hAnsi="Arial"/>
          <w:sz w:val="17"/>
          <w:szCs w:val="17"/>
          <w:b w:val="1"/>
          <w:bCs w:val="1"/>
          <w:i w:val="1"/>
          <w:iCs w:val="1"/>
          <w:color w:val="auto"/>
        </w:rPr>
        <w:t>Distributions</w:t>
      </w:r>
    </w:p>
    <w:p>
      <w:pPr>
        <w:spacing w:after="0" w:line="206" w:lineRule="exact"/>
        <w:rPr>
          <w:sz w:val="20"/>
          <w:szCs w:val="20"/>
          <w:color w:val="auto"/>
        </w:rPr>
      </w:pPr>
    </w:p>
    <w:p>
      <w:pPr>
        <w:ind w:right="60" w:firstLine="410"/>
        <w:spacing w:after="0" w:line="284" w:lineRule="auto"/>
        <w:rPr>
          <w:sz w:val="20"/>
          <w:szCs w:val="20"/>
          <w:color w:val="auto"/>
        </w:rPr>
      </w:pPr>
      <w:r>
        <w:rPr>
          <w:rFonts w:ascii="Arial" w:cs="Arial" w:eastAsia="Arial" w:hAnsi="Arial"/>
          <w:sz w:val="15"/>
          <w:szCs w:val="15"/>
          <w:color w:val="auto"/>
        </w:rPr>
        <w:t>Subject to the discussion under “—Passive Foreign Investment Company Considerations” below, the gross amount of any distribution made to you with respect to our ordinary shares before reduction for any Israeli taxes withheld therefrom, generally will be includible in your income as dividend income on the date on which the dividends are actually or constructively received, to the extent such distribution is paid out of our current or accumulated earnings and profits as determined under United States federal income tax principles. To the extent that the amount of any distribution by us exceeds our current and accumulated earnings and profits as determined under United States federal income tax principles, it will be treated first as a tax-free return of your adjusted tax basis in our ordinary shares and thereafter as capital gain. However, we do not expect to maintain calculations of our earnings and profits under United States federal income tax principles and, therefore, you should expect that the entire amount of any distribution generally will be taxable as dividend income to you. Non-corporate U.S. Holders may qualify for the lower rates of taxation with respect to dividends on ordinary shares applicable to long-term capital gains (i.e., gains from the sale of capital assets held for more than one year), provided that we are not a PFIC (as discussed below under “—Passive Foreign Investment Company Considerations”) with respect to you in our taxable year in which the dividend was paid or in the prior taxable year and certain other conditions are met, including certain holding period requirements and the absence of certain risk reduction transactions. However, such dividends will not be eligible for the dividends received deduction generally allowed to corporate U.S. Holders. You should consult your tax advisor regarding the availability of the lower rate for dividends paid with respect to our shares.</w:t>
      </w:r>
    </w:p>
    <w:p>
      <w:pPr>
        <w:spacing w:after="0" w:line="162" w:lineRule="exact"/>
        <w:rPr>
          <w:sz w:val="20"/>
          <w:szCs w:val="20"/>
          <w:color w:val="auto"/>
        </w:rPr>
      </w:pPr>
    </w:p>
    <w:p>
      <w:pPr>
        <w:ind w:right="40" w:firstLine="410"/>
        <w:spacing w:after="0" w:line="268" w:lineRule="auto"/>
        <w:rPr>
          <w:sz w:val="20"/>
          <w:szCs w:val="20"/>
          <w:color w:val="auto"/>
        </w:rPr>
      </w:pPr>
      <w:r>
        <w:rPr>
          <w:rFonts w:ascii="Arial" w:cs="Arial" w:eastAsia="Arial" w:hAnsi="Arial"/>
          <w:sz w:val="17"/>
          <w:szCs w:val="17"/>
          <w:color w:val="auto"/>
        </w:rPr>
        <w:t>The amount of any distribution paid in foreign currency will be equal to the U.S. dollar value of such currency, translated at the spot rate of exchange on the date such distribution is received, regardless of whether the payment is in fact converted into U.S. dollars at that time.</w:t>
      </w:r>
    </w:p>
    <w:p>
      <w:pPr>
        <w:spacing w:after="0" w:line="166" w:lineRule="exact"/>
        <w:rPr>
          <w:sz w:val="20"/>
          <w:szCs w:val="20"/>
          <w:color w:val="auto"/>
        </w:rPr>
      </w:pPr>
    </w:p>
    <w:p>
      <w:pPr>
        <w:ind w:firstLine="410"/>
        <w:spacing w:after="0" w:line="265" w:lineRule="auto"/>
        <w:rPr>
          <w:sz w:val="20"/>
          <w:szCs w:val="20"/>
          <w:color w:val="auto"/>
        </w:rPr>
      </w:pPr>
      <w:r>
        <w:rPr>
          <w:rFonts w:ascii="Arial" w:cs="Arial" w:eastAsia="Arial" w:hAnsi="Arial"/>
          <w:sz w:val="16"/>
          <w:szCs w:val="16"/>
          <w:color w:val="auto"/>
        </w:rPr>
        <w:t>Dividends paid to you with respect to our ordinary shares generally will be treated as foreign source income, which may be relevant in calculating your foreign tax credit limitation. Subject to certain conditions and limitations, Israeli tax withheld on dividends may be credited against your United States federal income tax liability or, at your election, be deducted from your U.S. federal taxable income. Dividends that we distribute generally should constitute “passive category income” for purposes of the foreign tax credit. However, if we are a “United States-owned foreign corporation,” solely for foreign tax credit purposes, a portion of the dividends allocable to our U.S. source earnings and profits may be recharacterized as U.S. source. A “United States-owned foreign corporation” is any foreign corporation in which United States persons own, directly or indirectly, 50% or more (by vote or by value) of the stock. In general, United States-owned foreign corporations with less than 10% of earnings and profits attributable to sources within the United States are excepted from these rules. In the event we are treated as a “United States-owned foreign corporation,” if 10% or more of our earnings and profits are attributable to sources within the United States, a portion of the dividends paid on our ordinary shares allocable to our U.S. source earnings and profits will be treated as U.S. source, and, as such, a U.S. Holder may not offset any foreign tax withheld as a credit against U.S. federal income tax imposed on that portion of dividends. A foreign tax credit for foreign taxes imposed on distributions may be denied if you do not satisfy certain minimum holding period requirements. The rules relating to the determination of the foreign tax credit are complex, and you should consult your tax advisor regarding the availability of a U.S. foreign tax credit in your particular circumstances and the possibility of claiming a deduction (in lieu of the U.S. foreign tax credit) for any foreign taxes paid or withheld.</w:t>
      </w:r>
    </w:p>
    <w:p>
      <w:pPr>
        <w:spacing w:after="0" w:line="171"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Sale, Exchange or Other Disposition of Ordinary Shares</w:t>
      </w:r>
    </w:p>
    <w:p>
      <w:pPr>
        <w:spacing w:after="0" w:line="206" w:lineRule="exact"/>
        <w:rPr>
          <w:sz w:val="20"/>
          <w:szCs w:val="20"/>
          <w:color w:val="auto"/>
        </w:rPr>
      </w:pPr>
    </w:p>
    <w:p>
      <w:pPr>
        <w:ind w:right="60" w:firstLine="410"/>
        <w:spacing w:after="0" w:line="290" w:lineRule="auto"/>
        <w:rPr>
          <w:sz w:val="20"/>
          <w:szCs w:val="20"/>
          <w:color w:val="auto"/>
        </w:rPr>
      </w:pPr>
      <w:r>
        <w:rPr>
          <w:rFonts w:ascii="Arial" w:cs="Arial" w:eastAsia="Arial" w:hAnsi="Arial"/>
          <w:sz w:val="15"/>
          <w:szCs w:val="15"/>
          <w:color w:val="auto"/>
        </w:rPr>
        <w:t>Subject to the discussion under “—Passive Foreign Investment Company Considerations” below, you generally will recognize gain or loss on the sale, exchange or other disposition of our ordinary shares equal to the difference between the amount realized on such sale, exchange or other disposition and your adjusted tax basis in our ordinary shares, and such gain or loss will be capital gain or loss. If you are a non-corporate U.S. Holder, capital gain from the sale, exchange or other disposition of ordinary shares is generally eligible for a preferential rate of taxation applicable to capital gains, if your holding period for such ordinary shares exceeds one year (i.e., such gain is long-term capital gain). The deductibility of capital losses for United States federal income tax purposes is subject to limitations under the Code. Any such gain or loss that a U.S. Holder recognizes generally will be treated as U.S. source income or loss for foreign tax credit limitation purposes.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34" w:name="page135"/>
    <w:bookmarkEnd w:id="134"/>
    <w:p>
      <w:pPr>
        <w:ind w:firstLine="410"/>
        <w:spacing w:after="0" w:line="266" w:lineRule="auto"/>
        <w:rPr>
          <w:sz w:val="20"/>
          <w:szCs w:val="20"/>
          <w:color w:val="auto"/>
        </w:rPr>
      </w:pPr>
      <w:r>
        <w:rPr>
          <w:rFonts w:ascii="Arial" w:cs="Arial" w:eastAsia="Arial" w:hAnsi="Arial"/>
          <w:sz w:val="16"/>
          <w:szCs w:val="16"/>
          <w:color w:val="auto"/>
        </w:rPr>
        <w:t>If the consideration received upon the sale or other disposition of our ordinary shares is paid in foreign currency, the amount realized will be the U.S. dollar value of the payment received, translated at the spot rate of exchange on the date of the sale or other disposition. If the ordinary shares are treated as traded on an established securities market and you are either a cash basis taxpayer or an accrual basis taxpayer who has made a special election (which must be applied consistently from year to year and cannot be changed without the consent of the IRS), the U.S. dollar value of the amount realized in foreign currency will be determined by translating the amount received at the spot rate of exchange on the settlement date of the sale. If our ordinary shares are not treated as traded on an established securities market, or you are an accrual basis taxpayer that does not elect to determine the amount realized using the spot rate of exchange on the settlement date, you will recognize foreign currency gain or loss to the extent of any difference between the U.S. dollar amount realized on the date of sale or disposition (as determined above) and the U.S. dollar value of the currency received translated at the spot rate of exchange on the settlement date, and such gain or loss generally will constitute U.S. source ordinary income or loss.</w:t>
      </w:r>
    </w:p>
    <w:p>
      <w:pPr>
        <w:spacing w:after="0" w:line="173" w:lineRule="exact"/>
        <w:rPr>
          <w:sz w:val="20"/>
          <w:szCs w:val="20"/>
          <w:color w:val="auto"/>
        </w:rPr>
      </w:pPr>
    </w:p>
    <w:p>
      <w:pPr>
        <w:ind w:firstLine="410"/>
        <w:spacing w:after="0" w:line="251" w:lineRule="auto"/>
        <w:rPr>
          <w:sz w:val="20"/>
          <w:szCs w:val="20"/>
          <w:color w:val="auto"/>
        </w:rPr>
      </w:pPr>
      <w:r>
        <w:rPr>
          <w:rFonts w:ascii="Arial" w:cs="Arial" w:eastAsia="Arial" w:hAnsi="Arial"/>
          <w:sz w:val="17"/>
          <w:szCs w:val="17"/>
          <w:color w:val="auto"/>
        </w:rPr>
        <w:t>The adjusted tax basis in an ordinary share generally will be equal to the cost of such ordinary share. If you used foreign currency to purchase the ordinary shares, the cost of the ordinary shares will be the U.S. dollar value of the foreign currency purchase price on the date of purchase, translated at the spot rate of exchange on that date. If our ordinary shares are treated as traded on an established securities market and you are either a cash basis taxpayer or an accrual basis taxpayer who has made the special election described above, the U.S. dollar value of the cost of such ordinary shares will be determined by translating the amount paid at the spot rate of exchange on the settlement date of the purchase.</w:t>
      </w:r>
    </w:p>
    <w:p>
      <w:pPr>
        <w:spacing w:after="0" w:line="183"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Passive Foreign Investment Company Considerations</w:t>
      </w:r>
    </w:p>
    <w:p>
      <w:pPr>
        <w:spacing w:after="0" w:line="206" w:lineRule="exact"/>
        <w:rPr>
          <w:sz w:val="20"/>
          <w:szCs w:val="20"/>
          <w:color w:val="auto"/>
        </w:rPr>
      </w:pPr>
    </w:p>
    <w:p>
      <w:pPr>
        <w:ind w:right="240" w:firstLine="410"/>
        <w:spacing w:after="0" w:line="257" w:lineRule="auto"/>
        <w:rPr>
          <w:sz w:val="20"/>
          <w:szCs w:val="20"/>
          <w:color w:val="auto"/>
        </w:rPr>
      </w:pPr>
      <w:r>
        <w:rPr>
          <w:rFonts w:ascii="Arial" w:cs="Arial" w:eastAsia="Arial" w:hAnsi="Arial"/>
          <w:sz w:val="17"/>
          <w:szCs w:val="17"/>
          <w:color w:val="auto"/>
        </w:rPr>
        <w:t>If a non-U.S. company is classified as a PFIC in any taxable year, a U.S. Holder of such PFIC’s shares will be subject to special rules generally intended to reduce or eliminate any benefits from the deferral of U.S. federal income tax that such U.S. Holder could derive from investing in a non-U.S. company that does not distribute all of its earnings on a current basis.</w:t>
      </w:r>
    </w:p>
    <w:p>
      <w:pPr>
        <w:spacing w:after="0" w:line="175" w:lineRule="exact"/>
        <w:rPr>
          <w:sz w:val="20"/>
          <w:szCs w:val="20"/>
          <w:color w:val="auto"/>
        </w:rPr>
      </w:pPr>
    </w:p>
    <w:p>
      <w:pPr>
        <w:ind w:firstLine="410"/>
        <w:spacing w:after="0" w:line="250" w:lineRule="auto"/>
        <w:rPr>
          <w:sz w:val="20"/>
          <w:szCs w:val="20"/>
          <w:color w:val="auto"/>
        </w:rPr>
      </w:pPr>
      <w:r>
        <w:rPr>
          <w:rFonts w:ascii="Arial" w:cs="Arial" w:eastAsia="Arial" w:hAnsi="Arial"/>
          <w:sz w:val="17"/>
          <w:szCs w:val="17"/>
          <w:color w:val="auto"/>
        </w:rPr>
        <w:t>In general, a non-U.S. corporation will be classified as a PFIC for any taxable year if at least (i) 75% of its gross income is classified as “passive income” or (ii) 50% of its gross assets (determined on the basis of a quarterly average) produce or are held for the production of passive income (the “asset test”). Passive income for this purpose generally includes dividends, interest, royalties, rents, gains from commodities and securities transactions and the excess of gains over losses from the disposition of assets which produce passive income. For these purposes, cash and other assets readily convertible into cash are considered passive assets, and the company’s goodwill and other unbooked intangibles are generally taken into account. In making this determination, the non-U.S. corporation is treated as earning its proportionate share of any income and owning its proportionate share of any assets of any corporation in which it directly or indirectly holds 25% or more (by value) of the stock.</w:t>
      </w:r>
    </w:p>
    <w:p>
      <w:pPr>
        <w:spacing w:after="0" w:line="181" w:lineRule="exact"/>
        <w:rPr>
          <w:sz w:val="20"/>
          <w:szCs w:val="20"/>
          <w:color w:val="auto"/>
        </w:rPr>
      </w:pPr>
    </w:p>
    <w:p>
      <w:pPr>
        <w:ind w:right="20" w:firstLine="410"/>
        <w:spacing w:after="0" w:line="288" w:lineRule="auto"/>
        <w:rPr>
          <w:sz w:val="20"/>
          <w:szCs w:val="20"/>
          <w:color w:val="auto"/>
        </w:rPr>
      </w:pPr>
      <w:r>
        <w:rPr>
          <w:rFonts w:ascii="Arial" w:cs="Arial" w:eastAsia="Arial" w:hAnsi="Arial"/>
          <w:sz w:val="15"/>
          <w:szCs w:val="15"/>
          <w:color w:val="auto"/>
        </w:rPr>
        <w:t>Based on the composition of our income, assets and operations, we do not believe that we were a PFIC for the taxable year ending December 31, 2021. However, our status as a PFIC requires a factual determination that depends on, among other things, our income, assets and operations in each year. Fluctuations in the market price of our ordinary shares may cause our classification as a PFIC for the current or future taxable years to change because the value of our assets for purposes of the asset test, including the value of our goodwill and unbooked intangibles, may be determined by reference to the market price of our shares from time to time (which may be volatile). Among other matters, if our market capitalization subsequently declines, it may make our classification as a PFIC more likely for the current or future taxable years. The composition of our income and assets may also be affected by how, and how quickly, we use our liquid assets. Therefore, there can be no assurance that we will not be treated as a PFIC for our current taxable year or any future taxable year.</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5" w:name="page136"/>
    <w:bookmarkEnd w:id="135"/>
    <w:p>
      <w:pPr>
        <w:ind w:firstLine="410"/>
        <w:spacing w:after="0" w:line="288" w:lineRule="auto"/>
        <w:rPr>
          <w:sz w:val="20"/>
          <w:szCs w:val="20"/>
          <w:color w:val="auto"/>
        </w:rPr>
      </w:pPr>
      <w:r>
        <w:rPr>
          <w:rFonts w:ascii="Arial" w:cs="Arial" w:eastAsia="Arial" w:hAnsi="Arial"/>
          <w:sz w:val="15"/>
          <w:szCs w:val="15"/>
          <w:color w:val="auto"/>
        </w:rPr>
        <w:t>Under the PFIC rules, if we were considered a PFIC at any time that you hold our ordinary shares, we would continue to be treated as a PFIC with respect to your investment in all succeeding years during which you own our ordinary shares (regardless of whether we continue to meet the tests described above) unless (i) we have ceased to be a PFIC and (ii) you have made a “deemed sale” election under the PFIC rules. If such election is made, you will be deemed to have sold your ordinary shares at their fair market value on the last day of the last taxable year in which we were a PFIC, and any gain from the deemed sale would be subject to the rules described in the following paragraph. After the deemed sale election, so long as we do not become a PFIC in a subsequent taxable year, the ordinary shares with respect to which such election was made will not be treated as shares in a PFIC. You should consult your tax advisor as to the possibility and consequences of making a deemed sale election if we are (or were to become) and then cease to be a PFIC, and such election becomes available.</w:t>
      </w:r>
    </w:p>
    <w:p>
      <w:pPr>
        <w:spacing w:after="0" w:line="158" w:lineRule="exact"/>
        <w:rPr>
          <w:sz w:val="20"/>
          <w:szCs w:val="20"/>
          <w:color w:val="auto"/>
        </w:rPr>
      </w:pPr>
    </w:p>
    <w:p>
      <w:pPr>
        <w:ind w:right="60" w:firstLine="410"/>
        <w:spacing w:after="0" w:line="287" w:lineRule="auto"/>
        <w:rPr>
          <w:sz w:val="20"/>
          <w:szCs w:val="20"/>
          <w:color w:val="auto"/>
        </w:rPr>
      </w:pPr>
      <w:r>
        <w:rPr>
          <w:rFonts w:ascii="Arial" w:cs="Arial" w:eastAsia="Arial" w:hAnsi="Arial"/>
          <w:sz w:val="15"/>
          <w:szCs w:val="15"/>
          <w:color w:val="auto"/>
        </w:rPr>
        <w:t>If we are considered a PFIC at any time that you hold ordinary shares, unless you make one of the elections described below, any gain recognized by you on a sale or other disposition of the ordinary shares, as well as the amount of any “excess distribution” (defined below) received by you, would be allocated ratably over your holding period for the ordinary shares. The amounts allocated to the taxable year of the sale or other disposition (or the taxable year of receipt, in the case of an excess distribution)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For purposes of these rules, an excess distribution is the amount by which any distribution received by you on your ordinary shares in a taxable year exceeds 125% of the average of the annual distributions on the ordinary shares during the preceding three taxable years or your holding period, whichever is shorter. Distributions below the 125% threshold are treated as dividends taxable in the year of receipt and are not subject to prior highest tax rates or the interest charge.</w:t>
      </w:r>
    </w:p>
    <w:p>
      <w:pPr>
        <w:spacing w:after="0" w:line="157"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color w:val="auto"/>
        </w:rPr>
        <w:t>If we are treated as a PFIC with respect to you for any taxable year, you will be deemed to own shares in any entities in which we directly or indirectly own equity that are also PFICs, and you may be subject to the tax consequences described above with respect to the shares of such lower-tier PFIC you would be deemed to own.</w:t>
      </w:r>
    </w:p>
    <w:p>
      <w:pPr>
        <w:spacing w:after="0" w:line="175"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Mark-to-market elections</w:t>
      </w:r>
    </w:p>
    <w:p>
      <w:pPr>
        <w:spacing w:after="0" w:line="206" w:lineRule="exact"/>
        <w:rPr>
          <w:sz w:val="20"/>
          <w:szCs w:val="20"/>
          <w:color w:val="auto"/>
        </w:rPr>
      </w:pPr>
    </w:p>
    <w:p>
      <w:pPr>
        <w:ind w:right="80" w:firstLine="410"/>
        <w:spacing w:after="0" w:line="264" w:lineRule="auto"/>
        <w:rPr>
          <w:sz w:val="20"/>
          <w:szCs w:val="20"/>
          <w:color w:val="auto"/>
        </w:rPr>
      </w:pPr>
      <w:r>
        <w:rPr>
          <w:rFonts w:ascii="Arial" w:cs="Arial" w:eastAsia="Arial" w:hAnsi="Arial"/>
          <w:sz w:val="16"/>
          <w:szCs w:val="16"/>
          <w:color w:val="auto"/>
        </w:rPr>
        <w:t xml:space="preserve">If we are a PFIC for any taxable year during which you hold ordinary shares, then in lieu of being subject to the tax and interest charge rules discussed above, you may make an election to include gain on the ordinary shares as ordinary income under a mark-to-market method, provided that such ordinary shares are “marketable.” The ordinary shares will be marketable if they are “regularly traded” on a qualified exchange or other market, as defined in applicable U.S. Treasury regulations, such as the Nasdaq Global Select Market. For these purposes, the ordinary shares will be considered regularly traded during any calendar year during which they are traded, other than in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quantities, on at least 15 days during each calendar quarter. Any trades that have as their principal purpose meeting this requirement will be disregarded. However, because a mark-to-market election cannot be made for any lower-tier PFICs that we may own, you will generally continue to be subject to the PFIC rules discussed above with respect to your indirect interest in any investments we hold that are treated as an equity interest in a PFIC for United States federal income tax purposes. As a result, it is possible that any mark-to-market election will be of limited benefit. If you make an effective mark-to-market election, in each year that we are a PFIC, you will include in ordinary income the excess of the fair market value of your ordinary shares at the end of the year over your adjusted tax basis in the ordinary shares. You will be entitled to deduct as an ordinary loss in each such year the excess of your adjusted tax basis in the ordinary shares over their fair market value at the end of the year, but only to the extent of the net amount previously included in income as a result of the mark-to-market election. If you make an effective mark-to-market election, in each year that we are a PFIC, any gain that you recognize upon the sale or other disposition of your ordinary shares will be treated as ordinary income and any loss will be treated as ordinary loss, but only to the extent of the net amount of previously included income as a result of the mark-to-market election.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6" w:name="page137"/>
    <w:bookmarkEnd w:id="136"/>
    <w:p>
      <w:pPr>
        <w:ind w:right="40" w:firstLine="410"/>
        <w:spacing w:after="0" w:line="251" w:lineRule="auto"/>
        <w:rPr>
          <w:sz w:val="20"/>
          <w:szCs w:val="20"/>
          <w:color w:val="auto"/>
        </w:rPr>
      </w:pPr>
      <w:r>
        <w:rPr>
          <w:rFonts w:ascii="Arial" w:cs="Arial" w:eastAsia="Arial" w:hAnsi="Arial"/>
          <w:sz w:val="17"/>
          <w:szCs w:val="17"/>
          <w:color w:val="auto"/>
        </w:rPr>
        <w:t>Your adjusted tax basis in the ordinary shares will be increased by the amount of any income inclusion and decreased by the amount of any deductions under the mark-to-market rules discussed above. If you make an effective mark-to-market election, it will be effective for the taxable year for which the election is made and all subsequent taxable years unless the ordinary shares are no longer regularly traded on a qualified exchange or the IRS consents to the revocation of the election. You should consult your tax advisor about the availability of the mark-to-market election, and whether making the election would be advisable in your particular circumstances.</w:t>
      </w:r>
    </w:p>
    <w:p>
      <w:pPr>
        <w:spacing w:after="0" w:line="183"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Qualified electing fund elections</w:t>
      </w:r>
    </w:p>
    <w:p>
      <w:pPr>
        <w:spacing w:after="0" w:line="206" w:lineRule="exact"/>
        <w:rPr>
          <w:sz w:val="20"/>
          <w:szCs w:val="20"/>
          <w:color w:val="auto"/>
        </w:rPr>
      </w:pPr>
    </w:p>
    <w:p>
      <w:pPr>
        <w:ind w:right="20" w:firstLine="410"/>
        <w:spacing w:after="0" w:line="250" w:lineRule="auto"/>
        <w:rPr>
          <w:sz w:val="20"/>
          <w:szCs w:val="20"/>
          <w:color w:val="auto"/>
        </w:rPr>
      </w:pPr>
      <w:r>
        <w:rPr>
          <w:rFonts w:ascii="Arial" w:cs="Arial" w:eastAsia="Arial" w:hAnsi="Arial"/>
          <w:sz w:val="17"/>
          <w:szCs w:val="17"/>
          <w:color w:val="auto"/>
        </w:rPr>
        <w:t>In certain circumstances, a U.S. equity holder in a PFIC may avoid the adverse tax and interest-charge regime described above by making a “qualified electing fund” election to include in income its share of the corporation’s income on a current basis. However, you may make a qualified electing fund election with respect to the ordinary shares only if we agree to furnish you annually with a PFIC annual information statement as specified in the applicable U.S. Treasury regulations. We do not intend to provide the information necessary for you to make a qualified electing fund election if we are classified as a PFIC. Therefore, you should assume that you will not receive such information from us and would therefore be unable to make a qualified electing fund election with respect to any of our ordinary shares were we to be or become a PFIC.</w:t>
      </w:r>
    </w:p>
    <w:p>
      <w:pPr>
        <w:spacing w:after="0" w:line="184" w:lineRule="exact"/>
        <w:rPr>
          <w:sz w:val="20"/>
          <w:szCs w:val="20"/>
          <w:color w:val="auto"/>
        </w:rPr>
      </w:pPr>
    </w:p>
    <w:p>
      <w:pPr>
        <w:ind w:left="940"/>
        <w:spacing w:after="0"/>
        <w:rPr>
          <w:sz w:val="20"/>
          <w:szCs w:val="20"/>
          <w:color w:val="auto"/>
        </w:rPr>
      </w:pPr>
      <w:r>
        <w:rPr>
          <w:rFonts w:ascii="Arial" w:cs="Arial" w:eastAsia="Arial" w:hAnsi="Arial"/>
          <w:sz w:val="17"/>
          <w:szCs w:val="17"/>
          <w:i w:val="1"/>
          <w:iCs w:val="1"/>
          <w:color w:val="auto"/>
        </w:rPr>
        <w:t>Tax reporting</w:t>
      </w:r>
    </w:p>
    <w:p>
      <w:pPr>
        <w:spacing w:after="0" w:line="206" w:lineRule="exact"/>
        <w:rPr>
          <w:sz w:val="20"/>
          <w:szCs w:val="20"/>
          <w:color w:val="auto"/>
        </w:rPr>
      </w:pPr>
    </w:p>
    <w:p>
      <w:pPr>
        <w:jc w:val="both"/>
        <w:ind w:right="80" w:firstLine="410"/>
        <w:spacing w:after="0" w:line="280" w:lineRule="auto"/>
        <w:rPr>
          <w:sz w:val="20"/>
          <w:szCs w:val="20"/>
          <w:color w:val="auto"/>
        </w:rPr>
      </w:pPr>
      <w:r>
        <w:rPr>
          <w:rFonts w:ascii="Arial" w:cs="Arial" w:eastAsia="Arial" w:hAnsi="Arial"/>
          <w:sz w:val="16"/>
          <w:szCs w:val="16"/>
          <w:color w:val="auto"/>
        </w:rPr>
        <w:t>If you own ordinary shares during any year in which we are a PFIC and you recognize gain on a disposition of such ordinary shares or receive distributions with respect to such ordinary shares, you generally will be required to file an IRS Form 8621 with respect to us, generally with your federal income tax return for that year. If we are a PFIC for a given taxable year, then you should consult your tax advisor concerning your annual filing requirements.</w:t>
      </w:r>
    </w:p>
    <w:p>
      <w:pPr>
        <w:spacing w:after="0" w:line="155" w:lineRule="exact"/>
        <w:rPr>
          <w:sz w:val="20"/>
          <w:szCs w:val="20"/>
          <w:color w:val="auto"/>
        </w:rPr>
      </w:pPr>
    </w:p>
    <w:p>
      <w:pPr>
        <w:ind w:right="240" w:firstLine="410"/>
        <w:spacing w:after="0" w:line="259" w:lineRule="auto"/>
        <w:rPr>
          <w:sz w:val="20"/>
          <w:szCs w:val="20"/>
          <w:color w:val="auto"/>
        </w:rPr>
      </w:pPr>
      <w:r>
        <w:rPr>
          <w:rFonts w:ascii="Arial" w:cs="Arial" w:eastAsia="Arial" w:hAnsi="Arial"/>
          <w:sz w:val="17"/>
          <w:szCs w:val="17"/>
          <w:b w:val="1"/>
          <w:bCs w:val="1"/>
          <w:color w:val="auto"/>
        </w:rPr>
        <w:t>You should consult your tax advisor regarding whether we are a PFIC as well as the potential U.S. federal income tax consequences of holding and disposing of our ordinary shares if we are or become classified as a PFIC, including the possibility of making a mark-to-market election in your particular circumstances.</w:t>
      </w:r>
    </w:p>
    <w:p>
      <w:pPr>
        <w:spacing w:after="0" w:line="175"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Backup Withholding Tax and Information Reporting Requirements</w:t>
      </w:r>
    </w:p>
    <w:p>
      <w:pPr>
        <w:spacing w:after="0" w:line="206" w:lineRule="exact"/>
        <w:rPr>
          <w:sz w:val="20"/>
          <w:szCs w:val="20"/>
          <w:color w:val="auto"/>
        </w:rPr>
      </w:pPr>
    </w:p>
    <w:p>
      <w:pPr>
        <w:ind w:right="120" w:firstLine="410"/>
        <w:spacing w:after="0" w:line="280" w:lineRule="auto"/>
        <w:rPr>
          <w:sz w:val="20"/>
          <w:szCs w:val="20"/>
          <w:color w:val="auto"/>
        </w:rPr>
      </w:pPr>
      <w:r>
        <w:rPr>
          <w:rFonts w:ascii="Arial" w:cs="Arial" w:eastAsia="Arial" w:hAnsi="Arial"/>
          <w:sz w:val="16"/>
          <w:szCs w:val="16"/>
          <w:color w:val="auto"/>
        </w:rPr>
        <w:t>Dividend payments on and proceeds paid from the sale or other taxable disposition of the ordinary shares may be subject to information reporting to the IRS. In addition, a U.S. Holder may be subject to backup withholding on cash payments received in connection with dividend payments and proceeds from the sale or other taxable disposition of ordinary shares made within the United States or through certain U.S. related financial intermediaries.</w:t>
      </w:r>
    </w:p>
    <w:p>
      <w:pPr>
        <w:spacing w:after="0" w:line="159" w:lineRule="exact"/>
        <w:rPr>
          <w:sz w:val="20"/>
          <w:szCs w:val="20"/>
          <w:color w:val="auto"/>
        </w:rPr>
      </w:pPr>
    </w:p>
    <w:p>
      <w:pPr>
        <w:ind w:right="180" w:firstLine="410"/>
        <w:spacing w:after="0" w:line="298" w:lineRule="auto"/>
        <w:rPr>
          <w:sz w:val="20"/>
          <w:szCs w:val="20"/>
          <w:color w:val="auto"/>
        </w:rPr>
      </w:pPr>
      <w:r>
        <w:rPr>
          <w:rFonts w:ascii="Arial" w:cs="Arial" w:eastAsia="Arial" w:hAnsi="Arial"/>
          <w:sz w:val="15"/>
          <w:szCs w:val="15"/>
          <w:color w:val="auto"/>
        </w:rPr>
        <w:t>Backup withholding will not apply, however, to a U.S. Holder who furnishes a correct taxpayer identification number, provides other required certification and otherwise complies with the applicable requirements of the backup withholding rules or who is otherwise exempt from backup withholding (and, when required, demonstrates such exemption). Backup withholding is not an additional tax. Rather, any amount withheld under the backup withholding rules will be creditable or refundable against the U.S. Holder’s U.S. federal income tax liability, provided the required information is timely furnished to the IRS.</w:t>
      </w:r>
    </w:p>
    <w:p>
      <w:pPr>
        <w:spacing w:after="0" w:line="148"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Foreign Asset Reporting</w:t>
      </w:r>
    </w:p>
    <w:p>
      <w:pPr>
        <w:spacing w:after="0" w:line="206" w:lineRule="exact"/>
        <w:rPr>
          <w:sz w:val="20"/>
          <w:szCs w:val="20"/>
          <w:color w:val="auto"/>
        </w:rPr>
      </w:pPr>
    </w:p>
    <w:p>
      <w:pPr>
        <w:ind w:firstLine="410"/>
        <w:spacing w:after="0" w:line="251" w:lineRule="auto"/>
        <w:rPr>
          <w:sz w:val="20"/>
          <w:szCs w:val="20"/>
          <w:color w:val="auto"/>
        </w:rPr>
      </w:pPr>
      <w:r>
        <w:rPr>
          <w:rFonts w:ascii="Arial" w:cs="Arial" w:eastAsia="Arial" w:hAnsi="Arial"/>
          <w:sz w:val="17"/>
          <w:szCs w:val="17"/>
          <w:color w:val="auto"/>
        </w:rPr>
        <w:t>Certain U.S. Holders are required to report their holdings of certain foreign financial assets, including equity of foreign entities, if the aggregate value of all of these assets exceeds certain threshold amounts by filing an IRS Form 8938 with their federal income tax return. Our ordinary shares are expected to constitute foreign financial assets subject to these requirements unless the ordinary shares are held in an account at certain financial institutions. U.S. Holders are urged to consult their tax advisors regarding their information reporting obligations, if any, with respect to their ownership and disposition of our ordinary shares and the significant penalties for non-compliance.</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37" w:name="page138"/>
    <w:bookmarkEnd w:id="137"/>
    <w:p>
      <w:pPr>
        <w:ind w:right="40" w:firstLine="410"/>
        <w:spacing w:after="0" w:line="273" w:lineRule="auto"/>
        <w:rPr>
          <w:sz w:val="20"/>
          <w:szCs w:val="20"/>
          <w:color w:val="auto"/>
        </w:rPr>
      </w:pPr>
      <w:r>
        <w:rPr>
          <w:rFonts w:ascii="Arial" w:cs="Arial" w:eastAsia="Arial" w:hAnsi="Arial"/>
          <w:sz w:val="17"/>
          <w:szCs w:val="17"/>
          <w:b w:val="1"/>
          <w:bCs w:val="1"/>
          <w:color w:val="auto"/>
        </w:rPr>
        <w:t>The above description is not intended to constitute a complete analysis of all tax consequences relating to the ownership and disposition of our ordinary shares. You should consult your tax advisor concerning the tax consequences of your particular situation.</w:t>
      </w:r>
    </w:p>
    <w:p>
      <w:pPr>
        <w:spacing w:after="0" w:line="158" w:lineRule="exact"/>
        <w:rPr>
          <w:sz w:val="20"/>
          <w:szCs w:val="20"/>
          <w:color w:val="auto"/>
        </w:rPr>
      </w:pPr>
    </w:p>
    <w:p>
      <w:pPr>
        <w:ind w:left="420" w:right="8700" w:hanging="282"/>
        <w:spacing w:after="0" w:line="493" w:lineRule="auto"/>
        <w:tabs>
          <w:tab w:leader="none" w:pos="437"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Dividends and Paying Agents </w:t>
      </w:r>
      <w:r>
        <w:rPr>
          <w:rFonts w:ascii="Arial" w:cs="Arial" w:eastAsia="Arial" w:hAnsi="Arial"/>
          <w:sz w:val="17"/>
          <w:szCs w:val="17"/>
          <w:color w:val="auto"/>
        </w:rPr>
        <w:t>Not applicable.</w:t>
      </w:r>
    </w:p>
    <w:p>
      <w:pPr>
        <w:ind w:left="420" w:right="9240" w:hanging="282"/>
        <w:spacing w:after="0" w:line="558" w:lineRule="auto"/>
        <w:tabs>
          <w:tab w:leader="none" w:pos="437" w:val="left"/>
        </w:tabs>
        <w:numPr>
          <w:ilvl w:val="0"/>
          <w:numId w:val="9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Statement by Experts </w:t>
      </w:r>
      <w:r>
        <w:rPr>
          <w:rFonts w:ascii="Arial" w:cs="Arial" w:eastAsia="Arial" w:hAnsi="Arial"/>
          <w:sz w:val="15"/>
          <w:szCs w:val="15"/>
          <w:color w:val="auto"/>
        </w:rPr>
        <w:t>Not applicable.</w:t>
      </w:r>
    </w:p>
    <w:p>
      <w:pPr>
        <w:spacing w:after="0" w:line="1" w:lineRule="exact"/>
        <w:rPr>
          <w:rFonts w:ascii="Arial" w:cs="Arial" w:eastAsia="Arial" w:hAnsi="Arial"/>
          <w:sz w:val="15"/>
          <w:szCs w:val="15"/>
          <w:b w:val="1"/>
          <w:bCs w:val="1"/>
          <w:color w:val="auto"/>
        </w:rPr>
      </w:pPr>
    </w:p>
    <w:p>
      <w:pPr>
        <w:ind w:left="420" w:hanging="282"/>
        <w:spacing w:after="0"/>
        <w:tabs>
          <w:tab w:leader="none" w:pos="420"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Documents on Display</w:t>
      </w:r>
    </w:p>
    <w:p>
      <w:pPr>
        <w:spacing w:after="0" w:line="210"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We are subject to the informational requirements of the Exchange Act. Accordingly, we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75" w:lineRule="exact"/>
        <w:rPr>
          <w:sz w:val="20"/>
          <w:szCs w:val="20"/>
          <w:color w:val="auto"/>
        </w:rPr>
      </w:pPr>
    </w:p>
    <w:p>
      <w:pPr>
        <w:ind w:right="80" w:firstLine="410"/>
        <w:spacing w:after="0" w:line="298" w:lineRule="auto"/>
        <w:rPr>
          <w:sz w:val="20"/>
          <w:szCs w:val="20"/>
          <w:color w:val="auto"/>
        </w:rPr>
      </w:pPr>
      <w:r>
        <w:rPr>
          <w:rFonts w:ascii="Arial" w:cs="Arial" w:eastAsia="Arial" w:hAnsi="Arial"/>
          <w:sz w:val="15"/>
          <w:szCs w:val="15"/>
          <w:color w:val="auto"/>
        </w:rPr>
        <w:t>We maintain a corporate website at http://www.walkme.com. Information contained on, or that can be accessed through our website does not constitute a part of this Annual Report on Form 20-F. We also make available on our website’s investor relations page at http://ir.walkme.com, free of charge, our Annual Report and the text of our reports on Form 6-K, including any amendments to these reports, as well as certain other SEC filings, as soon as reasonably practicable after they are electronically filed with or furnished to the SEC. The information contained on our website is not incorporated by reference in this Annual Report.</w:t>
      </w:r>
    </w:p>
    <w:p>
      <w:pPr>
        <w:spacing w:after="0" w:line="148" w:lineRule="exact"/>
        <w:rPr>
          <w:sz w:val="20"/>
          <w:szCs w:val="20"/>
          <w:color w:val="auto"/>
        </w:rPr>
      </w:pPr>
    </w:p>
    <w:p>
      <w:pPr>
        <w:ind w:right="160" w:firstLine="410"/>
        <w:spacing w:after="0" w:line="290" w:lineRule="auto"/>
        <w:rPr>
          <w:sz w:val="20"/>
          <w:szCs w:val="20"/>
          <w:color w:val="auto"/>
        </w:rPr>
      </w:pPr>
      <w:r>
        <w:rPr>
          <w:rFonts w:ascii="Arial" w:cs="Arial" w:eastAsia="Arial" w:hAnsi="Arial"/>
          <w:sz w:val="15"/>
          <w:szCs w:val="15"/>
          <w:color w:val="auto"/>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will file with the SEC, within 120 days after the end of each subsequent fiscal year, or such applicable time as required by the SEC, an annual report on Form 20-F containing financial statements audited by an independent registered public accounting firm. We also intend to furnish certain other material information to the SEC under cover of Form 6-K.</w:t>
      </w:r>
    </w:p>
    <w:p>
      <w:pPr>
        <w:spacing w:after="0" w:line="155" w:lineRule="exact"/>
        <w:rPr>
          <w:sz w:val="20"/>
          <w:szCs w:val="20"/>
          <w:color w:val="auto"/>
        </w:rPr>
      </w:pPr>
    </w:p>
    <w:p>
      <w:pPr>
        <w:ind w:right="140" w:firstLine="410"/>
        <w:spacing w:after="0" w:line="253" w:lineRule="auto"/>
        <w:rPr>
          <w:sz w:val="20"/>
          <w:szCs w:val="20"/>
          <w:color w:val="auto"/>
        </w:rPr>
      </w:pPr>
      <w:r>
        <w:rPr>
          <w:rFonts w:ascii="Arial" w:cs="Arial" w:eastAsia="Arial" w:hAnsi="Arial"/>
          <w:sz w:val="17"/>
          <w:szCs w:val="17"/>
          <w:color w:val="auto"/>
        </w:rPr>
        <w:t>We will send our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176" w:lineRule="exact"/>
        <w:rPr>
          <w:sz w:val="20"/>
          <w:szCs w:val="20"/>
          <w:color w:val="auto"/>
        </w:rPr>
      </w:pPr>
    </w:p>
    <w:p>
      <w:pPr>
        <w:ind w:left="420" w:right="9100" w:hanging="282"/>
        <w:spacing w:after="0" w:line="620" w:lineRule="auto"/>
        <w:tabs>
          <w:tab w:leader="none" w:pos="437" w:val="left"/>
        </w:tabs>
        <w:numPr>
          <w:ilvl w:val="0"/>
          <w:numId w:val="9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Subsidiary Information </w:t>
      </w:r>
      <w:r>
        <w:rPr>
          <w:rFonts w:ascii="Arial" w:cs="Arial" w:eastAsia="Arial" w:hAnsi="Arial"/>
          <w:sz w:val="15"/>
          <w:szCs w:val="15"/>
          <w:color w:val="auto"/>
        </w:rPr>
        <w:t>Not applicable.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b w:val="1"/>
          <w:bCs w:val="1"/>
          <w:color w:val="auto"/>
        </w:rPr>
        <w:t>Item 11. Quantitative and Qualitative Disclosures about Market Risk</w:t>
      </w:r>
    </w:p>
    <w:p>
      <w:pPr>
        <w:spacing w:after="0" w:line="210" w:lineRule="exact"/>
        <w:rPr>
          <w:sz w:val="20"/>
          <w:szCs w:val="20"/>
          <w:color w:val="auto"/>
        </w:rPr>
      </w:pPr>
    </w:p>
    <w:p>
      <w:pPr>
        <w:ind w:firstLine="410"/>
        <w:spacing w:after="0" w:line="268" w:lineRule="auto"/>
        <w:rPr>
          <w:sz w:val="20"/>
          <w:szCs w:val="20"/>
          <w:color w:val="auto"/>
        </w:rPr>
      </w:pPr>
      <w:r>
        <w:rPr>
          <w:rFonts w:ascii="Arial" w:cs="Arial" w:eastAsia="Arial" w:hAnsi="Arial"/>
          <w:sz w:val="17"/>
          <w:szCs w:val="17"/>
          <w:color w:val="auto"/>
        </w:rPr>
        <w:t>We are exposed to market risk from changes in exchange rates, interest rates and inflation. All of these market risks arise in the ordinary course of business, as we do not engage in speculative trading activities. The following analysis provides additional information regarding these risks.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206"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As of December 31, 2021, we had $343.2 million of cash and cash equivalents and bank deposits. Interest-earning instruments carry a degree of interest rate risk. However, our historical interest income has not fluctuated significantly. A hypothetical 10% change in interest rates would not have had a material impact on our financial results for the years ended December 30, 2020 and 2021. We do not enter into investments for trading or speculative purposes and have not used any derivative financial instruments to manage our interest rate risk exposure.</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206" w:lineRule="exact"/>
        <w:rPr>
          <w:sz w:val="20"/>
          <w:szCs w:val="20"/>
          <w:color w:val="auto"/>
        </w:rPr>
      </w:pPr>
    </w:p>
    <w:p>
      <w:pPr>
        <w:ind w:right="200" w:firstLine="410"/>
        <w:spacing w:after="0" w:line="298" w:lineRule="auto"/>
        <w:rPr>
          <w:sz w:val="20"/>
          <w:szCs w:val="20"/>
          <w:color w:val="auto"/>
        </w:rPr>
      </w:pPr>
      <w:r>
        <w:rPr>
          <w:rFonts w:ascii="Arial" w:cs="Arial" w:eastAsia="Arial" w:hAnsi="Arial"/>
          <w:sz w:val="15"/>
          <w:szCs w:val="15"/>
          <w:color w:val="auto"/>
        </w:rPr>
        <w:t>Our reporting currency and the functional currency of our non-U.S. subsidiaries is U.S. dollar, with the exception of Walkme K.K our Japanese subsidiary, for which the Japanese Yen is the functional currency. The majority of our revenues were denominated in U.S. dollars and the remainder in other currencies. However, a significant portion of our operating costs in Israel, consisting principally of salaries and employee-related costs, and operating lease and facility expenses are denominated in NIS. This foreign currency exposure gives rise to market risk associated with exchange rate movements of the U.S. dollar against the NIS.</w:t>
      </w:r>
    </w:p>
    <w:p>
      <w:pPr>
        <w:spacing w:after="0" w:line="148" w:lineRule="exact"/>
        <w:rPr>
          <w:sz w:val="20"/>
          <w:szCs w:val="20"/>
          <w:color w:val="auto"/>
        </w:rPr>
      </w:pPr>
    </w:p>
    <w:p>
      <w:pPr>
        <w:ind w:right="160" w:firstLine="410"/>
        <w:spacing w:after="0" w:line="293" w:lineRule="auto"/>
        <w:rPr>
          <w:sz w:val="20"/>
          <w:szCs w:val="20"/>
          <w:color w:val="auto"/>
        </w:rPr>
      </w:pPr>
      <w:r>
        <w:rPr>
          <w:rFonts w:ascii="Arial" w:cs="Arial" w:eastAsia="Arial" w:hAnsi="Arial"/>
          <w:sz w:val="15"/>
          <w:szCs w:val="15"/>
          <w:color w:val="auto"/>
        </w:rPr>
        <w:t>To reduce the impact of foreign currency exchange risks associated with forecasted future cash flows and certain existing assets and liabilities and the volatility in our consolidated statements of operations, we have established a hedging policy. Currently, our hedging activity relates to U.S. dollar/NIS exchange rate exposure. We do not enter into derivative instruments for trading or speculative purposes. We account for our derivative instruments as either assets or liabilities and carry them at fair value in the consolidated balance sheets. The accounting for changes in the fair value of the derivative depends on the intended use of the derivative and the resulting designation. Our hedging activities reduce but do not eliminate the impact of currency exchange rate movements.</w:t>
      </w:r>
    </w:p>
    <w:p>
      <w:pPr>
        <w:spacing w:after="0" w:line="152" w:lineRule="exact"/>
        <w:rPr>
          <w:sz w:val="20"/>
          <w:szCs w:val="20"/>
          <w:color w:val="auto"/>
        </w:rPr>
      </w:pPr>
    </w:p>
    <w:p>
      <w:pPr>
        <w:ind w:right="820" w:firstLine="410"/>
        <w:spacing w:after="0" w:line="299" w:lineRule="auto"/>
        <w:rPr>
          <w:sz w:val="20"/>
          <w:szCs w:val="20"/>
          <w:color w:val="auto"/>
        </w:rPr>
      </w:pPr>
      <w:r>
        <w:rPr>
          <w:rFonts w:ascii="Arial" w:cs="Arial" w:eastAsia="Arial" w:hAnsi="Arial"/>
          <w:sz w:val="16"/>
          <w:szCs w:val="16"/>
          <w:color w:val="auto"/>
        </w:rPr>
        <w:t>A decrease of 10% in the U.S. dollar/NIS exchange rate would have increased our cost of revenue and operating expenses by 3.0% for the year ended December 31 2021. If the NIS fluctuates significantly against the U.S. dollar, it may have a negative impact on our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206" w:lineRule="exact"/>
        <w:rPr>
          <w:sz w:val="20"/>
          <w:szCs w:val="20"/>
          <w:color w:val="auto"/>
        </w:rPr>
      </w:pPr>
    </w:p>
    <w:p>
      <w:pPr>
        <w:jc w:val="both"/>
        <w:ind w:right="260" w:firstLine="410"/>
        <w:spacing w:after="0" w:line="280" w:lineRule="auto"/>
        <w:rPr>
          <w:sz w:val="20"/>
          <w:szCs w:val="20"/>
          <w:color w:val="auto"/>
        </w:rPr>
      </w:pPr>
      <w:r>
        <w:rPr>
          <w:rFonts w:ascii="Arial" w:cs="Arial" w:eastAsia="Arial" w:hAnsi="Arial"/>
          <w:sz w:val="16"/>
          <w:szCs w:val="16"/>
          <w:color w:val="auto"/>
        </w:rPr>
        <w:t>Our investments are subject to market risk due to changes in interest rates, which may affect our interest income and fair market value of our investments. To minimize this risk, we maintain our portfolio in a variety of high-grade securities, including U.S. treasury bonds and corporate bonds. The primary objectives of our investment activities are to support liquidity, preserve principal and to maximize income without significantly increasing risk.</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Description of Securities Other than Equity Securities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Defaults, Dividend Arrearages and Delinquencies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b w:val="1"/>
          <w:bCs w:val="1"/>
          <w:color w:val="auto"/>
        </w:rPr>
        <w:t>Item 14. Material Modifications to the Rights of Security Holders and Use of Proceeds</w:t>
      </w:r>
    </w:p>
    <w:p>
      <w:pPr>
        <w:spacing w:after="0" w:line="210" w:lineRule="exact"/>
        <w:rPr>
          <w:sz w:val="20"/>
          <w:szCs w:val="20"/>
          <w:color w:val="auto"/>
        </w:rPr>
      </w:pPr>
    </w:p>
    <w:p>
      <w:pPr>
        <w:ind w:right="120" w:firstLine="410"/>
        <w:spacing w:after="0" w:line="268" w:lineRule="auto"/>
        <w:rPr>
          <w:sz w:val="20"/>
          <w:szCs w:val="20"/>
          <w:color w:val="auto"/>
        </w:rPr>
      </w:pPr>
      <w:r>
        <w:rPr>
          <w:rFonts w:ascii="Arial" w:cs="Arial" w:eastAsia="Arial" w:hAnsi="Arial"/>
          <w:sz w:val="17"/>
          <w:szCs w:val="17"/>
          <w:color w:val="auto"/>
        </w:rPr>
        <w:t>On June 18, 2021, upon closing of the IPO, we amended and restated our Articles of Association. A copy of our amended and restated Articles of Association is being filed as Exhibit 1.1 to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Proceeds</w:t>
      </w:r>
    </w:p>
    <w:p>
      <w:pPr>
        <w:spacing w:after="0" w:line="206" w:lineRule="exact"/>
        <w:rPr>
          <w:sz w:val="20"/>
          <w:szCs w:val="20"/>
          <w:color w:val="auto"/>
        </w:rPr>
      </w:pPr>
    </w:p>
    <w:p>
      <w:pPr>
        <w:ind w:right="80" w:firstLine="410"/>
        <w:spacing w:after="0" w:line="257" w:lineRule="auto"/>
        <w:rPr>
          <w:sz w:val="20"/>
          <w:szCs w:val="20"/>
          <w:color w:val="auto"/>
        </w:rPr>
      </w:pPr>
      <w:r>
        <w:rPr>
          <w:rFonts w:ascii="Arial" w:cs="Arial" w:eastAsia="Arial" w:hAnsi="Arial"/>
          <w:sz w:val="17"/>
          <w:szCs w:val="17"/>
          <w:color w:val="auto"/>
        </w:rPr>
        <w:t>On June 18, 2021, we completed an IPO of 9,250,000 ordinary shares sold at an initial public offering price of $31.00 per share. The ordinary shares offered and sold in the IPO were registered under the Securities Act pursuant to our Registration Statement on Form F-1 (File No. 333-256219), which was declared effective by the SEC on June 15, 2021.</w:t>
      </w:r>
    </w:p>
    <w:p>
      <w:pPr>
        <w:spacing w:after="0" w:line="175" w:lineRule="exact"/>
        <w:rPr>
          <w:sz w:val="20"/>
          <w:szCs w:val="20"/>
          <w:color w:val="auto"/>
        </w:rPr>
      </w:pPr>
    </w:p>
    <w:p>
      <w:pPr>
        <w:ind w:right="40" w:firstLine="410"/>
        <w:spacing w:after="0" w:line="268" w:lineRule="auto"/>
        <w:rPr>
          <w:sz w:val="20"/>
          <w:szCs w:val="20"/>
          <w:color w:val="auto"/>
        </w:rPr>
      </w:pPr>
      <w:r>
        <w:rPr>
          <w:rFonts w:ascii="Arial" w:cs="Arial" w:eastAsia="Arial" w:hAnsi="Arial"/>
          <w:sz w:val="17"/>
          <w:szCs w:val="17"/>
          <w:color w:val="auto"/>
        </w:rPr>
        <w:t>The IPO generated gross proceeds of $286,750,000. We had underwriting discounts and commissions of $18,638,750 and other issuance costs of $4,200,000. We paid out of Company proceeds all of our fees, costs and expenses in connection with the IPO.</w:t>
      </w:r>
    </w:p>
    <w:p>
      <w:pPr>
        <w:spacing w:after="0" w:line="166" w:lineRule="exact"/>
        <w:rPr>
          <w:sz w:val="20"/>
          <w:szCs w:val="20"/>
          <w:color w:val="auto"/>
        </w:rPr>
      </w:pPr>
    </w:p>
    <w:p>
      <w:pPr>
        <w:ind w:right="100" w:firstLine="410"/>
        <w:spacing w:after="0" w:line="268" w:lineRule="auto"/>
        <w:rPr>
          <w:sz w:val="20"/>
          <w:szCs w:val="20"/>
          <w:color w:val="auto"/>
        </w:rPr>
      </w:pPr>
      <w:r>
        <w:rPr>
          <w:rFonts w:ascii="Arial" w:cs="Arial" w:eastAsia="Arial" w:hAnsi="Arial"/>
          <w:sz w:val="17"/>
          <w:szCs w:val="17"/>
          <w:color w:val="auto"/>
        </w:rPr>
        <w:t>No offering expenses were paid directly or indirectly to any of our directors or officers (or their associates), persons owning 10% or more of our ordinary shares or any other affiliates.</w:t>
      </w:r>
    </w:p>
    <w:p>
      <w:pPr>
        <w:spacing w:after="0" w:line="166" w:lineRule="exact"/>
        <w:rPr>
          <w:sz w:val="20"/>
          <w:szCs w:val="20"/>
          <w:color w:val="auto"/>
        </w:rPr>
      </w:pPr>
    </w:p>
    <w:p>
      <w:pPr>
        <w:ind w:right="60" w:firstLine="410"/>
        <w:spacing w:after="0" w:line="268" w:lineRule="auto"/>
        <w:rPr>
          <w:sz w:val="20"/>
          <w:szCs w:val="20"/>
          <w:color w:val="auto"/>
        </w:rPr>
      </w:pPr>
      <w:r>
        <w:rPr>
          <w:rFonts w:ascii="Arial" w:cs="Arial" w:eastAsia="Arial" w:hAnsi="Arial"/>
          <w:sz w:val="17"/>
          <w:szCs w:val="17"/>
          <w:color w:val="auto"/>
        </w:rPr>
        <w:t>There has been no material change in the expected use of the net proceeds from our IPO as described in our final prospectus filed with the SEC on June 16, 2021 pursuant to Rule 424(b).</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Controls and Procedures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Disclosure Controls and Procedures</w:t>
      </w:r>
    </w:p>
    <w:p>
      <w:pPr>
        <w:spacing w:after="0" w:line="206" w:lineRule="exact"/>
        <w:rPr>
          <w:sz w:val="20"/>
          <w:szCs w:val="20"/>
          <w:color w:val="auto"/>
        </w:rPr>
      </w:pPr>
    </w:p>
    <w:p>
      <w:pPr>
        <w:ind w:firstLine="410"/>
        <w:spacing w:after="0" w:line="287" w:lineRule="auto"/>
        <w:rPr>
          <w:sz w:val="20"/>
          <w:szCs w:val="20"/>
          <w:color w:val="auto"/>
        </w:rPr>
      </w:pPr>
      <w:r>
        <w:rPr>
          <w:rFonts w:ascii="Arial" w:cs="Arial" w:eastAsia="Arial" w:hAnsi="Arial"/>
          <w:sz w:val="15"/>
          <w:szCs w:val="15"/>
          <w:color w:val="auto"/>
        </w:rPr>
        <w:t>We maintain disclosure controls and procedures (as that term is defined in Rules 13a-15(e) and 15d-15(e) under the Securities Exchange Act of 1934, as amended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December 31, 2021. Based upon that evaluation, our Chief Executive Officer and Chief Financial Officer concluded that, as of December 31, 2021, our disclosure controls and procedures were effective to accomplish their objectives at the reasonable assurance level.</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Annual Report on Internal Control over Financial Reporting</w:t>
      </w:r>
    </w:p>
    <w:p>
      <w:pPr>
        <w:spacing w:after="0" w:line="206" w:lineRule="exact"/>
        <w:rPr>
          <w:sz w:val="20"/>
          <w:szCs w:val="20"/>
          <w:color w:val="auto"/>
        </w:rPr>
      </w:pPr>
    </w:p>
    <w:p>
      <w:pPr>
        <w:ind w:right="740" w:firstLine="410"/>
        <w:spacing w:after="0" w:line="268" w:lineRule="auto"/>
        <w:rPr>
          <w:sz w:val="20"/>
          <w:szCs w:val="20"/>
          <w:color w:val="auto"/>
        </w:rPr>
      </w:pPr>
      <w:r>
        <w:rPr>
          <w:rFonts w:ascii="Arial" w:cs="Arial" w:eastAsia="Arial" w:hAnsi="Arial"/>
          <w:sz w:val="17"/>
          <w:szCs w:val="17"/>
          <w:color w:val="auto"/>
        </w:rPr>
        <w:t>This Annual Report does not include a report of management’s assessment regarding internal control over financial reporting due to a transition period established by rules of the Securities and Exchange Commission (the “SEC”) for newly public companies.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Attestation Report of the Registered Public Accounting Firm</w:t>
      </w:r>
    </w:p>
    <w:p>
      <w:pPr>
        <w:spacing w:after="0" w:line="206" w:lineRule="exact"/>
        <w:rPr>
          <w:sz w:val="20"/>
          <w:szCs w:val="20"/>
          <w:color w:val="auto"/>
        </w:rPr>
      </w:pPr>
    </w:p>
    <w:p>
      <w:pPr>
        <w:ind w:right="120" w:firstLine="410"/>
        <w:spacing w:after="0" w:line="257" w:lineRule="auto"/>
        <w:rPr>
          <w:sz w:val="20"/>
          <w:szCs w:val="20"/>
          <w:color w:val="auto"/>
        </w:rPr>
      </w:pPr>
      <w:r>
        <w:rPr>
          <w:rFonts w:ascii="Arial" w:cs="Arial" w:eastAsia="Arial" w:hAnsi="Arial"/>
          <w:sz w:val="17"/>
          <w:szCs w:val="17"/>
          <w:color w:val="auto"/>
        </w:rPr>
        <w:t>This Annual Report also does not include an attestation report of our registered public accounting firm due to a transition period established by rules of the SEC for newly public companies. Additionally, our independent registered public accounting firm will not be required to opine on the effectiveness of our internal control over financial reporting until we are no longer an emerging growth company.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06" w:lineRule="exact"/>
        <w:rPr>
          <w:sz w:val="20"/>
          <w:szCs w:val="20"/>
          <w:color w:val="auto"/>
        </w:rPr>
      </w:pPr>
    </w:p>
    <w:p>
      <w:pPr>
        <w:ind w:right="100" w:firstLine="410"/>
        <w:spacing w:after="0" w:line="257" w:lineRule="auto"/>
        <w:rPr>
          <w:sz w:val="20"/>
          <w:szCs w:val="20"/>
          <w:color w:val="auto"/>
        </w:rPr>
      </w:pPr>
      <w:r>
        <w:rPr>
          <w:rFonts w:ascii="Arial" w:cs="Arial" w:eastAsia="Arial" w:hAnsi="Arial"/>
          <w:sz w:val="17"/>
          <w:szCs w:val="17"/>
          <w:color w:val="auto"/>
        </w:rPr>
        <w:t>There were no changes in our internal controls over financial reporting (as such term is defined in Rules 13a-15(f) and 15d-15(f) under the Exchange Act) that occurred during the period covered by this Annual Report that have materially affected, or are reasonably likely to materially affect, our internal control over financial reporting.</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b w:val="1"/>
          <w:bCs w:val="1"/>
          <w:color w:val="auto"/>
        </w:rPr>
        <w:t>Item 16. [Reserved]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16A. Audit Committee Financial Expert</w:t>
      </w:r>
    </w:p>
    <w:p>
      <w:pPr>
        <w:spacing w:after="0" w:line="210" w:lineRule="exact"/>
        <w:rPr>
          <w:sz w:val="20"/>
          <w:szCs w:val="20"/>
          <w:color w:val="auto"/>
        </w:rPr>
      </w:pPr>
    </w:p>
    <w:p>
      <w:pPr>
        <w:ind w:right="180" w:firstLine="410"/>
        <w:spacing w:after="0" w:line="268" w:lineRule="auto"/>
        <w:rPr>
          <w:sz w:val="20"/>
          <w:szCs w:val="20"/>
          <w:color w:val="auto"/>
        </w:rPr>
      </w:pPr>
      <w:r>
        <w:rPr>
          <w:rFonts w:ascii="Arial" w:cs="Arial" w:eastAsia="Arial" w:hAnsi="Arial"/>
          <w:sz w:val="17"/>
          <w:szCs w:val="17"/>
          <w:color w:val="auto"/>
        </w:rPr>
        <w:t>Our board of directors has determined that each of Ron Gutler, Michele Bettencourt and Roy Saar is an audit committee financial expert as defined by the SEC rules and has the requisite financial experience as defined by Nasdaq corporate governance rules.</w:t>
      </w:r>
    </w:p>
    <w:p>
      <w:pPr>
        <w:spacing w:after="0" w:line="166" w:lineRule="exact"/>
        <w:rPr>
          <w:sz w:val="20"/>
          <w:szCs w:val="20"/>
          <w:color w:val="auto"/>
        </w:rPr>
      </w:pPr>
    </w:p>
    <w:p>
      <w:pPr>
        <w:ind w:right="40" w:firstLine="410"/>
        <w:spacing w:after="0" w:line="335" w:lineRule="auto"/>
        <w:rPr>
          <w:sz w:val="20"/>
          <w:szCs w:val="20"/>
          <w:color w:val="auto"/>
        </w:rPr>
      </w:pPr>
      <w:r>
        <w:rPr>
          <w:rFonts w:ascii="Arial" w:cs="Arial" w:eastAsia="Arial" w:hAnsi="Arial"/>
          <w:sz w:val="15"/>
          <w:szCs w:val="15"/>
          <w:color w:val="auto"/>
        </w:rPr>
        <w:t>Our board of directors has determined that each member of our audit committee is “independent” as such term is defined under the Nasdaq corporate governance rules and under Rule 10A-3(b)(1) under the Exchange Act, which is different from the general test for independence of board and committee members.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16B. Code of Ethics</w:t>
      </w:r>
    </w:p>
    <w:p>
      <w:pPr>
        <w:spacing w:after="0" w:line="210" w:lineRule="exact"/>
        <w:rPr>
          <w:sz w:val="20"/>
          <w:szCs w:val="20"/>
          <w:color w:val="auto"/>
        </w:rPr>
      </w:pPr>
    </w:p>
    <w:p>
      <w:pPr>
        <w:ind w:right="40" w:firstLine="410"/>
        <w:spacing w:after="0" w:line="251" w:lineRule="auto"/>
        <w:rPr>
          <w:sz w:val="20"/>
          <w:szCs w:val="20"/>
          <w:color w:val="auto"/>
        </w:rPr>
      </w:pPr>
      <w:r>
        <w:rPr>
          <w:rFonts w:ascii="Arial" w:cs="Arial" w:eastAsia="Arial" w:hAnsi="Arial"/>
          <w:sz w:val="17"/>
          <w:szCs w:val="17"/>
          <w:color w:val="auto"/>
        </w:rPr>
        <w:t>We have adopted a Code of Ethics and Conduct that applies to all our employees, officers and directors, including our principal executive, principal financial and principal accounting officers. Our Code of Ethics and Conduct addresses, among other things, competition and fair dealing, gifts and entertainment, conflicts of interest, international business laws, financial matters and external reporting, company assets, confidentiality and corporate opportunity requirements and the process for reporting violations of the Code of Ethics and Conduct. Our Code of Ethics and Conduct is intended to meet the definition of “code of ethics” under Item 16B of 20-F under the Exchange Act.</w:t>
      </w:r>
    </w:p>
    <w:p>
      <w:pPr>
        <w:spacing w:after="0" w:line="183"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 xml:space="preserve">We will disclose on our website any amendment to, or waiver from, a provision of our Code of Ethics and Conduct that applies to our directors or executive officers to the extent required under the rules of the SEC or Nasdaq. Our Code of Ethics and Conduct is available on our website at </w:t>
      </w:r>
      <w:r>
        <w:rPr>
          <w:rFonts w:ascii="Arial" w:cs="Arial" w:eastAsia="Arial" w:hAnsi="Arial"/>
          <w:sz w:val="17"/>
          <w:szCs w:val="17"/>
          <w:u w:val="single" w:color="auto"/>
          <w:color w:val="auto"/>
        </w:rPr>
        <w:t>https://ir.walkme.com/corporate-governance/governance-overview</w:t>
      </w:r>
      <w:r>
        <w:rPr>
          <w:rFonts w:ascii="Arial" w:cs="Arial" w:eastAsia="Arial" w:hAnsi="Arial"/>
          <w:sz w:val="17"/>
          <w:szCs w:val="17"/>
          <w:color w:val="auto"/>
        </w:rPr>
        <w:t>. The information contained on or through our website, or any other website referred to herein, is not incorporated by reference in this Annual Report.</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granted no waivers under our Code of Ethics and Conduct in 2021.</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16C. Principal Accounting Fees and Services</w:t>
      </w:r>
    </w:p>
    <w:p>
      <w:pPr>
        <w:spacing w:after="0" w:line="210" w:lineRule="exact"/>
        <w:rPr>
          <w:sz w:val="20"/>
          <w:szCs w:val="20"/>
          <w:color w:val="auto"/>
        </w:rPr>
      </w:pPr>
    </w:p>
    <w:p>
      <w:pPr>
        <w:ind w:right="180" w:firstLine="410"/>
        <w:spacing w:after="0" w:line="298" w:lineRule="auto"/>
        <w:rPr>
          <w:sz w:val="20"/>
          <w:szCs w:val="20"/>
          <w:color w:val="auto"/>
        </w:rPr>
      </w:pPr>
      <w:r>
        <w:rPr>
          <w:rFonts w:ascii="Arial" w:cs="Arial" w:eastAsia="Arial" w:hAnsi="Arial"/>
          <w:sz w:val="15"/>
          <w:szCs w:val="15"/>
          <w:color w:val="auto"/>
        </w:rPr>
        <w:t>The consolidated financial statements of WalkMe Ltd. at December 31, 2020 and 2021, and for each of the three years in the period ended December 31, 2021, appearing in this Annual Report have been audited by Kost Forer Gabbay &amp; Kasierer, a member of Ernst &amp; Young Global, independent registered public accounting firm, as set forth in their report thereon appearing elsewhere herein, and are included in reliance upon such report given on the authority of such firm as experts in accounting and auditing. The current address of Kost Forer Gabbay &amp; Kasierer is 144 Menachem Begin Road, Building A, Tel Aviv 6492101, Israel.</w:t>
      </w:r>
    </w:p>
    <w:p>
      <w:pPr>
        <w:spacing w:after="0" w:line="148" w:lineRule="exact"/>
        <w:rPr>
          <w:sz w:val="20"/>
          <w:szCs w:val="20"/>
          <w:color w:val="auto"/>
        </w:rPr>
      </w:pPr>
    </w:p>
    <w:p>
      <w:pPr>
        <w:ind w:right="680" w:firstLine="410"/>
        <w:spacing w:after="0" w:line="268" w:lineRule="auto"/>
        <w:rPr>
          <w:sz w:val="20"/>
          <w:szCs w:val="20"/>
          <w:color w:val="auto"/>
        </w:rPr>
      </w:pPr>
      <w:r>
        <w:rPr>
          <w:rFonts w:ascii="Arial" w:cs="Arial" w:eastAsia="Arial" w:hAnsi="Arial"/>
          <w:sz w:val="17"/>
          <w:szCs w:val="17"/>
          <w:color w:val="auto"/>
        </w:rPr>
        <w:t>The table below sets out the total amount of services rendered to us by Kost Forer Gabbay &amp; Kasierer, a member of Ernst &amp; Young Global, for services performed in the years ended December 31, 2020 and 2021, and breaks down these amounts by category of service: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580" w:type="dxa"/>
            <w:vAlign w:val="bottom"/>
            <w:gridSpan w:val="7"/>
          </w:tcPr>
          <w:p>
            <w:pPr>
              <w:jc w:val="right"/>
              <w:ind w:right="420"/>
              <w:spacing w:after="0"/>
              <w:rPr>
                <w:sz w:val="20"/>
                <w:szCs w:val="20"/>
                <w:color w:val="auto"/>
              </w:rPr>
            </w:pPr>
            <w:r>
              <w:rPr>
                <w:rFonts w:ascii="Arial" w:cs="Arial" w:eastAsia="Arial" w:hAnsi="Arial"/>
                <w:sz w:val="17"/>
                <w:szCs w:val="17"/>
                <w:b w:val="1"/>
                <w:bCs w:val="1"/>
                <w:color w:val="auto"/>
              </w:rPr>
              <w:t>Year ended December 31,</w:t>
            </w:r>
          </w:p>
        </w:tc>
      </w:tr>
      <w:tr>
        <w:trPr>
          <w:trHeight w:val="206"/>
        </w:trPr>
        <w:tc>
          <w:tcPr>
            <w:tcW w:w="34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w w:val="84"/>
              </w:rPr>
              <w:t>2021</w:t>
            </w:r>
          </w:p>
        </w:tc>
        <w:tc>
          <w:tcPr>
            <w:tcW w:w="100" w:type="dxa"/>
            <w:vAlign w:val="bottom"/>
          </w:tcPr>
          <w:p>
            <w:pPr>
              <w:spacing w:after="0"/>
              <w:rPr>
                <w:sz w:val="17"/>
                <w:szCs w:val="17"/>
                <w:color w:val="auto"/>
              </w:rPr>
            </w:pPr>
          </w:p>
        </w:tc>
      </w:tr>
      <w:tr>
        <w:trPr>
          <w:trHeight w:val="201"/>
        </w:trPr>
        <w:tc>
          <w:tcPr>
            <w:tcW w:w="34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jc w:val="right"/>
              <w:ind w:right="96"/>
              <w:spacing w:after="0"/>
              <w:rPr>
                <w:sz w:val="20"/>
                <w:szCs w:val="20"/>
                <w:color w:val="auto"/>
              </w:rPr>
            </w:pPr>
            <w:r>
              <w:rPr>
                <w:rFonts w:ascii="Arial" w:cs="Arial" w:eastAsia="Arial" w:hAnsi="Arial"/>
                <w:sz w:val="17"/>
                <w:szCs w:val="17"/>
                <w:color w:val="auto"/>
                <w:w w:val="95"/>
              </w:rPr>
              <w:t>(in</w:t>
            </w:r>
          </w:p>
        </w:tc>
        <w:tc>
          <w:tcPr>
            <w:tcW w:w="600" w:type="dxa"/>
            <w:vAlign w:val="bottom"/>
            <w:gridSpan w:val="3"/>
          </w:tcPr>
          <w:p>
            <w:pPr>
              <w:jc w:val="right"/>
              <w:ind w:right="20"/>
              <w:spacing w:after="0"/>
              <w:rPr>
                <w:sz w:val="20"/>
                <w:szCs w:val="20"/>
                <w:color w:val="auto"/>
              </w:rPr>
            </w:pPr>
            <w:r>
              <w:rPr>
                <w:rFonts w:ascii="Arial" w:cs="Arial" w:eastAsia="Arial" w:hAnsi="Arial"/>
                <w:sz w:val="16"/>
                <w:szCs w:val="16"/>
                <w:color w:val="auto"/>
                <w:w w:val="70"/>
              </w:rPr>
              <w:t>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Audit Fees</w:t>
            </w:r>
          </w:p>
        </w:tc>
        <w:tc>
          <w:tcPr>
            <w:tcW w:w="6020" w:type="dxa"/>
            <w:vAlign w:val="bottom"/>
            <w:gridSpan w:val="2"/>
            <w:shd w:val="clear" w:color="auto" w:fill="CCEEFF"/>
          </w:tcPr>
          <w:p>
            <w:pPr>
              <w:jc w:val="right"/>
              <w:ind w:right="596"/>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361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1,110</w:t>
            </w:r>
          </w:p>
        </w:tc>
      </w:tr>
      <w:tr>
        <w:trPr>
          <w:trHeight w:val="201"/>
        </w:trPr>
        <w:tc>
          <w:tcPr>
            <w:tcW w:w="3400" w:type="dxa"/>
            <w:vAlign w:val="bottom"/>
          </w:tcPr>
          <w:p>
            <w:pPr>
              <w:spacing w:after="0"/>
              <w:rPr>
                <w:sz w:val="20"/>
                <w:szCs w:val="20"/>
                <w:color w:val="auto"/>
              </w:rPr>
            </w:pPr>
            <w:r>
              <w:rPr>
                <w:rFonts w:ascii="Arial" w:cs="Arial" w:eastAsia="Arial" w:hAnsi="Arial"/>
                <w:sz w:val="17"/>
                <w:szCs w:val="17"/>
                <w:color w:val="auto"/>
              </w:rPr>
              <w:t>Audit Related Fees</w:t>
            </w:r>
          </w:p>
        </w:tc>
        <w:tc>
          <w:tcPr>
            <w:tcW w:w="5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Tax Fees</w:t>
            </w:r>
          </w:p>
        </w:tc>
        <w:tc>
          <w:tcPr>
            <w:tcW w:w="5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w:t>
            </w:r>
          </w:p>
        </w:tc>
      </w:tr>
      <w:tr>
        <w:trPr>
          <w:trHeight w:val="201"/>
        </w:trPr>
        <w:tc>
          <w:tcPr>
            <w:tcW w:w="3400" w:type="dxa"/>
            <w:vAlign w:val="bottom"/>
          </w:tcPr>
          <w:p>
            <w:pPr>
              <w:spacing w:after="0"/>
              <w:rPr>
                <w:sz w:val="20"/>
                <w:szCs w:val="20"/>
                <w:color w:val="auto"/>
              </w:rPr>
            </w:pPr>
            <w:r>
              <w:rPr>
                <w:rFonts w:ascii="Arial" w:cs="Arial" w:eastAsia="Arial" w:hAnsi="Arial"/>
                <w:sz w:val="17"/>
                <w:szCs w:val="17"/>
                <w:color w:val="auto"/>
              </w:rPr>
              <w:t>All Other Fees</w:t>
            </w:r>
          </w:p>
        </w:tc>
        <w:tc>
          <w:tcPr>
            <w:tcW w:w="5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gridSpan w:val="2"/>
          </w:tcPr>
          <w:p>
            <w:pPr>
              <w:jc w:val="right"/>
              <w:ind w:right="22"/>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23</w:t>
            </w:r>
          </w:p>
        </w:tc>
      </w:tr>
      <w:tr>
        <w:trPr>
          <w:trHeight w:val="206"/>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6020" w:type="dxa"/>
            <w:vAlign w:val="bottom"/>
            <w:gridSpan w:val="2"/>
            <w:shd w:val="clear" w:color="auto" w:fill="CCEEFF"/>
          </w:tcPr>
          <w:p>
            <w:pPr>
              <w:jc w:val="right"/>
              <w:ind w:right="596"/>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22"/>
              <w:spacing w:after="0"/>
              <w:rPr>
                <w:sz w:val="20"/>
                <w:szCs w:val="20"/>
                <w:color w:val="auto"/>
              </w:rPr>
            </w:pPr>
            <w:r>
              <w:rPr>
                <w:rFonts w:ascii="Arial" w:cs="Arial" w:eastAsia="Arial" w:hAnsi="Arial"/>
                <w:sz w:val="17"/>
                <w:szCs w:val="17"/>
                <w:color w:val="auto"/>
              </w:rPr>
              <w:t>439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1,198</w:t>
            </w:r>
          </w:p>
        </w:tc>
      </w:tr>
      <w:tr>
        <w:trPr>
          <w:trHeight w:val="565"/>
        </w:trPr>
        <w:tc>
          <w:tcPr>
            <w:tcW w:w="3400" w:type="dxa"/>
            <w:vAlign w:val="bottom"/>
            <w:tcBorders>
              <w:top w:val="single" w:sz="8" w:color="CCEEFF"/>
            </w:tcBorders>
          </w:tcPr>
          <w:p>
            <w:pPr>
              <w:spacing w:after="0"/>
              <w:rPr>
                <w:sz w:val="24"/>
                <w:szCs w:val="24"/>
                <w:color w:val="auto"/>
              </w:rPr>
            </w:pPr>
          </w:p>
        </w:tc>
        <w:tc>
          <w:tcPr>
            <w:tcW w:w="5260" w:type="dxa"/>
            <w:vAlign w:val="bottom"/>
            <w:tcBorders>
              <w:top w:val="single" w:sz="8" w:color="CCEEFF"/>
            </w:tcBorders>
          </w:tcPr>
          <w:p>
            <w:pPr>
              <w:jc w:val="right"/>
              <w:ind w:right="2836"/>
              <w:spacing w:after="0"/>
              <w:rPr>
                <w:sz w:val="20"/>
                <w:szCs w:val="20"/>
                <w:color w:val="auto"/>
              </w:rPr>
            </w:pPr>
            <w:r>
              <w:rPr>
                <w:rFonts w:ascii="Arial" w:cs="Arial" w:eastAsia="Arial" w:hAnsi="Arial"/>
                <w:sz w:val="17"/>
                <w:szCs w:val="17"/>
                <w:color w:val="auto"/>
              </w:rPr>
              <w:t>141</w:t>
            </w:r>
          </w:p>
        </w:tc>
        <w:tc>
          <w:tcPr>
            <w:tcW w:w="7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56"/>
        </w:trPr>
        <w:tc>
          <w:tcPr>
            <w:tcW w:w="3400" w:type="dxa"/>
            <w:vAlign w:val="bottom"/>
            <w:tcBorders>
              <w:bottom w:val="single" w:sz="8" w:color="auto"/>
            </w:tcBorders>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3" w:right="33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b w:val="1"/>
          <w:bCs w:val="1"/>
          <w:color w:val="auto"/>
        </w:rPr>
        <w:t>Audit Fees</w:t>
      </w:r>
    </w:p>
    <w:p>
      <w:pPr>
        <w:spacing w:after="0" w:line="210" w:lineRule="exact"/>
        <w:rPr>
          <w:sz w:val="20"/>
          <w:szCs w:val="20"/>
          <w:color w:val="auto"/>
        </w:rPr>
      </w:pPr>
    </w:p>
    <w:p>
      <w:pPr>
        <w:ind w:right="80" w:firstLine="410"/>
        <w:spacing w:after="0" w:line="253" w:lineRule="auto"/>
        <w:rPr>
          <w:sz w:val="20"/>
          <w:szCs w:val="20"/>
          <w:color w:val="auto"/>
        </w:rPr>
      </w:pPr>
      <w:r>
        <w:rPr>
          <w:rFonts w:ascii="Arial" w:cs="Arial" w:eastAsia="Arial" w:hAnsi="Arial"/>
          <w:sz w:val="17"/>
          <w:szCs w:val="17"/>
          <w:color w:val="auto"/>
        </w:rPr>
        <w:t>Audit fees consist of fees for professional services provided in connection with the audit of our annual consolidated financial statements and audit services that are normally provided by an independent registered public accounting firm in connection with statutory and regulatory filings or engagements for those years. The audit fees for the year ended 2021 include fees for professional services provided in connection with our initial public offering incurred during the year ended December 31, 2021.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Fees</w:t>
      </w:r>
    </w:p>
    <w:p>
      <w:pPr>
        <w:spacing w:after="0" w:line="210" w:lineRule="exact"/>
        <w:rPr>
          <w:sz w:val="20"/>
          <w:szCs w:val="20"/>
          <w:color w:val="auto"/>
        </w:rPr>
      </w:pPr>
    </w:p>
    <w:p>
      <w:pPr>
        <w:ind w:right="60" w:firstLine="410"/>
        <w:spacing w:after="0" w:line="268" w:lineRule="auto"/>
        <w:rPr>
          <w:sz w:val="20"/>
          <w:szCs w:val="20"/>
          <w:color w:val="auto"/>
        </w:rPr>
      </w:pPr>
      <w:r>
        <w:rPr>
          <w:rFonts w:ascii="Arial" w:cs="Arial" w:eastAsia="Arial" w:hAnsi="Arial"/>
          <w:sz w:val="17"/>
          <w:szCs w:val="17"/>
          <w:color w:val="auto"/>
        </w:rPr>
        <w:t>Tax fees refer to professional services rendered by our auditors, which include ongoing tax advisory, tax compliance and tax consulting associated with transfer pricing.</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 Other Fees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Consists of fees for services provided in connection with the assessment and reports of our compliance programs.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Pre-Approval Policies and Procedures</w:t>
      </w:r>
    </w:p>
    <w:p>
      <w:pPr>
        <w:spacing w:after="0" w:line="210" w:lineRule="exact"/>
        <w:rPr>
          <w:sz w:val="20"/>
          <w:szCs w:val="20"/>
          <w:color w:val="auto"/>
        </w:rPr>
      </w:pPr>
    </w:p>
    <w:p>
      <w:pPr>
        <w:ind w:right="420" w:firstLine="410"/>
        <w:spacing w:after="0" w:line="268" w:lineRule="auto"/>
        <w:rPr>
          <w:sz w:val="20"/>
          <w:szCs w:val="20"/>
          <w:color w:val="auto"/>
        </w:rPr>
      </w:pPr>
      <w:r>
        <w:rPr>
          <w:rFonts w:ascii="Arial" w:cs="Arial" w:eastAsia="Arial" w:hAnsi="Arial"/>
          <w:sz w:val="17"/>
          <w:szCs w:val="17"/>
          <w:color w:val="auto"/>
        </w:rPr>
        <w:t>The advance approval of the Audit Committee or members thereof, to whom approval authority has been delegated, is required for all audit and non-audit services provided by our auditors.</w:t>
      </w:r>
    </w:p>
    <w:p>
      <w:pPr>
        <w:spacing w:after="0" w:line="166" w:lineRule="exact"/>
        <w:rPr>
          <w:sz w:val="20"/>
          <w:szCs w:val="20"/>
          <w:color w:val="auto"/>
        </w:rPr>
      </w:pPr>
    </w:p>
    <w:p>
      <w:pPr>
        <w:ind w:right="300" w:firstLine="410"/>
        <w:spacing w:after="0" w:line="268" w:lineRule="auto"/>
        <w:rPr>
          <w:sz w:val="20"/>
          <w:szCs w:val="20"/>
          <w:color w:val="auto"/>
        </w:rPr>
      </w:pPr>
      <w:r>
        <w:rPr>
          <w:rFonts w:ascii="Arial" w:cs="Arial" w:eastAsia="Arial" w:hAnsi="Arial"/>
          <w:sz w:val="17"/>
          <w:szCs w:val="17"/>
          <w:color w:val="auto"/>
        </w:rPr>
        <w:t>All services provided by our auditors are approved in advance by either the Audit Committee or members thereof, to whom authority has been delegated, in accordance with the Audit Committee’s pre-approval policy.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16D. Exemptions from the Listing Standards for Audit Committees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16E. Purchases of Equity Securities by the Issuer and Affiliated Purchasers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16F. Change in Registrant’s Certifying Accountant</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16G. Corporate Governance</w:t>
      </w:r>
    </w:p>
    <w:p>
      <w:pPr>
        <w:spacing w:after="0" w:line="210" w:lineRule="exact"/>
        <w:rPr>
          <w:sz w:val="20"/>
          <w:szCs w:val="20"/>
          <w:color w:val="auto"/>
        </w:rPr>
      </w:pPr>
    </w:p>
    <w:p>
      <w:pPr>
        <w:ind w:firstLine="410"/>
        <w:spacing w:after="0" w:line="254" w:lineRule="auto"/>
        <w:rPr>
          <w:sz w:val="20"/>
          <w:szCs w:val="20"/>
          <w:color w:val="auto"/>
        </w:rPr>
      </w:pPr>
      <w:r>
        <w:rPr>
          <w:rFonts w:ascii="Arial" w:cs="Arial" w:eastAsia="Arial" w:hAnsi="Arial"/>
          <w:sz w:val="15"/>
          <w:szCs w:val="15"/>
          <w:color w:val="auto"/>
        </w:rPr>
        <w:t>We are a “foreign private issuer” (as such term is defined in Rule 3b-4 under the Exchange Act) and our ordinary shares are listed on the Nasdaq Global Select Market. Under the Listing Rules of the Nasdaq Stock Market, listed companies that are foreign private issuers are permitted to follow home country practice in lieu of the corporate governance provisions specified by the Listing Rules of the Nasdaq Stock Market with limited exceptions. We rely on this “home country practice exemption” with respect to the quorum requirement for shareholder meetings. Whereas under the Listing Rules of the Nasdaq Stock Market, a quorum requires the presence, in person or by proxy, of holders of at least 33</w:t>
      </w:r>
      <w:r>
        <w:rPr>
          <w:rFonts w:ascii="Arial" w:cs="Arial" w:eastAsia="Arial" w:hAnsi="Arial"/>
          <w:sz w:val="24"/>
          <w:szCs w:val="24"/>
          <w:color w:val="auto"/>
          <w:vertAlign w:val="superscript"/>
        </w:rPr>
        <w:t>1/3</w:t>
      </w:r>
      <w:r>
        <w:rPr>
          <w:rFonts w:ascii="Arial" w:cs="Arial" w:eastAsia="Arial" w:hAnsi="Arial"/>
          <w:sz w:val="15"/>
          <w:szCs w:val="15"/>
          <w:color w:val="auto"/>
        </w:rPr>
        <w:t>% of the total issued outstanding voting power of our shares at each general meeting of shareholders, pursuant to our Articles of Association, and as permitted under the Companies Law, the quorum required for a general meeting of shareholders consists of at least two shareholders present in person or by proxy in accordance with the Companies Law, who hold or represent at least 33</w:t>
      </w:r>
      <w:r>
        <w:rPr>
          <w:rFonts w:ascii="Arial" w:cs="Arial" w:eastAsia="Arial" w:hAnsi="Arial"/>
          <w:sz w:val="24"/>
          <w:szCs w:val="24"/>
          <w:color w:val="auto"/>
          <w:vertAlign w:val="superscript"/>
        </w:rPr>
        <w:t>1/3</w:t>
      </w:r>
      <w:r>
        <w:rPr>
          <w:rFonts w:ascii="Arial" w:cs="Arial" w:eastAsia="Arial" w:hAnsi="Arial"/>
          <w:sz w:val="15"/>
          <w:szCs w:val="15"/>
          <w:color w:val="auto"/>
        </w:rPr>
        <w:t>% of the total outstanding voting power of our shares, except if (i) any such general meeting of shareholders was initiated by and convened pursuant to a resolution adopted by the board of directors and (ii) at the time of such general meeting, we qualify to use the forms and rules of a “foreign private issuer,” the requisite quorum will consist of two or more shareholders present in person or by proxy who hold or represent at least 25% of the total outstanding voting power of our shares (and if the meeting is adjourned for a lack of quorum, the quorum for such adjourned meeting will be, subject to certain exceptions, any number of shareholders).</w:t>
      </w: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142" w:name="page143"/>
    <w:bookmarkEnd w:id="142"/>
    <w:p>
      <w:pPr>
        <w:ind w:right="60" w:firstLine="410"/>
        <w:spacing w:after="0" w:line="253" w:lineRule="auto"/>
        <w:rPr>
          <w:sz w:val="20"/>
          <w:szCs w:val="20"/>
          <w:color w:val="auto"/>
        </w:rPr>
      </w:pPr>
      <w:r>
        <w:rPr>
          <w:rFonts w:ascii="Arial" w:cs="Arial" w:eastAsia="Arial" w:hAnsi="Arial"/>
          <w:sz w:val="17"/>
          <w:szCs w:val="17"/>
          <w:color w:val="auto"/>
        </w:rPr>
        <w:t>We otherwise comply with and intend to continue to comply with the rules generally applicable to U.S. domestic companies listed on the Nasdaq Global Select Market. We may in the future, however, decide to use other foreign private issuer exemptions with respect to some or all of the Listing Rules of the Nasdaq Stock Market. Following our home country governance practices may provide less protection than is accorded to investors under the Listing Rules of the Nasdaq Stock Market applicable to domestic issuers.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16H. Mine Safety Disclosure</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16I. Disclosure Regarding Foreign Jurisdictions that Prevent Inspections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PART III</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17. Financial Statements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have provided financial statements pursuant to Item 18.</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18. Financial Statements</w:t>
      </w:r>
    </w:p>
    <w:p>
      <w:pPr>
        <w:spacing w:after="0" w:line="210"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The audited consolidated financial statements as required under Item 18 are attached hereto starting on page F-1 of this Annual Report. The audit report of Kost Forer Gabbay &amp; Kasierer (a member of Ernst &amp; Young Global), an independent registered public accounting firm, is included herein preceding the audited consolidated financial statements.</w:t>
      </w:r>
    </w:p>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b w:val="1"/>
          <w:bCs w:val="1"/>
          <w:color w:val="auto"/>
        </w:rPr>
        <w:t>Item 19.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141845"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60" w:type="dxa"/>
            <w:vAlign w:val="bottom"/>
            <w:gridSpan w:val="3"/>
          </w:tcPr>
          <w:p>
            <w:pPr>
              <w:ind w:left="720"/>
              <w:spacing w:after="0"/>
              <w:rPr>
                <w:sz w:val="20"/>
                <w:szCs w:val="20"/>
                <w:color w:val="auto"/>
              </w:rPr>
            </w:pPr>
            <w:r>
              <w:rPr>
                <w:rFonts w:ascii="Arial" w:cs="Arial" w:eastAsia="Arial" w:hAnsi="Arial"/>
                <w:sz w:val="17"/>
                <w:szCs w:val="17"/>
                <w:b w:val="1"/>
                <w:bCs w:val="1"/>
                <w:color w:val="auto"/>
              </w:rPr>
              <w:t>Incorporation by Reference</w:t>
            </w:r>
          </w:p>
        </w:tc>
        <w:tc>
          <w:tcPr>
            <w:tcW w:w="1100" w:type="dxa"/>
            <w:vAlign w:val="bottom"/>
          </w:tcPr>
          <w:p>
            <w:pPr>
              <w:spacing w:after="0"/>
              <w:rPr>
                <w:sz w:val="18"/>
                <w:szCs w:val="18"/>
                <w:color w:val="auto"/>
              </w:rPr>
            </w:pPr>
          </w:p>
        </w:tc>
      </w:tr>
      <w:tr>
        <w:trPr>
          <w:trHeight w:val="251"/>
        </w:trPr>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b w:val="1"/>
                <w:bCs w:val="1"/>
                <w:color w:val="auto"/>
                <w:w w:val="89"/>
              </w:rPr>
              <w:t>Filed /</w:t>
            </w:r>
          </w:p>
        </w:tc>
      </w:tr>
      <w:tr>
        <w:trPr>
          <w:trHeight w:val="235"/>
        </w:trPr>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jc w:val="center"/>
              <w:ind w:left="16"/>
              <w:spacing w:after="0"/>
              <w:rPr>
                <w:sz w:val="20"/>
                <w:szCs w:val="20"/>
                <w:color w:val="auto"/>
              </w:rPr>
            </w:pPr>
            <w:r>
              <w:rPr>
                <w:rFonts w:ascii="Arial" w:cs="Arial" w:eastAsia="Arial" w:hAnsi="Arial"/>
                <w:sz w:val="17"/>
                <w:szCs w:val="17"/>
                <w:b w:val="1"/>
                <w:bCs w:val="1"/>
                <w:color w:val="auto"/>
                <w:w w:val="95"/>
              </w:rPr>
              <w:t>Exhibit</w:t>
            </w: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7"/>
        </w:trPr>
        <w:tc>
          <w:tcPr>
            <w:tcW w:w="1060" w:type="dxa"/>
            <w:vAlign w:val="bottom"/>
            <w:gridSpan w:val="4"/>
          </w:tcPr>
          <w:p>
            <w:pPr>
              <w:jc w:val="center"/>
              <w:spacing w:after="0"/>
              <w:rPr>
                <w:sz w:val="20"/>
                <w:szCs w:val="20"/>
                <w:color w:val="auto"/>
              </w:rPr>
            </w:pPr>
            <w:r>
              <w:rPr>
                <w:rFonts w:ascii="Arial" w:cs="Arial" w:eastAsia="Arial" w:hAnsi="Arial"/>
                <w:sz w:val="17"/>
                <w:szCs w:val="17"/>
                <w:b w:val="1"/>
                <w:bCs w:val="1"/>
                <w:color w:val="auto"/>
                <w:w w:val="92"/>
              </w:rPr>
              <w:t>Exhibit No.</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00" w:type="dxa"/>
            <w:vAlign w:val="bottom"/>
            <w:gridSpan w:val="15"/>
          </w:tcPr>
          <w:p>
            <w:pPr>
              <w:ind w:left="60"/>
              <w:spacing w:after="0"/>
              <w:rPr>
                <w:sz w:val="20"/>
                <w:szCs w:val="20"/>
                <w:color w:val="auto"/>
              </w:rPr>
            </w:pPr>
            <w:r>
              <w:rPr>
                <w:rFonts w:ascii="Arial" w:cs="Arial" w:eastAsia="Arial" w:hAnsi="Arial"/>
                <w:sz w:val="17"/>
                <w:szCs w:val="17"/>
                <w:b w:val="1"/>
                <w:bCs w:val="1"/>
                <w:color w:val="auto"/>
              </w:rPr>
              <w:t>Description</w:t>
            </w:r>
          </w:p>
        </w:tc>
        <w:tc>
          <w:tcPr>
            <w:tcW w:w="920" w:type="dxa"/>
            <w:vAlign w:val="bottom"/>
          </w:tcPr>
          <w:p>
            <w:pPr>
              <w:ind w:left="180"/>
              <w:spacing w:after="0"/>
              <w:rPr>
                <w:sz w:val="20"/>
                <w:szCs w:val="20"/>
                <w:color w:val="auto"/>
              </w:rPr>
            </w:pPr>
            <w:r>
              <w:rPr>
                <w:rFonts w:ascii="Arial" w:cs="Arial" w:eastAsia="Arial" w:hAnsi="Arial"/>
                <w:sz w:val="17"/>
                <w:szCs w:val="17"/>
                <w:b w:val="1"/>
                <w:bCs w:val="1"/>
                <w:color w:val="auto"/>
              </w:rPr>
              <w:t>Form</w:t>
            </w:r>
          </w:p>
        </w:tc>
        <w:tc>
          <w:tcPr>
            <w:tcW w:w="1420" w:type="dxa"/>
            <w:vAlign w:val="bottom"/>
          </w:tcPr>
          <w:p>
            <w:pPr>
              <w:jc w:val="center"/>
              <w:ind w:left="16"/>
              <w:spacing w:after="0"/>
              <w:rPr>
                <w:sz w:val="20"/>
                <w:szCs w:val="20"/>
                <w:color w:val="auto"/>
              </w:rPr>
            </w:pPr>
            <w:r>
              <w:rPr>
                <w:rFonts w:ascii="Arial" w:cs="Arial" w:eastAsia="Arial" w:hAnsi="Arial"/>
                <w:sz w:val="17"/>
                <w:szCs w:val="17"/>
                <w:b w:val="1"/>
                <w:bCs w:val="1"/>
                <w:color w:val="auto"/>
                <w:w w:val="91"/>
              </w:rPr>
              <w:t>File No.</w:t>
            </w:r>
          </w:p>
        </w:tc>
        <w:tc>
          <w:tcPr>
            <w:tcW w:w="920" w:type="dxa"/>
            <w:vAlign w:val="bottom"/>
          </w:tcPr>
          <w:p>
            <w:pPr>
              <w:jc w:val="center"/>
              <w:spacing w:after="0"/>
              <w:rPr>
                <w:sz w:val="20"/>
                <w:szCs w:val="20"/>
                <w:color w:val="auto"/>
              </w:rPr>
            </w:pPr>
            <w:r>
              <w:rPr>
                <w:rFonts w:ascii="Arial" w:cs="Arial" w:eastAsia="Arial" w:hAnsi="Arial"/>
                <w:sz w:val="17"/>
                <w:szCs w:val="17"/>
                <w:b w:val="1"/>
                <w:bCs w:val="1"/>
                <w:color w:val="auto"/>
                <w:w w:val="87"/>
              </w:rPr>
              <w:t>No.</w:t>
            </w:r>
          </w:p>
        </w:tc>
        <w:tc>
          <w:tcPr>
            <w:tcW w:w="1120" w:type="dxa"/>
            <w:vAlign w:val="bottom"/>
          </w:tcPr>
          <w:p>
            <w:pPr>
              <w:ind w:left="140"/>
              <w:spacing w:after="0"/>
              <w:rPr>
                <w:sz w:val="20"/>
                <w:szCs w:val="20"/>
                <w:color w:val="auto"/>
              </w:rPr>
            </w:pPr>
            <w:r>
              <w:rPr>
                <w:rFonts w:ascii="Arial" w:cs="Arial" w:eastAsia="Arial" w:hAnsi="Arial"/>
                <w:sz w:val="17"/>
                <w:szCs w:val="17"/>
                <w:b w:val="1"/>
                <w:bCs w:val="1"/>
                <w:color w:val="auto"/>
              </w:rPr>
              <w:t>Filing Date</w:t>
            </w:r>
          </w:p>
        </w:tc>
        <w:tc>
          <w:tcPr>
            <w:tcW w:w="1100" w:type="dxa"/>
            <w:vAlign w:val="bottom"/>
          </w:tcPr>
          <w:p>
            <w:pPr>
              <w:jc w:val="center"/>
              <w:spacing w:after="0"/>
              <w:rPr>
                <w:sz w:val="20"/>
                <w:szCs w:val="20"/>
                <w:color w:val="auto"/>
              </w:rPr>
            </w:pPr>
            <w:r>
              <w:rPr>
                <w:rFonts w:ascii="Arial" w:cs="Arial" w:eastAsia="Arial" w:hAnsi="Arial"/>
                <w:sz w:val="17"/>
                <w:szCs w:val="17"/>
                <w:b w:val="1"/>
                <w:bCs w:val="1"/>
                <w:color w:val="auto"/>
                <w:w w:val="89"/>
              </w:rPr>
              <w:t>Furnished</w:t>
            </w:r>
          </w:p>
        </w:tc>
      </w:tr>
      <w:tr>
        <w:trPr>
          <w:trHeight w:val="30"/>
        </w:trPr>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20" w:type="dxa"/>
            <w:vAlign w:val="bottom"/>
            <w:gridSpan w:val="3"/>
          </w:tcPr>
          <w:p>
            <w:pPr>
              <w:jc w:val="center"/>
              <w:ind w:left="336"/>
              <w:spacing w:after="0" w:line="189" w:lineRule="exact"/>
              <w:rPr>
                <w:rFonts w:ascii="Arial" w:cs="Arial" w:eastAsia="Arial" w:hAnsi="Arial"/>
                <w:sz w:val="17"/>
                <w:szCs w:val="17"/>
                <w:color w:val="0000EE"/>
                <w:w w:val="84"/>
              </w:rPr>
            </w:pPr>
            <w:hyperlink w:anchor="page174">
              <w:r>
                <w:rPr>
                  <w:rFonts w:ascii="Arial" w:cs="Arial" w:eastAsia="Arial" w:hAnsi="Arial"/>
                  <w:sz w:val="17"/>
                  <w:szCs w:val="17"/>
                  <w:color w:val="0000EE"/>
                  <w:w w:val="84"/>
                </w:rPr>
                <w:t>1.</w:t>
              </w:r>
              <w:r>
                <w:rPr>
                  <w:rFonts w:ascii="Arial" w:cs="Arial" w:eastAsia="Arial" w:hAnsi="Arial"/>
                  <w:sz w:val="17"/>
                  <w:szCs w:val="17"/>
                  <w:u w:val="single" w:color="auto"/>
                  <w:color w:val="0000EE"/>
                  <w:w w:val="84"/>
                </w:rPr>
                <w:t>1</w:t>
              </w:r>
            </w:hyperlink>
          </w:p>
        </w:tc>
        <w:tc>
          <w:tcPr>
            <w:tcW w:w="440" w:type="dxa"/>
            <w:vAlign w:val="bottom"/>
          </w:tcPr>
          <w:p>
            <w:pPr>
              <w:spacing w:after="0"/>
              <w:rPr>
                <w:sz w:val="16"/>
                <w:szCs w:val="16"/>
                <w:color w:val="auto"/>
              </w:rPr>
            </w:pPr>
          </w:p>
        </w:tc>
        <w:tc>
          <w:tcPr>
            <w:tcW w:w="4700" w:type="dxa"/>
            <w:vAlign w:val="bottom"/>
            <w:gridSpan w:val="20"/>
          </w:tcPr>
          <w:p>
            <w:pPr>
              <w:spacing w:after="0" w:line="189" w:lineRule="exact"/>
              <w:rPr>
                <w:rFonts w:ascii="Arial" w:cs="Arial" w:eastAsia="Arial" w:hAnsi="Arial"/>
                <w:sz w:val="17"/>
                <w:szCs w:val="17"/>
                <w:color w:val="0000EE"/>
                <w:w w:val="97"/>
              </w:rPr>
            </w:pPr>
            <w:hyperlink w:anchor="page174">
              <w:r>
                <w:rPr>
                  <w:rFonts w:ascii="Arial" w:cs="Arial" w:eastAsia="Arial" w:hAnsi="Arial"/>
                  <w:sz w:val="17"/>
                  <w:szCs w:val="17"/>
                  <w:color w:val="0000EE"/>
                  <w:w w:val="97"/>
                </w:rPr>
                <w:t>Amended and Restated Articles of Association of the Registrant</w:t>
              </w:r>
            </w:hyperlink>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7"/>
                <w:szCs w:val="17"/>
                <w:color w:val="auto"/>
              </w:rPr>
              <w:t>*</w:t>
            </w:r>
          </w:p>
        </w:tc>
      </w:tr>
      <w:tr>
        <w:trPr>
          <w:trHeight w:val="20"/>
        </w:trPr>
        <w:tc>
          <w:tcPr>
            <w:tcW w:w="3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1"/>
        </w:trPr>
        <w:tc>
          <w:tcPr>
            <w:tcW w:w="620" w:type="dxa"/>
            <w:vAlign w:val="bottom"/>
            <w:gridSpan w:val="3"/>
          </w:tcPr>
          <w:p>
            <w:pPr>
              <w:jc w:val="center"/>
              <w:ind w:left="336"/>
              <w:spacing w:after="0"/>
              <w:rPr>
                <w:rFonts w:ascii="Arial" w:cs="Arial" w:eastAsia="Arial" w:hAnsi="Arial"/>
                <w:sz w:val="17"/>
                <w:szCs w:val="17"/>
                <w:color w:val="0000EE"/>
                <w:w w:val="84"/>
              </w:rPr>
            </w:pPr>
            <w:hyperlink w:anchor="page202">
              <w:r>
                <w:rPr>
                  <w:rFonts w:ascii="Arial" w:cs="Arial" w:eastAsia="Arial" w:hAnsi="Arial"/>
                  <w:sz w:val="17"/>
                  <w:szCs w:val="17"/>
                  <w:color w:val="0000EE"/>
                  <w:w w:val="84"/>
                </w:rPr>
                <w:t>2.</w:t>
              </w:r>
              <w:r>
                <w:rPr>
                  <w:rFonts w:ascii="Arial" w:cs="Arial" w:eastAsia="Arial" w:hAnsi="Arial"/>
                  <w:sz w:val="17"/>
                  <w:szCs w:val="17"/>
                  <w:u w:val="single" w:color="auto"/>
                  <w:color w:val="0000EE"/>
                  <w:w w:val="84"/>
                </w:rPr>
                <w:t>1</w:t>
              </w:r>
            </w:hyperlink>
          </w:p>
        </w:tc>
        <w:tc>
          <w:tcPr>
            <w:tcW w:w="440" w:type="dxa"/>
            <w:vAlign w:val="bottom"/>
          </w:tcPr>
          <w:p>
            <w:pPr>
              <w:spacing w:after="0"/>
              <w:rPr>
                <w:sz w:val="20"/>
                <w:szCs w:val="20"/>
                <w:color w:val="auto"/>
              </w:rPr>
            </w:pPr>
          </w:p>
        </w:tc>
        <w:tc>
          <w:tcPr>
            <w:tcW w:w="4700" w:type="dxa"/>
            <w:vAlign w:val="bottom"/>
            <w:gridSpan w:val="20"/>
          </w:tcPr>
          <w:p>
            <w:pPr>
              <w:spacing w:after="0"/>
              <w:rPr>
                <w:rFonts w:ascii="Arial" w:cs="Arial" w:eastAsia="Arial" w:hAnsi="Arial"/>
                <w:sz w:val="17"/>
                <w:szCs w:val="17"/>
                <w:color w:val="0000EE"/>
              </w:rPr>
            </w:pPr>
            <w:hyperlink w:anchor="page202">
              <w:r>
                <w:rPr>
                  <w:rFonts w:ascii="Arial" w:cs="Arial" w:eastAsia="Arial" w:hAnsi="Arial"/>
                  <w:sz w:val="17"/>
                  <w:szCs w:val="17"/>
                  <w:color w:val="0000EE"/>
                </w:rPr>
                <w:t>Description of Securities</w:t>
              </w:r>
            </w:hyperlink>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0"/>
        </w:trPr>
        <w:tc>
          <w:tcPr>
            <w:tcW w:w="3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1"/>
        </w:trPr>
        <w:tc>
          <w:tcPr>
            <w:tcW w:w="620" w:type="dxa"/>
            <w:vAlign w:val="bottom"/>
            <w:gridSpan w:val="3"/>
          </w:tcPr>
          <w:p>
            <w:pPr>
              <w:jc w:val="center"/>
              <w:ind w:left="336"/>
              <w:spacing w:after="0"/>
              <w:rPr>
                <w:rFonts w:ascii="Arial" w:cs="Arial" w:eastAsia="Arial" w:hAnsi="Arial"/>
                <w:sz w:val="17"/>
                <w:szCs w:val="17"/>
                <w:color w:val="0000EE"/>
                <w:w w:val="84"/>
              </w:rPr>
            </w:pPr>
            <w:hyperlink r:id="rId182">
              <w:r>
                <w:rPr>
                  <w:rFonts w:ascii="Arial" w:cs="Arial" w:eastAsia="Arial" w:hAnsi="Arial"/>
                  <w:sz w:val="17"/>
                  <w:szCs w:val="17"/>
                  <w:color w:val="0000EE"/>
                  <w:w w:val="84"/>
                </w:rPr>
                <w:t>2.</w:t>
              </w:r>
              <w:r>
                <w:rPr>
                  <w:rFonts w:ascii="Arial" w:cs="Arial" w:eastAsia="Arial" w:hAnsi="Arial"/>
                  <w:sz w:val="17"/>
                  <w:szCs w:val="17"/>
                  <w:u w:val="single" w:color="auto"/>
                  <w:color w:val="0000EE"/>
                  <w:w w:val="84"/>
                </w:rPr>
                <w:t>2</w:t>
              </w:r>
            </w:hyperlink>
          </w:p>
        </w:tc>
        <w:tc>
          <w:tcPr>
            <w:tcW w:w="440" w:type="dxa"/>
            <w:vAlign w:val="bottom"/>
          </w:tcPr>
          <w:p>
            <w:pPr>
              <w:spacing w:after="0"/>
              <w:rPr>
                <w:sz w:val="20"/>
                <w:szCs w:val="20"/>
                <w:color w:val="auto"/>
              </w:rPr>
            </w:pPr>
          </w:p>
        </w:tc>
        <w:tc>
          <w:tcPr>
            <w:tcW w:w="4700" w:type="dxa"/>
            <w:vAlign w:val="bottom"/>
            <w:gridSpan w:val="20"/>
          </w:tcPr>
          <w:p>
            <w:pPr>
              <w:spacing w:after="0"/>
              <w:rPr>
                <w:rFonts w:ascii="Arial" w:cs="Arial" w:eastAsia="Arial" w:hAnsi="Arial"/>
                <w:sz w:val="17"/>
                <w:szCs w:val="17"/>
                <w:color w:val="0000EE"/>
              </w:rPr>
            </w:pPr>
            <w:hyperlink r:id="rId182">
              <w:r>
                <w:rPr>
                  <w:rFonts w:ascii="Arial" w:cs="Arial" w:eastAsia="Arial" w:hAnsi="Arial"/>
                  <w:sz w:val="17"/>
                  <w:szCs w:val="17"/>
                  <w:color w:val="0000EE"/>
                </w:rPr>
                <w:t>Specimen share certificate</w:t>
              </w:r>
            </w:hyperlink>
          </w:p>
        </w:tc>
        <w:tc>
          <w:tcPr>
            <w:tcW w:w="920" w:type="dxa"/>
            <w:vAlign w:val="bottom"/>
          </w:tcPr>
          <w:p>
            <w:pPr>
              <w:ind w:left="180"/>
              <w:spacing w:after="0"/>
              <w:rPr>
                <w:sz w:val="20"/>
                <w:szCs w:val="20"/>
                <w:color w:val="auto"/>
              </w:rPr>
            </w:pPr>
            <w:r>
              <w:rPr>
                <w:rFonts w:ascii="Arial" w:cs="Arial" w:eastAsia="Arial" w:hAnsi="Arial"/>
                <w:sz w:val="17"/>
                <w:szCs w:val="17"/>
                <w:color w:val="auto"/>
              </w:rPr>
              <w:t>F-1/A</w:t>
            </w:r>
          </w:p>
        </w:tc>
        <w:tc>
          <w:tcPr>
            <w:tcW w:w="1420" w:type="dxa"/>
            <w:vAlign w:val="bottom"/>
          </w:tcPr>
          <w:p>
            <w:pPr>
              <w:jc w:val="center"/>
              <w:ind w:left="16"/>
              <w:spacing w:after="0"/>
              <w:rPr>
                <w:sz w:val="20"/>
                <w:szCs w:val="20"/>
                <w:color w:val="auto"/>
              </w:rPr>
            </w:pPr>
            <w:r>
              <w:rPr>
                <w:rFonts w:ascii="Arial" w:cs="Arial" w:eastAsia="Arial" w:hAnsi="Arial"/>
                <w:sz w:val="17"/>
                <w:szCs w:val="17"/>
                <w:color w:val="auto"/>
                <w:w w:val="88"/>
              </w:rPr>
              <w:t>333-256219</w:t>
            </w:r>
          </w:p>
        </w:tc>
        <w:tc>
          <w:tcPr>
            <w:tcW w:w="92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1120" w:type="dxa"/>
            <w:vAlign w:val="bottom"/>
          </w:tcPr>
          <w:p>
            <w:pPr>
              <w:jc w:val="center"/>
              <w:spacing w:after="0"/>
              <w:rPr>
                <w:sz w:val="20"/>
                <w:szCs w:val="20"/>
                <w:color w:val="auto"/>
              </w:rPr>
            </w:pPr>
            <w:r>
              <w:rPr>
                <w:rFonts w:ascii="Arial" w:cs="Arial" w:eastAsia="Arial" w:hAnsi="Arial"/>
                <w:sz w:val="17"/>
                <w:szCs w:val="17"/>
                <w:color w:val="auto"/>
                <w:w w:val="90"/>
              </w:rPr>
              <w:t>6/7/2021</w:t>
            </w:r>
          </w:p>
        </w:tc>
        <w:tc>
          <w:tcPr>
            <w:tcW w:w="1100" w:type="dxa"/>
            <w:vAlign w:val="bottom"/>
          </w:tcPr>
          <w:p>
            <w:pPr>
              <w:spacing w:after="0"/>
              <w:rPr>
                <w:sz w:val="20"/>
                <w:szCs w:val="20"/>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1"/>
        </w:trPr>
        <w:tc>
          <w:tcPr>
            <w:tcW w:w="380" w:type="dxa"/>
            <w:vAlign w:val="bottom"/>
          </w:tcPr>
          <w:p>
            <w:pPr>
              <w:spacing w:after="0"/>
              <w:rPr>
                <w:sz w:val="20"/>
                <w:szCs w:val="20"/>
                <w:color w:val="auto"/>
              </w:rPr>
            </w:pPr>
          </w:p>
        </w:tc>
        <w:tc>
          <w:tcPr>
            <w:tcW w:w="680" w:type="dxa"/>
            <w:vAlign w:val="bottom"/>
            <w:gridSpan w:val="3"/>
          </w:tcPr>
          <w:p>
            <w:pPr>
              <w:jc w:val="center"/>
              <w:ind w:right="400"/>
              <w:spacing w:after="0"/>
              <w:rPr>
                <w:rFonts w:ascii="Arial" w:cs="Arial" w:eastAsia="Arial" w:hAnsi="Arial"/>
                <w:sz w:val="17"/>
                <w:szCs w:val="17"/>
                <w:color w:val="0000EE"/>
                <w:w w:val="84"/>
              </w:rPr>
            </w:pPr>
            <w:hyperlink r:id="rId159">
              <w:r>
                <w:rPr>
                  <w:rFonts w:ascii="Arial" w:cs="Arial" w:eastAsia="Arial" w:hAnsi="Arial"/>
                  <w:sz w:val="17"/>
                  <w:szCs w:val="17"/>
                  <w:color w:val="0000EE"/>
                  <w:w w:val="84"/>
                </w:rPr>
                <w:t>4.</w:t>
              </w:r>
              <w:r>
                <w:rPr>
                  <w:rFonts w:ascii="Arial" w:cs="Arial" w:eastAsia="Arial" w:hAnsi="Arial"/>
                  <w:sz w:val="17"/>
                  <w:szCs w:val="17"/>
                  <w:u w:val="single" w:color="auto"/>
                  <w:color w:val="0000EE"/>
                  <w:w w:val="84"/>
                </w:rPr>
                <w:t>1†</w:t>
              </w:r>
            </w:hyperlink>
          </w:p>
        </w:tc>
        <w:tc>
          <w:tcPr>
            <w:tcW w:w="4700" w:type="dxa"/>
            <w:vAlign w:val="bottom"/>
            <w:gridSpan w:val="20"/>
          </w:tcPr>
          <w:p>
            <w:pPr>
              <w:spacing w:after="0"/>
              <w:rPr>
                <w:rFonts w:ascii="Arial" w:cs="Arial" w:eastAsia="Arial" w:hAnsi="Arial"/>
                <w:sz w:val="17"/>
                <w:szCs w:val="17"/>
                <w:color w:val="0000EE"/>
                <w:w w:val="93"/>
              </w:rPr>
            </w:pPr>
            <w:hyperlink r:id="rId159">
              <w:r>
                <w:rPr>
                  <w:rFonts w:ascii="Arial" w:cs="Arial" w:eastAsia="Arial" w:hAnsi="Arial"/>
                  <w:sz w:val="17"/>
                  <w:szCs w:val="17"/>
                  <w:color w:val="0000EE"/>
                  <w:w w:val="93"/>
                </w:rPr>
                <w:t>Form of Indemnification Agreement between the Registrant and its</w:t>
              </w:r>
            </w:hyperlink>
          </w:p>
        </w:tc>
        <w:tc>
          <w:tcPr>
            <w:tcW w:w="920" w:type="dxa"/>
            <w:vAlign w:val="bottom"/>
          </w:tcPr>
          <w:p>
            <w:pPr>
              <w:ind w:left="180"/>
              <w:spacing w:after="0"/>
              <w:rPr>
                <w:sz w:val="20"/>
                <w:szCs w:val="20"/>
                <w:color w:val="auto"/>
              </w:rPr>
            </w:pPr>
            <w:r>
              <w:rPr>
                <w:rFonts w:ascii="Arial" w:cs="Arial" w:eastAsia="Arial" w:hAnsi="Arial"/>
                <w:sz w:val="17"/>
                <w:szCs w:val="17"/>
                <w:color w:val="auto"/>
              </w:rPr>
              <w:t>F-1/A</w:t>
            </w:r>
          </w:p>
        </w:tc>
        <w:tc>
          <w:tcPr>
            <w:tcW w:w="1420" w:type="dxa"/>
            <w:vAlign w:val="bottom"/>
          </w:tcPr>
          <w:p>
            <w:pPr>
              <w:jc w:val="center"/>
              <w:ind w:left="16"/>
              <w:spacing w:after="0"/>
              <w:rPr>
                <w:sz w:val="20"/>
                <w:szCs w:val="20"/>
                <w:color w:val="auto"/>
              </w:rPr>
            </w:pPr>
            <w:r>
              <w:rPr>
                <w:rFonts w:ascii="Arial" w:cs="Arial" w:eastAsia="Arial" w:hAnsi="Arial"/>
                <w:sz w:val="17"/>
                <w:szCs w:val="17"/>
                <w:color w:val="auto"/>
                <w:w w:val="88"/>
              </w:rPr>
              <w:t>333-256219</w:t>
            </w:r>
          </w:p>
        </w:tc>
        <w:tc>
          <w:tcPr>
            <w:tcW w:w="920" w:type="dxa"/>
            <w:vAlign w:val="bottom"/>
          </w:tcPr>
          <w:p>
            <w:pPr>
              <w:jc w:val="center"/>
              <w:ind w:left="16"/>
              <w:spacing w:after="0"/>
              <w:rPr>
                <w:sz w:val="20"/>
                <w:szCs w:val="20"/>
                <w:color w:val="auto"/>
              </w:rPr>
            </w:pPr>
            <w:r>
              <w:rPr>
                <w:rFonts w:ascii="Arial" w:cs="Arial" w:eastAsia="Arial" w:hAnsi="Arial"/>
                <w:sz w:val="17"/>
                <w:szCs w:val="17"/>
                <w:color w:val="auto"/>
                <w:w w:val="90"/>
              </w:rPr>
              <w:t>10.5</w:t>
            </w:r>
          </w:p>
        </w:tc>
        <w:tc>
          <w:tcPr>
            <w:tcW w:w="1120" w:type="dxa"/>
            <w:vAlign w:val="bottom"/>
          </w:tcPr>
          <w:p>
            <w:pPr>
              <w:jc w:val="center"/>
              <w:spacing w:after="0"/>
              <w:rPr>
                <w:sz w:val="20"/>
                <w:szCs w:val="20"/>
                <w:color w:val="auto"/>
              </w:rPr>
            </w:pPr>
            <w:r>
              <w:rPr>
                <w:rFonts w:ascii="Arial" w:cs="Arial" w:eastAsia="Arial" w:hAnsi="Arial"/>
                <w:sz w:val="17"/>
                <w:szCs w:val="17"/>
                <w:color w:val="auto"/>
                <w:w w:val="90"/>
              </w:rPr>
              <w:t>6/7/2021</w:t>
            </w:r>
          </w:p>
        </w:tc>
        <w:tc>
          <w:tcPr>
            <w:tcW w:w="1100" w:type="dxa"/>
            <w:vAlign w:val="bottom"/>
          </w:tcPr>
          <w:p>
            <w:pPr>
              <w:spacing w:after="0"/>
              <w:rPr>
                <w:sz w:val="20"/>
                <w:szCs w:val="20"/>
                <w:color w:val="auto"/>
              </w:rPr>
            </w:pPr>
          </w:p>
        </w:tc>
      </w:tr>
      <w:tr>
        <w:trPr>
          <w:trHeight w:val="181"/>
        </w:trPr>
        <w:tc>
          <w:tcPr>
            <w:tcW w:w="380" w:type="dxa"/>
            <w:vAlign w:val="bottom"/>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4520" w:type="dxa"/>
            <w:vAlign w:val="bottom"/>
            <w:tcBorders>
              <w:top w:val="single" w:sz="8" w:color="0000EE"/>
            </w:tcBorders>
            <w:gridSpan w:val="19"/>
          </w:tcPr>
          <w:p>
            <w:pPr>
              <w:spacing w:after="0" w:line="181" w:lineRule="exact"/>
              <w:rPr>
                <w:rFonts w:ascii="Arial" w:cs="Arial" w:eastAsia="Arial" w:hAnsi="Arial"/>
                <w:sz w:val="17"/>
                <w:szCs w:val="17"/>
                <w:color w:val="0000EE"/>
              </w:rPr>
            </w:pPr>
            <w:hyperlink r:id="rId159">
              <w:r>
                <w:rPr>
                  <w:rFonts w:ascii="Arial" w:cs="Arial" w:eastAsia="Arial" w:hAnsi="Arial"/>
                  <w:sz w:val="17"/>
                  <w:szCs w:val="17"/>
                  <w:color w:val="0000EE"/>
                </w:rPr>
                <w:t>directors and officers.</w:t>
              </w:r>
            </w:hyperlink>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1"/>
        </w:trPr>
        <w:tc>
          <w:tcPr>
            <w:tcW w:w="380" w:type="dxa"/>
            <w:vAlign w:val="bottom"/>
          </w:tcPr>
          <w:p>
            <w:pPr>
              <w:spacing w:after="0"/>
              <w:rPr>
                <w:sz w:val="20"/>
                <w:szCs w:val="20"/>
                <w:color w:val="auto"/>
              </w:rPr>
            </w:pPr>
          </w:p>
        </w:tc>
        <w:tc>
          <w:tcPr>
            <w:tcW w:w="680" w:type="dxa"/>
            <w:vAlign w:val="bottom"/>
            <w:gridSpan w:val="3"/>
          </w:tcPr>
          <w:p>
            <w:pPr>
              <w:jc w:val="center"/>
              <w:ind w:right="400"/>
              <w:spacing w:after="0"/>
              <w:rPr>
                <w:rFonts w:ascii="Arial" w:cs="Arial" w:eastAsia="Arial" w:hAnsi="Arial"/>
                <w:sz w:val="17"/>
                <w:szCs w:val="17"/>
                <w:color w:val="0000EE"/>
                <w:w w:val="84"/>
              </w:rPr>
            </w:pPr>
            <w:hyperlink r:id="rId160">
              <w:r>
                <w:rPr>
                  <w:rFonts w:ascii="Arial" w:cs="Arial" w:eastAsia="Arial" w:hAnsi="Arial"/>
                  <w:sz w:val="17"/>
                  <w:szCs w:val="17"/>
                  <w:color w:val="0000EE"/>
                  <w:w w:val="84"/>
                </w:rPr>
                <w:t>4.</w:t>
              </w:r>
              <w:r>
                <w:rPr>
                  <w:rFonts w:ascii="Arial" w:cs="Arial" w:eastAsia="Arial" w:hAnsi="Arial"/>
                  <w:sz w:val="17"/>
                  <w:szCs w:val="17"/>
                  <w:u w:val="single" w:color="auto"/>
                  <w:color w:val="0000EE"/>
                  <w:w w:val="84"/>
                </w:rPr>
                <w:t>2†</w:t>
              </w:r>
            </w:hyperlink>
          </w:p>
        </w:tc>
        <w:tc>
          <w:tcPr>
            <w:tcW w:w="4700" w:type="dxa"/>
            <w:vAlign w:val="bottom"/>
            <w:gridSpan w:val="20"/>
          </w:tcPr>
          <w:p>
            <w:pPr>
              <w:spacing w:after="0"/>
              <w:rPr>
                <w:rFonts w:ascii="Arial" w:cs="Arial" w:eastAsia="Arial" w:hAnsi="Arial"/>
                <w:sz w:val="17"/>
                <w:szCs w:val="17"/>
                <w:color w:val="0000EE"/>
              </w:rPr>
            </w:pPr>
            <w:hyperlink r:id="rId160">
              <w:r>
                <w:rPr>
                  <w:rFonts w:ascii="Arial" w:cs="Arial" w:eastAsia="Arial" w:hAnsi="Arial"/>
                  <w:sz w:val="17"/>
                  <w:szCs w:val="17"/>
                  <w:color w:val="0000EE"/>
                </w:rPr>
                <w:t>Restated 2012 Share Option Plan.</w:t>
              </w:r>
            </w:hyperlink>
          </w:p>
        </w:tc>
        <w:tc>
          <w:tcPr>
            <w:tcW w:w="920" w:type="dxa"/>
            <w:vAlign w:val="bottom"/>
          </w:tcPr>
          <w:p>
            <w:pPr>
              <w:ind w:left="180"/>
              <w:spacing w:after="0"/>
              <w:rPr>
                <w:sz w:val="20"/>
                <w:szCs w:val="20"/>
                <w:color w:val="auto"/>
              </w:rPr>
            </w:pPr>
            <w:r>
              <w:rPr>
                <w:rFonts w:ascii="Arial" w:cs="Arial" w:eastAsia="Arial" w:hAnsi="Arial"/>
                <w:sz w:val="17"/>
                <w:szCs w:val="17"/>
                <w:color w:val="auto"/>
              </w:rPr>
              <w:t>F-1/A</w:t>
            </w:r>
          </w:p>
        </w:tc>
        <w:tc>
          <w:tcPr>
            <w:tcW w:w="1420" w:type="dxa"/>
            <w:vAlign w:val="bottom"/>
          </w:tcPr>
          <w:p>
            <w:pPr>
              <w:jc w:val="center"/>
              <w:ind w:left="16"/>
              <w:spacing w:after="0"/>
              <w:rPr>
                <w:sz w:val="20"/>
                <w:szCs w:val="20"/>
                <w:color w:val="auto"/>
              </w:rPr>
            </w:pPr>
            <w:r>
              <w:rPr>
                <w:rFonts w:ascii="Arial" w:cs="Arial" w:eastAsia="Arial" w:hAnsi="Arial"/>
                <w:sz w:val="17"/>
                <w:szCs w:val="17"/>
                <w:color w:val="auto"/>
                <w:w w:val="88"/>
              </w:rPr>
              <w:t>333-256219</w:t>
            </w:r>
          </w:p>
        </w:tc>
        <w:tc>
          <w:tcPr>
            <w:tcW w:w="920" w:type="dxa"/>
            <w:vAlign w:val="bottom"/>
          </w:tcPr>
          <w:p>
            <w:pPr>
              <w:jc w:val="center"/>
              <w:ind w:left="16"/>
              <w:spacing w:after="0"/>
              <w:rPr>
                <w:sz w:val="20"/>
                <w:szCs w:val="20"/>
                <w:color w:val="auto"/>
              </w:rPr>
            </w:pPr>
            <w:r>
              <w:rPr>
                <w:rFonts w:ascii="Arial" w:cs="Arial" w:eastAsia="Arial" w:hAnsi="Arial"/>
                <w:sz w:val="17"/>
                <w:szCs w:val="17"/>
                <w:color w:val="auto"/>
                <w:w w:val="90"/>
              </w:rPr>
              <w:t>10.1</w:t>
            </w:r>
          </w:p>
        </w:tc>
        <w:tc>
          <w:tcPr>
            <w:tcW w:w="1120" w:type="dxa"/>
            <w:vAlign w:val="bottom"/>
          </w:tcPr>
          <w:p>
            <w:pPr>
              <w:jc w:val="center"/>
              <w:spacing w:after="0"/>
              <w:rPr>
                <w:sz w:val="20"/>
                <w:szCs w:val="20"/>
                <w:color w:val="auto"/>
              </w:rPr>
            </w:pPr>
            <w:r>
              <w:rPr>
                <w:rFonts w:ascii="Arial" w:cs="Arial" w:eastAsia="Arial" w:hAnsi="Arial"/>
                <w:sz w:val="17"/>
                <w:szCs w:val="17"/>
                <w:color w:val="auto"/>
                <w:w w:val="89"/>
              </w:rPr>
              <w:t>5/17/2021</w:t>
            </w:r>
          </w:p>
        </w:tc>
        <w:tc>
          <w:tcPr>
            <w:tcW w:w="1100" w:type="dxa"/>
            <w:vAlign w:val="bottom"/>
          </w:tcPr>
          <w:p>
            <w:pPr>
              <w:spacing w:after="0"/>
              <w:rPr>
                <w:sz w:val="20"/>
                <w:szCs w:val="20"/>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1"/>
        </w:trPr>
        <w:tc>
          <w:tcPr>
            <w:tcW w:w="380" w:type="dxa"/>
            <w:vAlign w:val="bottom"/>
          </w:tcPr>
          <w:p>
            <w:pPr>
              <w:spacing w:after="0"/>
              <w:rPr>
                <w:sz w:val="20"/>
                <w:szCs w:val="20"/>
                <w:color w:val="auto"/>
              </w:rPr>
            </w:pPr>
          </w:p>
        </w:tc>
        <w:tc>
          <w:tcPr>
            <w:tcW w:w="680" w:type="dxa"/>
            <w:vAlign w:val="bottom"/>
            <w:gridSpan w:val="3"/>
          </w:tcPr>
          <w:p>
            <w:pPr>
              <w:jc w:val="center"/>
              <w:ind w:right="400"/>
              <w:spacing w:after="0"/>
              <w:rPr>
                <w:rFonts w:ascii="Arial" w:cs="Arial" w:eastAsia="Arial" w:hAnsi="Arial"/>
                <w:sz w:val="17"/>
                <w:szCs w:val="17"/>
                <w:color w:val="0000EE"/>
                <w:w w:val="84"/>
              </w:rPr>
            </w:pPr>
            <w:hyperlink r:id="rId161">
              <w:r>
                <w:rPr>
                  <w:rFonts w:ascii="Arial" w:cs="Arial" w:eastAsia="Arial" w:hAnsi="Arial"/>
                  <w:sz w:val="17"/>
                  <w:szCs w:val="17"/>
                  <w:color w:val="0000EE"/>
                  <w:w w:val="84"/>
                </w:rPr>
                <w:t>4.</w:t>
              </w:r>
              <w:r>
                <w:rPr>
                  <w:rFonts w:ascii="Arial" w:cs="Arial" w:eastAsia="Arial" w:hAnsi="Arial"/>
                  <w:sz w:val="17"/>
                  <w:szCs w:val="17"/>
                  <w:u w:val="single" w:color="auto"/>
                  <w:color w:val="0000EE"/>
                  <w:w w:val="84"/>
                </w:rPr>
                <w:t>3†</w:t>
              </w:r>
            </w:hyperlink>
          </w:p>
        </w:tc>
        <w:tc>
          <w:tcPr>
            <w:tcW w:w="4700" w:type="dxa"/>
            <w:vAlign w:val="bottom"/>
            <w:gridSpan w:val="20"/>
          </w:tcPr>
          <w:p>
            <w:pPr>
              <w:spacing w:after="0"/>
              <w:rPr>
                <w:rFonts w:ascii="Arial" w:cs="Arial" w:eastAsia="Arial" w:hAnsi="Arial"/>
                <w:sz w:val="17"/>
                <w:szCs w:val="17"/>
                <w:color w:val="0000EE"/>
              </w:rPr>
            </w:pPr>
            <w:hyperlink r:id="rId161">
              <w:r>
                <w:rPr>
                  <w:rFonts w:ascii="Arial" w:cs="Arial" w:eastAsia="Arial" w:hAnsi="Arial"/>
                  <w:sz w:val="17"/>
                  <w:szCs w:val="17"/>
                  <w:color w:val="0000EE"/>
                </w:rPr>
                <w:t>2021 Share Incentive Plan.</w:t>
              </w:r>
            </w:hyperlink>
          </w:p>
        </w:tc>
        <w:tc>
          <w:tcPr>
            <w:tcW w:w="920" w:type="dxa"/>
            <w:vAlign w:val="bottom"/>
          </w:tcPr>
          <w:p>
            <w:pPr>
              <w:ind w:left="180"/>
              <w:spacing w:after="0"/>
              <w:rPr>
                <w:sz w:val="20"/>
                <w:szCs w:val="20"/>
                <w:color w:val="auto"/>
              </w:rPr>
            </w:pPr>
            <w:r>
              <w:rPr>
                <w:rFonts w:ascii="Arial" w:cs="Arial" w:eastAsia="Arial" w:hAnsi="Arial"/>
                <w:sz w:val="17"/>
                <w:szCs w:val="17"/>
                <w:color w:val="auto"/>
              </w:rPr>
              <w:t>F-1/A</w:t>
            </w:r>
          </w:p>
        </w:tc>
        <w:tc>
          <w:tcPr>
            <w:tcW w:w="1420" w:type="dxa"/>
            <w:vAlign w:val="bottom"/>
          </w:tcPr>
          <w:p>
            <w:pPr>
              <w:jc w:val="center"/>
              <w:ind w:left="16"/>
              <w:spacing w:after="0"/>
              <w:rPr>
                <w:sz w:val="20"/>
                <w:szCs w:val="20"/>
                <w:color w:val="auto"/>
              </w:rPr>
            </w:pPr>
            <w:r>
              <w:rPr>
                <w:rFonts w:ascii="Arial" w:cs="Arial" w:eastAsia="Arial" w:hAnsi="Arial"/>
                <w:sz w:val="17"/>
                <w:szCs w:val="17"/>
                <w:color w:val="auto"/>
                <w:w w:val="88"/>
              </w:rPr>
              <w:t>333-256219</w:t>
            </w:r>
          </w:p>
        </w:tc>
        <w:tc>
          <w:tcPr>
            <w:tcW w:w="920" w:type="dxa"/>
            <w:vAlign w:val="bottom"/>
          </w:tcPr>
          <w:p>
            <w:pPr>
              <w:jc w:val="center"/>
              <w:ind w:left="16"/>
              <w:spacing w:after="0"/>
              <w:rPr>
                <w:sz w:val="20"/>
                <w:szCs w:val="20"/>
                <w:color w:val="auto"/>
              </w:rPr>
            </w:pPr>
            <w:r>
              <w:rPr>
                <w:rFonts w:ascii="Arial" w:cs="Arial" w:eastAsia="Arial" w:hAnsi="Arial"/>
                <w:sz w:val="17"/>
                <w:szCs w:val="17"/>
                <w:color w:val="auto"/>
                <w:w w:val="90"/>
              </w:rPr>
              <w:t>10.2</w:t>
            </w:r>
          </w:p>
        </w:tc>
        <w:tc>
          <w:tcPr>
            <w:tcW w:w="1120" w:type="dxa"/>
            <w:vAlign w:val="bottom"/>
          </w:tcPr>
          <w:p>
            <w:pPr>
              <w:jc w:val="center"/>
              <w:spacing w:after="0"/>
              <w:rPr>
                <w:sz w:val="20"/>
                <w:szCs w:val="20"/>
                <w:color w:val="auto"/>
              </w:rPr>
            </w:pPr>
            <w:r>
              <w:rPr>
                <w:rFonts w:ascii="Arial" w:cs="Arial" w:eastAsia="Arial" w:hAnsi="Arial"/>
                <w:sz w:val="17"/>
                <w:szCs w:val="17"/>
                <w:color w:val="auto"/>
                <w:w w:val="89"/>
              </w:rPr>
              <w:t>5/17/2021</w:t>
            </w:r>
          </w:p>
        </w:tc>
        <w:tc>
          <w:tcPr>
            <w:tcW w:w="1100" w:type="dxa"/>
            <w:vAlign w:val="bottom"/>
          </w:tcPr>
          <w:p>
            <w:pPr>
              <w:spacing w:after="0"/>
              <w:rPr>
                <w:sz w:val="20"/>
                <w:szCs w:val="20"/>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1"/>
        </w:trPr>
        <w:tc>
          <w:tcPr>
            <w:tcW w:w="380" w:type="dxa"/>
            <w:vAlign w:val="bottom"/>
          </w:tcPr>
          <w:p>
            <w:pPr>
              <w:spacing w:after="0"/>
              <w:rPr>
                <w:sz w:val="20"/>
                <w:szCs w:val="20"/>
                <w:color w:val="auto"/>
              </w:rPr>
            </w:pPr>
          </w:p>
        </w:tc>
        <w:tc>
          <w:tcPr>
            <w:tcW w:w="680" w:type="dxa"/>
            <w:vAlign w:val="bottom"/>
            <w:gridSpan w:val="3"/>
          </w:tcPr>
          <w:p>
            <w:pPr>
              <w:jc w:val="center"/>
              <w:ind w:right="400"/>
              <w:spacing w:after="0"/>
              <w:rPr>
                <w:rFonts w:ascii="Arial" w:cs="Arial" w:eastAsia="Arial" w:hAnsi="Arial"/>
                <w:sz w:val="17"/>
                <w:szCs w:val="17"/>
                <w:color w:val="0000EE"/>
                <w:w w:val="84"/>
              </w:rPr>
            </w:pPr>
            <w:hyperlink r:id="rId162">
              <w:r>
                <w:rPr>
                  <w:rFonts w:ascii="Arial" w:cs="Arial" w:eastAsia="Arial" w:hAnsi="Arial"/>
                  <w:sz w:val="17"/>
                  <w:szCs w:val="17"/>
                  <w:color w:val="0000EE"/>
                  <w:w w:val="84"/>
                </w:rPr>
                <w:t>4.</w:t>
              </w:r>
              <w:r>
                <w:rPr>
                  <w:rFonts w:ascii="Arial" w:cs="Arial" w:eastAsia="Arial" w:hAnsi="Arial"/>
                  <w:sz w:val="17"/>
                  <w:szCs w:val="17"/>
                  <w:u w:val="single" w:color="auto"/>
                  <w:color w:val="0000EE"/>
                  <w:w w:val="84"/>
                </w:rPr>
                <w:t>4†</w:t>
              </w:r>
            </w:hyperlink>
          </w:p>
        </w:tc>
        <w:tc>
          <w:tcPr>
            <w:tcW w:w="4700" w:type="dxa"/>
            <w:vAlign w:val="bottom"/>
            <w:gridSpan w:val="20"/>
          </w:tcPr>
          <w:p>
            <w:pPr>
              <w:spacing w:after="0"/>
              <w:rPr>
                <w:rFonts w:ascii="Arial" w:cs="Arial" w:eastAsia="Arial" w:hAnsi="Arial"/>
                <w:sz w:val="17"/>
                <w:szCs w:val="17"/>
                <w:color w:val="0000EE"/>
              </w:rPr>
            </w:pPr>
            <w:hyperlink r:id="rId162">
              <w:r>
                <w:rPr>
                  <w:rFonts w:ascii="Arial" w:cs="Arial" w:eastAsia="Arial" w:hAnsi="Arial"/>
                  <w:sz w:val="17"/>
                  <w:szCs w:val="17"/>
                  <w:color w:val="0000EE"/>
                </w:rPr>
                <w:t>2021 Employee Share Purchase Plan.</w:t>
              </w:r>
            </w:hyperlink>
          </w:p>
        </w:tc>
        <w:tc>
          <w:tcPr>
            <w:tcW w:w="920" w:type="dxa"/>
            <w:vAlign w:val="bottom"/>
          </w:tcPr>
          <w:p>
            <w:pPr>
              <w:ind w:left="180"/>
              <w:spacing w:after="0"/>
              <w:rPr>
                <w:sz w:val="20"/>
                <w:szCs w:val="20"/>
                <w:color w:val="auto"/>
              </w:rPr>
            </w:pPr>
            <w:r>
              <w:rPr>
                <w:rFonts w:ascii="Arial" w:cs="Arial" w:eastAsia="Arial" w:hAnsi="Arial"/>
                <w:sz w:val="17"/>
                <w:szCs w:val="17"/>
                <w:color w:val="auto"/>
              </w:rPr>
              <w:t>F-1/A</w:t>
            </w:r>
          </w:p>
        </w:tc>
        <w:tc>
          <w:tcPr>
            <w:tcW w:w="1420" w:type="dxa"/>
            <w:vAlign w:val="bottom"/>
          </w:tcPr>
          <w:p>
            <w:pPr>
              <w:jc w:val="center"/>
              <w:ind w:left="16"/>
              <w:spacing w:after="0"/>
              <w:rPr>
                <w:sz w:val="20"/>
                <w:szCs w:val="20"/>
                <w:color w:val="auto"/>
              </w:rPr>
            </w:pPr>
            <w:r>
              <w:rPr>
                <w:rFonts w:ascii="Arial" w:cs="Arial" w:eastAsia="Arial" w:hAnsi="Arial"/>
                <w:sz w:val="17"/>
                <w:szCs w:val="17"/>
                <w:color w:val="auto"/>
                <w:w w:val="88"/>
              </w:rPr>
              <w:t>333-256219</w:t>
            </w:r>
          </w:p>
        </w:tc>
        <w:tc>
          <w:tcPr>
            <w:tcW w:w="920" w:type="dxa"/>
            <w:vAlign w:val="bottom"/>
          </w:tcPr>
          <w:p>
            <w:pPr>
              <w:jc w:val="center"/>
              <w:ind w:left="16"/>
              <w:spacing w:after="0"/>
              <w:rPr>
                <w:sz w:val="20"/>
                <w:szCs w:val="20"/>
                <w:color w:val="auto"/>
              </w:rPr>
            </w:pPr>
            <w:r>
              <w:rPr>
                <w:rFonts w:ascii="Arial" w:cs="Arial" w:eastAsia="Arial" w:hAnsi="Arial"/>
                <w:sz w:val="17"/>
                <w:szCs w:val="17"/>
                <w:color w:val="auto"/>
                <w:w w:val="90"/>
              </w:rPr>
              <w:t>10.3</w:t>
            </w:r>
          </w:p>
        </w:tc>
        <w:tc>
          <w:tcPr>
            <w:tcW w:w="1120" w:type="dxa"/>
            <w:vAlign w:val="bottom"/>
          </w:tcPr>
          <w:p>
            <w:pPr>
              <w:jc w:val="center"/>
              <w:spacing w:after="0"/>
              <w:rPr>
                <w:sz w:val="20"/>
                <w:szCs w:val="20"/>
                <w:color w:val="auto"/>
              </w:rPr>
            </w:pPr>
            <w:r>
              <w:rPr>
                <w:rFonts w:ascii="Arial" w:cs="Arial" w:eastAsia="Arial" w:hAnsi="Arial"/>
                <w:sz w:val="17"/>
                <w:szCs w:val="17"/>
                <w:color w:val="auto"/>
                <w:w w:val="89"/>
              </w:rPr>
              <w:t>5/17/2021</w:t>
            </w:r>
          </w:p>
        </w:tc>
        <w:tc>
          <w:tcPr>
            <w:tcW w:w="1100" w:type="dxa"/>
            <w:vAlign w:val="bottom"/>
          </w:tcPr>
          <w:p>
            <w:pPr>
              <w:spacing w:after="0"/>
              <w:rPr>
                <w:sz w:val="20"/>
                <w:szCs w:val="20"/>
                <w:color w:val="auto"/>
              </w:rPr>
            </w:pPr>
          </w:p>
        </w:tc>
      </w:tr>
      <w:tr>
        <w:trPr>
          <w:trHeight w:val="20"/>
        </w:trPr>
        <w:tc>
          <w:tcPr>
            <w:tcW w:w="38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1"/>
        </w:trPr>
        <w:tc>
          <w:tcPr>
            <w:tcW w:w="380" w:type="dxa"/>
            <w:vAlign w:val="bottom"/>
          </w:tcPr>
          <w:p>
            <w:pPr>
              <w:spacing w:after="0"/>
              <w:rPr>
                <w:sz w:val="20"/>
                <w:szCs w:val="20"/>
                <w:color w:val="auto"/>
              </w:rPr>
            </w:pPr>
          </w:p>
        </w:tc>
        <w:tc>
          <w:tcPr>
            <w:tcW w:w="680" w:type="dxa"/>
            <w:vAlign w:val="bottom"/>
            <w:gridSpan w:val="3"/>
          </w:tcPr>
          <w:p>
            <w:pPr>
              <w:jc w:val="center"/>
              <w:ind w:right="400"/>
              <w:spacing w:after="0"/>
              <w:rPr>
                <w:rFonts w:ascii="Arial" w:cs="Arial" w:eastAsia="Arial" w:hAnsi="Arial"/>
                <w:sz w:val="17"/>
                <w:szCs w:val="17"/>
                <w:color w:val="0000EE"/>
                <w:w w:val="84"/>
              </w:rPr>
            </w:pPr>
            <w:hyperlink r:id="rId163">
              <w:r>
                <w:rPr>
                  <w:rFonts w:ascii="Arial" w:cs="Arial" w:eastAsia="Arial" w:hAnsi="Arial"/>
                  <w:sz w:val="17"/>
                  <w:szCs w:val="17"/>
                  <w:color w:val="0000EE"/>
                  <w:w w:val="84"/>
                </w:rPr>
                <w:t>4.</w:t>
              </w:r>
              <w:r>
                <w:rPr>
                  <w:rFonts w:ascii="Arial" w:cs="Arial" w:eastAsia="Arial" w:hAnsi="Arial"/>
                  <w:sz w:val="17"/>
                  <w:szCs w:val="17"/>
                  <w:u w:val="single" w:color="auto"/>
                  <w:color w:val="0000EE"/>
                  <w:w w:val="84"/>
                </w:rPr>
                <w:t>5†</w:t>
              </w:r>
            </w:hyperlink>
          </w:p>
        </w:tc>
        <w:tc>
          <w:tcPr>
            <w:tcW w:w="4700" w:type="dxa"/>
            <w:vAlign w:val="bottom"/>
            <w:gridSpan w:val="20"/>
          </w:tcPr>
          <w:p>
            <w:pPr>
              <w:spacing w:after="0"/>
              <w:rPr>
                <w:rFonts w:ascii="Arial" w:cs="Arial" w:eastAsia="Arial" w:hAnsi="Arial"/>
                <w:sz w:val="17"/>
                <w:szCs w:val="17"/>
                <w:color w:val="0000EE"/>
              </w:rPr>
            </w:pPr>
            <w:hyperlink r:id="rId163">
              <w:r>
                <w:rPr>
                  <w:rFonts w:ascii="Arial" w:cs="Arial" w:eastAsia="Arial" w:hAnsi="Arial"/>
                  <w:sz w:val="17"/>
                  <w:szCs w:val="17"/>
                  <w:color w:val="0000EE"/>
                </w:rPr>
                <w:t>Compensation Policy for Officers and Directors.</w:t>
              </w:r>
            </w:hyperlink>
          </w:p>
        </w:tc>
        <w:tc>
          <w:tcPr>
            <w:tcW w:w="920" w:type="dxa"/>
            <w:vAlign w:val="bottom"/>
          </w:tcPr>
          <w:p>
            <w:pPr>
              <w:ind w:left="180"/>
              <w:spacing w:after="0"/>
              <w:rPr>
                <w:sz w:val="20"/>
                <w:szCs w:val="20"/>
                <w:color w:val="auto"/>
              </w:rPr>
            </w:pPr>
            <w:r>
              <w:rPr>
                <w:rFonts w:ascii="Arial" w:cs="Arial" w:eastAsia="Arial" w:hAnsi="Arial"/>
                <w:sz w:val="17"/>
                <w:szCs w:val="17"/>
                <w:color w:val="auto"/>
              </w:rPr>
              <w:t>F-1/A</w:t>
            </w:r>
          </w:p>
        </w:tc>
        <w:tc>
          <w:tcPr>
            <w:tcW w:w="1420" w:type="dxa"/>
            <w:vAlign w:val="bottom"/>
          </w:tcPr>
          <w:p>
            <w:pPr>
              <w:jc w:val="center"/>
              <w:ind w:left="16"/>
              <w:spacing w:after="0"/>
              <w:rPr>
                <w:sz w:val="20"/>
                <w:szCs w:val="20"/>
                <w:color w:val="auto"/>
              </w:rPr>
            </w:pPr>
            <w:r>
              <w:rPr>
                <w:rFonts w:ascii="Arial" w:cs="Arial" w:eastAsia="Arial" w:hAnsi="Arial"/>
                <w:sz w:val="17"/>
                <w:szCs w:val="17"/>
                <w:color w:val="auto"/>
                <w:w w:val="88"/>
              </w:rPr>
              <w:t>333-256219</w:t>
            </w:r>
          </w:p>
        </w:tc>
        <w:tc>
          <w:tcPr>
            <w:tcW w:w="920" w:type="dxa"/>
            <w:vAlign w:val="bottom"/>
          </w:tcPr>
          <w:p>
            <w:pPr>
              <w:jc w:val="center"/>
              <w:ind w:left="16"/>
              <w:spacing w:after="0"/>
              <w:rPr>
                <w:sz w:val="20"/>
                <w:szCs w:val="20"/>
                <w:color w:val="auto"/>
              </w:rPr>
            </w:pPr>
            <w:r>
              <w:rPr>
                <w:rFonts w:ascii="Arial" w:cs="Arial" w:eastAsia="Arial" w:hAnsi="Arial"/>
                <w:sz w:val="17"/>
                <w:szCs w:val="17"/>
                <w:color w:val="auto"/>
                <w:w w:val="90"/>
              </w:rPr>
              <w:t>10.4</w:t>
            </w:r>
          </w:p>
        </w:tc>
        <w:tc>
          <w:tcPr>
            <w:tcW w:w="1120" w:type="dxa"/>
            <w:vAlign w:val="bottom"/>
          </w:tcPr>
          <w:p>
            <w:pPr>
              <w:jc w:val="center"/>
              <w:spacing w:after="0"/>
              <w:rPr>
                <w:sz w:val="20"/>
                <w:szCs w:val="20"/>
                <w:color w:val="auto"/>
              </w:rPr>
            </w:pPr>
            <w:r>
              <w:rPr>
                <w:rFonts w:ascii="Arial" w:cs="Arial" w:eastAsia="Arial" w:hAnsi="Arial"/>
                <w:sz w:val="17"/>
                <w:szCs w:val="17"/>
                <w:color w:val="auto"/>
                <w:w w:val="89"/>
              </w:rPr>
              <w:t>5/17/2021</w:t>
            </w:r>
          </w:p>
        </w:tc>
        <w:tc>
          <w:tcPr>
            <w:tcW w:w="1100" w:type="dxa"/>
            <w:vAlign w:val="bottom"/>
          </w:tcPr>
          <w:p>
            <w:pPr>
              <w:spacing w:after="0"/>
              <w:rPr>
                <w:sz w:val="20"/>
                <w:szCs w:val="20"/>
                <w:color w:val="auto"/>
              </w:rPr>
            </w:pPr>
          </w:p>
        </w:tc>
      </w:tr>
      <w:tr>
        <w:trPr>
          <w:trHeight w:val="20"/>
        </w:trPr>
        <w:tc>
          <w:tcPr>
            <w:tcW w:w="440" w:type="dxa"/>
            <w:vAlign w:val="bottom"/>
            <w:tcBorders>
              <w:right w:val="single" w:sz="8" w:color="0000EE"/>
            </w:tcBorders>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1"/>
        </w:trPr>
        <w:tc>
          <w:tcPr>
            <w:tcW w:w="620" w:type="dxa"/>
            <w:vAlign w:val="bottom"/>
            <w:gridSpan w:val="3"/>
          </w:tcPr>
          <w:p>
            <w:pPr>
              <w:jc w:val="center"/>
              <w:ind w:left="336"/>
              <w:spacing w:after="0"/>
              <w:rPr>
                <w:rFonts w:ascii="Arial" w:cs="Arial" w:eastAsia="Arial" w:hAnsi="Arial"/>
                <w:sz w:val="17"/>
                <w:szCs w:val="17"/>
                <w:color w:val="0000EE"/>
                <w:w w:val="84"/>
              </w:rPr>
            </w:pPr>
            <w:hyperlink r:id="rId164">
              <w:r>
                <w:rPr>
                  <w:rFonts w:ascii="Arial" w:cs="Arial" w:eastAsia="Arial" w:hAnsi="Arial"/>
                  <w:sz w:val="17"/>
                  <w:szCs w:val="17"/>
                  <w:color w:val="0000EE"/>
                  <w:w w:val="84"/>
                </w:rPr>
                <w:t>4.</w:t>
              </w:r>
              <w:r>
                <w:rPr>
                  <w:rFonts w:ascii="Arial" w:cs="Arial" w:eastAsia="Arial" w:hAnsi="Arial"/>
                  <w:sz w:val="17"/>
                  <w:szCs w:val="17"/>
                  <w:u w:val="single" w:color="auto"/>
                  <w:color w:val="0000EE"/>
                  <w:w w:val="84"/>
                </w:rPr>
                <w:t>6</w:t>
              </w:r>
            </w:hyperlink>
          </w:p>
        </w:tc>
        <w:tc>
          <w:tcPr>
            <w:tcW w:w="440" w:type="dxa"/>
            <w:vAlign w:val="bottom"/>
          </w:tcPr>
          <w:p>
            <w:pPr>
              <w:spacing w:after="0"/>
              <w:rPr>
                <w:sz w:val="20"/>
                <w:szCs w:val="20"/>
                <w:color w:val="auto"/>
              </w:rPr>
            </w:pPr>
          </w:p>
        </w:tc>
        <w:tc>
          <w:tcPr>
            <w:tcW w:w="4700" w:type="dxa"/>
            <w:vAlign w:val="bottom"/>
            <w:gridSpan w:val="20"/>
          </w:tcPr>
          <w:p>
            <w:pPr>
              <w:spacing w:after="0"/>
              <w:rPr>
                <w:rFonts w:ascii="Arial" w:cs="Arial" w:eastAsia="Arial" w:hAnsi="Arial"/>
                <w:sz w:val="17"/>
                <w:szCs w:val="17"/>
                <w:color w:val="0000EE"/>
                <w:w w:val="93"/>
              </w:rPr>
            </w:pPr>
            <w:hyperlink r:id="rId164">
              <w:r>
                <w:rPr>
                  <w:rFonts w:ascii="Arial" w:cs="Arial" w:eastAsia="Arial" w:hAnsi="Arial"/>
                  <w:sz w:val="17"/>
                  <w:szCs w:val="17"/>
                  <w:color w:val="0000EE"/>
                  <w:w w:val="93"/>
                </w:rPr>
                <w:t>2021 Amended and Restated Investor Rights Agreement, dated as</w:t>
              </w:r>
            </w:hyperlink>
          </w:p>
        </w:tc>
        <w:tc>
          <w:tcPr>
            <w:tcW w:w="920" w:type="dxa"/>
            <w:vAlign w:val="bottom"/>
          </w:tcPr>
          <w:p>
            <w:pPr>
              <w:ind w:left="180"/>
              <w:spacing w:after="0"/>
              <w:rPr>
                <w:sz w:val="20"/>
                <w:szCs w:val="20"/>
                <w:color w:val="auto"/>
              </w:rPr>
            </w:pPr>
            <w:r>
              <w:rPr>
                <w:rFonts w:ascii="Arial" w:cs="Arial" w:eastAsia="Arial" w:hAnsi="Arial"/>
                <w:sz w:val="17"/>
                <w:szCs w:val="17"/>
                <w:color w:val="auto"/>
              </w:rPr>
              <w:t>F-1/A</w:t>
            </w:r>
          </w:p>
        </w:tc>
        <w:tc>
          <w:tcPr>
            <w:tcW w:w="1420" w:type="dxa"/>
            <w:vAlign w:val="bottom"/>
          </w:tcPr>
          <w:p>
            <w:pPr>
              <w:jc w:val="center"/>
              <w:ind w:left="16"/>
              <w:spacing w:after="0"/>
              <w:rPr>
                <w:sz w:val="20"/>
                <w:szCs w:val="20"/>
                <w:color w:val="auto"/>
              </w:rPr>
            </w:pPr>
            <w:r>
              <w:rPr>
                <w:rFonts w:ascii="Arial" w:cs="Arial" w:eastAsia="Arial" w:hAnsi="Arial"/>
                <w:sz w:val="17"/>
                <w:szCs w:val="17"/>
                <w:color w:val="auto"/>
                <w:w w:val="88"/>
              </w:rPr>
              <w:t>333-256219</w:t>
            </w:r>
          </w:p>
        </w:tc>
        <w:tc>
          <w:tcPr>
            <w:tcW w:w="920" w:type="dxa"/>
            <w:vAlign w:val="bottom"/>
          </w:tcPr>
          <w:p>
            <w:pPr>
              <w:jc w:val="center"/>
              <w:spacing w:after="0"/>
              <w:rPr>
                <w:sz w:val="20"/>
                <w:szCs w:val="20"/>
                <w:color w:val="auto"/>
              </w:rPr>
            </w:pPr>
            <w:r>
              <w:rPr>
                <w:rFonts w:ascii="Arial" w:cs="Arial" w:eastAsia="Arial" w:hAnsi="Arial"/>
                <w:sz w:val="17"/>
                <w:szCs w:val="17"/>
                <w:color w:val="auto"/>
                <w:w w:val="84"/>
              </w:rPr>
              <w:t>4.2</w:t>
            </w:r>
          </w:p>
        </w:tc>
        <w:tc>
          <w:tcPr>
            <w:tcW w:w="1120" w:type="dxa"/>
            <w:vAlign w:val="bottom"/>
          </w:tcPr>
          <w:p>
            <w:pPr>
              <w:jc w:val="center"/>
              <w:spacing w:after="0"/>
              <w:rPr>
                <w:sz w:val="20"/>
                <w:szCs w:val="20"/>
                <w:color w:val="auto"/>
              </w:rPr>
            </w:pPr>
            <w:r>
              <w:rPr>
                <w:rFonts w:ascii="Arial" w:cs="Arial" w:eastAsia="Arial" w:hAnsi="Arial"/>
                <w:sz w:val="17"/>
                <w:szCs w:val="17"/>
                <w:color w:val="auto"/>
                <w:w w:val="89"/>
              </w:rPr>
              <w:t>6/14/2021</w:t>
            </w:r>
          </w:p>
        </w:tc>
        <w:tc>
          <w:tcPr>
            <w:tcW w:w="1100" w:type="dxa"/>
            <w:vAlign w:val="bottom"/>
          </w:tcPr>
          <w:p>
            <w:pPr>
              <w:spacing w:after="0"/>
              <w:rPr>
                <w:sz w:val="20"/>
                <w:szCs w:val="20"/>
                <w:color w:val="auto"/>
              </w:rPr>
            </w:pPr>
          </w:p>
        </w:tc>
      </w:tr>
      <w:tr>
        <w:trPr>
          <w:trHeight w:val="181"/>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4420" w:type="dxa"/>
            <w:vAlign w:val="bottom"/>
            <w:tcBorders>
              <w:top w:val="single" w:sz="8" w:color="0000EE"/>
            </w:tcBorders>
            <w:gridSpan w:val="17"/>
          </w:tcPr>
          <w:p>
            <w:pPr>
              <w:spacing w:after="0" w:line="181" w:lineRule="exact"/>
              <w:rPr>
                <w:rFonts w:ascii="Arial" w:cs="Arial" w:eastAsia="Arial" w:hAnsi="Arial"/>
                <w:sz w:val="17"/>
                <w:szCs w:val="17"/>
                <w:color w:val="0000EE"/>
                <w:w w:val="93"/>
              </w:rPr>
            </w:pPr>
            <w:hyperlink r:id="rId164">
              <w:r>
                <w:rPr>
                  <w:rFonts w:ascii="Arial" w:cs="Arial" w:eastAsia="Arial" w:hAnsi="Arial"/>
                  <w:sz w:val="17"/>
                  <w:szCs w:val="17"/>
                  <w:color w:val="0000EE"/>
                  <w:w w:val="93"/>
                </w:rPr>
                <w:t>of June 10, 2021, by and among the Registrant and the parties</w:t>
              </w:r>
            </w:hyperlink>
          </w:p>
        </w:tc>
        <w:tc>
          <w:tcPr>
            <w:tcW w:w="28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1"/>
        </w:trPr>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60" w:type="dxa"/>
            <w:vAlign w:val="bottom"/>
            <w:tcBorders>
              <w:top w:val="single" w:sz="8" w:color="0000EE"/>
              <w:bottom w:val="single" w:sz="8" w:color="0000EE"/>
            </w:tcBorders>
            <w:gridSpan w:val="6"/>
          </w:tcPr>
          <w:p>
            <w:pPr>
              <w:spacing w:after="0" w:line="181" w:lineRule="exact"/>
              <w:rPr>
                <w:rFonts w:ascii="Arial" w:cs="Arial" w:eastAsia="Arial" w:hAnsi="Arial"/>
                <w:sz w:val="17"/>
                <w:szCs w:val="17"/>
                <w:color w:val="0000EE"/>
                <w:w w:val="87"/>
              </w:rPr>
            </w:pPr>
            <w:hyperlink r:id="rId164">
              <w:r>
                <w:rPr>
                  <w:rFonts w:ascii="Arial" w:cs="Arial" w:eastAsia="Arial" w:hAnsi="Arial"/>
                  <w:sz w:val="17"/>
                  <w:szCs w:val="17"/>
                  <w:color w:val="0000EE"/>
                  <w:w w:val="87"/>
                </w:rPr>
                <w:t>named in Schedule 1 thereto.</w:t>
              </w:r>
            </w:hyperlink>
          </w:p>
        </w:tc>
        <w:tc>
          <w:tcPr>
            <w:tcW w:w="2180" w:type="dxa"/>
            <w:vAlign w:val="bottom"/>
            <w:tcBorders>
              <w:top w:val="single" w:sz="8" w:color="0000EE"/>
            </w:tcBorders>
            <w:gridSpan w:val="8"/>
          </w:tcPr>
          <w:p>
            <w:pPr>
              <w:spacing w:after="0"/>
              <w:rPr>
                <w:sz w:val="15"/>
                <w:szCs w:val="15"/>
                <w:color w:val="auto"/>
              </w:rPr>
            </w:pPr>
          </w:p>
        </w:tc>
        <w:tc>
          <w:tcPr>
            <w:tcW w:w="560" w:type="dxa"/>
            <w:vAlign w:val="bottom"/>
            <w:gridSpan w:val="6"/>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620" w:type="dxa"/>
            <w:vAlign w:val="bottom"/>
            <w:gridSpan w:val="3"/>
          </w:tcPr>
          <w:p>
            <w:pPr>
              <w:jc w:val="center"/>
              <w:ind w:left="336"/>
              <w:spacing w:after="0"/>
              <w:rPr>
                <w:rFonts w:ascii="Arial" w:cs="Arial" w:eastAsia="Arial" w:hAnsi="Arial"/>
                <w:sz w:val="17"/>
                <w:szCs w:val="17"/>
                <w:color w:val="0000EE"/>
                <w:w w:val="84"/>
              </w:rPr>
            </w:pPr>
            <w:hyperlink w:anchor="page208">
              <w:r>
                <w:rPr>
                  <w:rFonts w:ascii="Arial" w:cs="Arial" w:eastAsia="Arial" w:hAnsi="Arial"/>
                  <w:sz w:val="17"/>
                  <w:szCs w:val="17"/>
                  <w:color w:val="0000EE"/>
                  <w:w w:val="84"/>
                </w:rPr>
                <w:t>8.</w:t>
              </w:r>
              <w:r>
                <w:rPr>
                  <w:rFonts w:ascii="Arial" w:cs="Arial" w:eastAsia="Arial" w:hAnsi="Arial"/>
                  <w:sz w:val="17"/>
                  <w:szCs w:val="17"/>
                  <w:u w:val="single" w:color="auto"/>
                  <w:color w:val="0000EE"/>
                  <w:w w:val="84"/>
                </w:rPr>
                <w:t>1</w:t>
              </w:r>
            </w:hyperlink>
          </w:p>
        </w:tc>
        <w:tc>
          <w:tcPr>
            <w:tcW w:w="440" w:type="dxa"/>
            <w:vAlign w:val="bottom"/>
          </w:tcPr>
          <w:p>
            <w:pPr>
              <w:spacing w:after="0"/>
              <w:rPr>
                <w:sz w:val="20"/>
                <w:szCs w:val="20"/>
                <w:color w:val="auto"/>
              </w:rPr>
            </w:pPr>
          </w:p>
        </w:tc>
        <w:tc>
          <w:tcPr>
            <w:tcW w:w="4700" w:type="dxa"/>
            <w:vAlign w:val="bottom"/>
            <w:gridSpan w:val="20"/>
          </w:tcPr>
          <w:p>
            <w:pPr>
              <w:spacing w:after="0"/>
              <w:rPr>
                <w:rFonts w:ascii="Arial" w:cs="Arial" w:eastAsia="Arial" w:hAnsi="Arial"/>
                <w:sz w:val="17"/>
                <w:szCs w:val="17"/>
                <w:color w:val="0000EE"/>
              </w:rPr>
            </w:pPr>
            <w:hyperlink w:anchor="page208">
              <w:r>
                <w:rPr>
                  <w:rFonts w:ascii="Arial" w:cs="Arial" w:eastAsia="Arial" w:hAnsi="Arial"/>
                  <w:sz w:val="17"/>
                  <w:szCs w:val="17"/>
                  <w:color w:val="0000EE"/>
                </w:rPr>
                <w:t>List of subsidiaries of the Registrant</w:t>
              </w:r>
            </w:hyperlink>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0"/>
        </w:trPr>
        <w:tc>
          <w:tcPr>
            <w:tcW w:w="440" w:type="dxa"/>
            <w:vAlign w:val="bottom"/>
            <w:tcBorders>
              <w:right w:val="single" w:sz="8" w:color="0000EE"/>
            </w:tcBorders>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1"/>
        </w:trPr>
        <w:tc>
          <w:tcPr>
            <w:tcW w:w="620" w:type="dxa"/>
            <w:vAlign w:val="bottom"/>
            <w:gridSpan w:val="3"/>
          </w:tcPr>
          <w:p>
            <w:pPr>
              <w:jc w:val="center"/>
              <w:ind w:left="256"/>
              <w:spacing w:after="0"/>
              <w:rPr>
                <w:rFonts w:ascii="Arial" w:cs="Arial" w:eastAsia="Arial" w:hAnsi="Arial"/>
                <w:sz w:val="17"/>
                <w:szCs w:val="17"/>
                <w:color w:val="0000EE"/>
                <w:w w:val="84"/>
              </w:rPr>
            </w:pPr>
            <w:hyperlink w:anchor="page209">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1</w:t>
              </w:r>
            </w:hyperlink>
          </w:p>
        </w:tc>
        <w:tc>
          <w:tcPr>
            <w:tcW w:w="440" w:type="dxa"/>
            <w:vAlign w:val="bottom"/>
          </w:tcPr>
          <w:p>
            <w:pPr>
              <w:spacing w:after="0"/>
              <w:rPr>
                <w:sz w:val="20"/>
                <w:szCs w:val="20"/>
                <w:color w:val="auto"/>
              </w:rPr>
            </w:pPr>
          </w:p>
        </w:tc>
        <w:tc>
          <w:tcPr>
            <w:tcW w:w="4700" w:type="dxa"/>
            <w:vAlign w:val="bottom"/>
            <w:gridSpan w:val="20"/>
          </w:tcPr>
          <w:p>
            <w:pPr>
              <w:spacing w:after="0"/>
              <w:rPr>
                <w:rFonts w:ascii="Arial" w:cs="Arial" w:eastAsia="Arial" w:hAnsi="Arial"/>
                <w:sz w:val="17"/>
                <w:szCs w:val="17"/>
                <w:color w:val="0000EE"/>
                <w:w w:val="97"/>
              </w:rPr>
            </w:pPr>
            <w:hyperlink w:anchor="page209">
              <w:r>
                <w:rPr>
                  <w:rFonts w:ascii="Arial" w:cs="Arial" w:eastAsia="Arial" w:hAnsi="Arial"/>
                  <w:sz w:val="17"/>
                  <w:szCs w:val="17"/>
                  <w:color w:val="0000EE"/>
                  <w:w w:val="97"/>
                </w:rPr>
                <w:t>Principal Executive Officer Certification Pursuant to Section 302</w:t>
              </w:r>
            </w:hyperlink>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181"/>
        </w:trPr>
        <w:tc>
          <w:tcPr>
            <w:tcW w:w="380" w:type="dxa"/>
            <w:vAlign w:val="bottom"/>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4360" w:type="dxa"/>
            <w:vAlign w:val="bottom"/>
            <w:tcBorders>
              <w:top w:val="single" w:sz="8" w:color="0000EE"/>
            </w:tcBorders>
            <w:gridSpan w:val="16"/>
          </w:tcPr>
          <w:p>
            <w:pPr>
              <w:spacing w:after="0" w:line="181" w:lineRule="exact"/>
              <w:rPr>
                <w:rFonts w:ascii="Arial" w:cs="Arial" w:eastAsia="Arial" w:hAnsi="Arial"/>
                <w:sz w:val="17"/>
                <w:szCs w:val="17"/>
                <w:color w:val="0000EE"/>
              </w:rPr>
            </w:pPr>
            <w:hyperlink w:anchor="page209">
              <w:r>
                <w:rPr>
                  <w:rFonts w:ascii="Arial" w:cs="Arial" w:eastAsia="Arial" w:hAnsi="Arial"/>
                  <w:sz w:val="17"/>
                  <w:szCs w:val="17"/>
                  <w:color w:val="0000EE"/>
                </w:rPr>
                <w:t>of the Sarbanes-Oxley Act of 2002</w:t>
              </w:r>
            </w:hyperlink>
          </w:p>
        </w:tc>
        <w:tc>
          <w:tcPr>
            <w:tcW w:w="340" w:type="dxa"/>
            <w:vAlign w:val="bottom"/>
            <w:gridSpan w:val="4"/>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6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1"/>
        </w:trPr>
        <w:tc>
          <w:tcPr>
            <w:tcW w:w="620" w:type="dxa"/>
            <w:vAlign w:val="bottom"/>
            <w:gridSpan w:val="3"/>
          </w:tcPr>
          <w:p>
            <w:pPr>
              <w:jc w:val="center"/>
              <w:ind w:left="256"/>
              <w:spacing w:after="0"/>
              <w:rPr>
                <w:rFonts w:ascii="Arial" w:cs="Arial" w:eastAsia="Arial" w:hAnsi="Arial"/>
                <w:sz w:val="17"/>
                <w:szCs w:val="17"/>
                <w:color w:val="0000EE"/>
                <w:w w:val="84"/>
              </w:rPr>
            </w:pPr>
            <w:hyperlink w:anchor="page210">
              <w:r>
                <w:rPr>
                  <w:rFonts w:ascii="Arial" w:cs="Arial" w:eastAsia="Arial" w:hAnsi="Arial"/>
                  <w:sz w:val="17"/>
                  <w:szCs w:val="17"/>
                  <w:color w:val="0000EE"/>
                  <w:w w:val="84"/>
                </w:rPr>
                <w:t>12.</w:t>
              </w:r>
              <w:r>
                <w:rPr>
                  <w:rFonts w:ascii="Arial" w:cs="Arial" w:eastAsia="Arial" w:hAnsi="Arial"/>
                  <w:sz w:val="17"/>
                  <w:szCs w:val="17"/>
                  <w:u w:val="single" w:color="auto"/>
                  <w:color w:val="0000EE"/>
                  <w:w w:val="84"/>
                </w:rPr>
                <w:t>2</w:t>
              </w:r>
            </w:hyperlink>
          </w:p>
        </w:tc>
        <w:tc>
          <w:tcPr>
            <w:tcW w:w="440" w:type="dxa"/>
            <w:vAlign w:val="bottom"/>
          </w:tcPr>
          <w:p>
            <w:pPr>
              <w:spacing w:after="0"/>
              <w:rPr>
                <w:sz w:val="20"/>
                <w:szCs w:val="20"/>
                <w:color w:val="auto"/>
              </w:rPr>
            </w:pPr>
          </w:p>
        </w:tc>
        <w:tc>
          <w:tcPr>
            <w:tcW w:w="4700" w:type="dxa"/>
            <w:vAlign w:val="bottom"/>
            <w:gridSpan w:val="20"/>
          </w:tcPr>
          <w:p>
            <w:pPr>
              <w:spacing w:after="0"/>
              <w:rPr>
                <w:rFonts w:ascii="Arial" w:cs="Arial" w:eastAsia="Arial" w:hAnsi="Arial"/>
                <w:sz w:val="17"/>
                <w:szCs w:val="17"/>
                <w:color w:val="0000EE"/>
                <w:w w:val="95"/>
              </w:rPr>
            </w:pPr>
            <w:hyperlink w:anchor="page210">
              <w:r>
                <w:rPr>
                  <w:rFonts w:ascii="Arial" w:cs="Arial" w:eastAsia="Arial" w:hAnsi="Arial"/>
                  <w:sz w:val="17"/>
                  <w:szCs w:val="17"/>
                  <w:color w:val="0000EE"/>
                  <w:w w:val="95"/>
                </w:rPr>
                <w:t>Principal Financial Officer Certification Pursuant to Section 302 of</w:t>
              </w:r>
            </w:hyperlink>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181"/>
        </w:trPr>
        <w:tc>
          <w:tcPr>
            <w:tcW w:w="380" w:type="dxa"/>
            <w:vAlign w:val="bottom"/>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2180" w:type="dxa"/>
            <w:vAlign w:val="bottom"/>
            <w:tcBorders>
              <w:top w:val="single" w:sz="8" w:color="0000EE"/>
              <w:bottom w:val="single" w:sz="8" w:color="0000EE"/>
            </w:tcBorders>
            <w:gridSpan w:val="8"/>
          </w:tcPr>
          <w:p>
            <w:pPr>
              <w:spacing w:after="0" w:line="181" w:lineRule="exact"/>
              <w:rPr>
                <w:rFonts w:ascii="Arial" w:cs="Arial" w:eastAsia="Arial" w:hAnsi="Arial"/>
                <w:sz w:val="17"/>
                <w:szCs w:val="17"/>
                <w:color w:val="0000EE"/>
                <w:w w:val="89"/>
              </w:rPr>
            </w:pPr>
            <w:hyperlink w:anchor="page210">
              <w:r>
                <w:rPr>
                  <w:rFonts w:ascii="Arial" w:cs="Arial" w:eastAsia="Arial" w:hAnsi="Arial"/>
                  <w:sz w:val="17"/>
                  <w:szCs w:val="17"/>
                  <w:color w:val="0000EE"/>
                  <w:w w:val="89"/>
                </w:rPr>
                <w:t>the Sarbanes-Oxley Act of 2002</w:t>
              </w:r>
            </w:hyperlink>
          </w:p>
        </w:tc>
        <w:tc>
          <w:tcPr>
            <w:tcW w:w="2320" w:type="dxa"/>
            <w:vAlign w:val="bottom"/>
            <w:tcBorders>
              <w:top w:val="single" w:sz="8" w:color="0000EE"/>
            </w:tcBorders>
            <w:gridSpan w:val="10"/>
          </w:tcPr>
          <w:p>
            <w:pPr>
              <w:spacing w:after="0"/>
              <w:rPr>
                <w:sz w:val="15"/>
                <w:szCs w:val="15"/>
                <w:color w:val="auto"/>
              </w:rPr>
            </w:pPr>
          </w:p>
        </w:tc>
        <w:tc>
          <w:tcPr>
            <w:tcW w:w="20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620" w:type="dxa"/>
            <w:vAlign w:val="bottom"/>
            <w:gridSpan w:val="3"/>
          </w:tcPr>
          <w:p>
            <w:pPr>
              <w:jc w:val="center"/>
              <w:ind w:left="256"/>
              <w:spacing w:after="0"/>
              <w:rPr>
                <w:rFonts w:ascii="Arial" w:cs="Arial" w:eastAsia="Arial" w:hAnsi="Arial"/>
                <w:sz w:val="17"/>
                <w:szCs w:val="17"/>
                <w:color w:val="0000EE"/>
                <w:w w:val="84"/>
              </w:rPr>
            </w:pPr>
            <w:hyperlink w:anchor="page211">
              <w:r>
                <w:rPr>
                  <w:rFonts w:ascii="Arial" w:cs="Arial" w:eastAsia="Arial" w:hAnsi="Arial"/>
                  <w:sz w:val="17"/>
                  <w:szCs w:val="17"/>
                  <w:color w:val="0000EE"/>
                  <w:w w:val="84"/>
                </w:rPr>
                <w:t>13.</w:t>
              </w:r>
              <w:r>
                <w:rPr>
                  <w:rFonts w:ascii="Arial" w:cs="Arial" w:eastAsia="Arial" w:hAnsi="Arial"/>
                  <w:sz w:val="17"/>
                  <w:szCs w:val="17"/>
                  <w:u w:val="single" w:color="auto"/>
                  <w:color w:val="0000EE"/>
                  <w:w w:val="84"/>
                </w:rPr>
                <w:t>1</w:t>
              </w:r>
            </w:hyperlink>
          </w:p>
        </w:tc>
        <w:tc>
          <w:tcPr>
            <w:tcW w:w="440" w:type="dxa"/>
            <w:vAlign w:val="bottom"/>
          </w:tcPr>
          <w:p>
            <w:pPr>
              <w:spacing w:after="0"/>
              <w:rPr>
                <w:sz w:val="20"/>
                <w:szCs w:val="20"/>
                <w:color w:val="auto"/>
              </w:rPr>
            </w:pPr>
          </w:p>
        </w:tc>
        <w:tc>
          <w:tcPr>
            <w:tcW w:w="4700" w:type="dxa"/>
            <w:vAlign w:val="bottom"/>
            <w:gridSpan w:val="20"/>
          </w:tcPr>
          <w:p>
            <w:pPr>
              <w:spacing w:after="0"/>
              <w:rPr>
                <w:rFonts w:ascii="Arial" w:cs="Arial" w:eastAsia="Arial" w:hAnsi="Arial"/>
                <w:sz w:val="17"/>
                <w:szCs w:val="17"/>
                <w:color w:val="0000EE"/>
                <w:w w:val="97"/>
              </w:rPr>
            </w:pPr>
            <w:hyperlink w:anchor="page211">
              <w:r>
                <w:rPr>
                  <w:rFonts w:ascii="Arial" w:cs="Arial" w:eastAsia="Arial" w:hAnsi="Arial"/>
                  <w:sz w:val="17"/>
                  <w:szCs w:val="17"/>
                  <w:color w:val="0000EE"/>
                  <w:w w:val="97"/>
                </w:rPr>
                <w:t>Principal Executive Officer Certification Pursuant to Section 906</w:t>
              </w:r>
            </w:hyperlink>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181"/>
        </w:trPr>
        <w:tc>
          <w:tcPr>
            <w:tcW w:w="380" w:type="dxa"/>
            <w:vAlign w:val="bottom"/>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4360" w:type="dxa"/>
            <w:vAlign w:val="bottom"/>
            <w:tcBorders>
              <w:top w:val="single" w:sz="8" w:color="0000EE"/>
            </w:tcBorders>
            <w:gridSpan w:val="16"/>
          </w:tcPr>
          <w:p>
            <w:pPr>
              <w:spacing w:after="0" w:line="181" w:lineRule="exact"/>
              <w:rPr>
                <w:rFonts w:ascii="Arial" w:cs="Arial" w:eastAsia="Arial" w:hAnsi="Arial"/>
                <w:sz w:val="17"/>
                <w:szCs w:val="17"/>
                <w:color w:val="0000EE"/>
              </w:rPr>
            </w:pPr>
            <w:hyperlink w:anchor="page211">
              <w:r>
                <w:rPr>
                  <w:rFonts w:ascii="Arial" w:cs="Arial" w:eastAsia="Arial" w:hAnsi="Arial"/>
                  <w:sz w:val="17"/>
                  <w:szCs w:val="17"/>
                  <w:color w:val="0000EE"/>
                </w:rPr>
                <w:t>of the Sarbanes-Oxley Act of 2002</w:t>
              </w:r>
            </w:hyperlink>
          </w:p>
        </w:tc>
        <w:tc>
          <w:tcPr>
            <w:tcW w:w="340" w:type="dxa"/>
            <w:vAlign w:val="bottom"/>
            <w:gridSpan w:val="4"/>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6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18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1"/>
        </w:trPr>
        <w:tc>
          <w:tcPr>
            <w:tcW w:w="620" w:type="dxa"/>
            <w:vAlign w:val="bottom"/>
            <w:gridSpan w:val="3"/>
          </w:tcPr>
          <w:p>
            <w:pPr>
              <w:jc w:val="center"/>
              <w:ind w:left="256"/>
              <w:spacing w:after="0"/>
              <w:rPr>
                <w:rFonts w:ascii="Arial" w:cs="Arial" w:eastAsia="Arial" w:hAnsi="Arial"/>
                <w:sz w:val="17"/>
                <w:szCs w:val="17"/>
                <w:color w:val="0000EE"/>
                <w:w w:val="84"/>
              </w:rPr>
            </w:pPr>
            <w:hyperlink w:anchor="page212">
              <w:r>
                <w:rPr>
                  <w:rFonts w:ascii="Arial" w:cs="Arial" w:eastAsia="Arial" w:hAnsi="Arial"/>
                  <w:sz w:val="17"/>
                  <w:szCs w:val="17"/>
                  <w:color w:val="0000EE"/>
                  <w:w w:val="84"/>
                </w:rPr>
                <w:t>13.</w:t>
              </w:r>
              <w:r>
                <w:rPr>
                  <w:rFonts w:ascii="Arial" w:cs="Arial" w:eastAsia="Arial" w:hAnsi="Arial"/>
                  <w:sz w:val="17"/>
                  <w:szCs w:val="17"/>
                  <w:u w:val="single" w:color="auto"/>
                  <w:color w:val="0000EE"/>
                  <w:w w:val="84"/>
                </w:rPr>
                <w:t>2</w:t>
              </w:r>
            </w:hyperlink>
          </w:p>
        </w:tc>
        <w:tc>
          <w:tcPr>
            <w:tcW w:w="440" w:type="dxa"/>
            <w:vAlign w:val="bottom"/>
          </w:tcPr>
          <w:p>
            <w:pPr>
              <w:spacing w:after="0"/>
              <w:rPr>
                <w:sz w:val="20"/>
                <w:szCs w:val="20"/>
                <w:color w:val="auto"/>
              </w:rPr>
            </w:pPr>
          </w:p>
        </w:tc>
        <w:tc>
          <w:tcPr>
            <w:tcW w:w="4700" w:type="dxa"/>
            <w:vAlign w:val="bottom"/>
            <w:gridSpan w:val="20"/>
          </w:tcPr>
          <w:p>
            <w:pPr>
              <w:spacing w:after="0"/>
              <w:rPr>
                <w:rFonts w:ascii="Arial" w:cs="Arial" w:eastAsia="Arial" w:hAnsi="Arial"/>
                <w:sz w:val="17"/>
                <w:szCs w:val="17"/>
                <w:color w:val="0000EE"/>
                <w:w w:val="95"/>
              </w:rPr>
            </w:pPr>
            <w:hyperlink w:anchor="page212">
              <w:r>
                <w:rPr>
                  <w:rFonts w:ascii="Arial" w:cs="Arial" w:eastAsia="Arial" w:hAnsi="Arial"/>
                  <w:sz w:val="17"/>
                  <w:szCs w:val="17"/>
                  <w:color w:val="0000EE"/>
                  <w:w w:val="95"/>
                </w:rPr>
                <w:t>Principal Financial Officer Certification Pursuant to Section 906 of</w:t>
              </w:r>
            </w:hyperlink>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181"/>
        </w:trPr>
        <w:tc>
          <w:tcPr>
            <w:tcW w:w="380" w:type="dxa"/>
            <w:vAlign w:val="bottom"/>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4500" w:type="dxa"/>
            <w:vAlign w:val="bottom"/>
            <w:tcBorders>
              <w:top w:val="single" w:sz="8" w:color="0000EE"/>
            </w:tcBorders>
            <w:gridSpan w:val="18"/>
          </w:tcPr>
          <w:p>
            <w:pPr>
              <w:spacing w:after="0" w:line="181" w:lineRule="exact"/>
              <w:rPr>
                <w:rFonts w:ascii="Arial" w:cs="Arial" w:eastAsia="Arial" w:hAnsi="Arial"/>
                <w:sz w:val="17"/>
                <w:szCs w:val="17"/>
                <w:color w:val="0000EE"/>
              </w:rPr>
            </w:pPr>
            <w:hyperlink w:anchor="page212">
              <w:r>
                <w:rPr>
                  <w:rFonts w:ascii="Arial" w:cs="Arial" w:eastAsia="Arial" w:hAnsi="Arial"/>
                  <w:sz w:val="17"/>
                  <w:szCs w:val="17"/>
                  <w:color w:val="0000EE"/>
                </w:rPr>
                <w:t>the Sarbanes-Oxley Act of 2002</w:t>
              </w:r>
            </w:hyperlink>
          </w:p>
        </w:tc>
        <w:tc>
          <w:tcPr>
            <w:tcW w:w="20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6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236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1"/>
        </w:trPr>
        <w:tc>
          <w:tcPr>
            <w:tcW w:w="620" w:type="dxa"/>
            <w:vAlign w:val="bottom"/>
            <w:gridSpan w:val="3"/>
          </w:tcPr>
          <w:p>
            <w:pPr>
              <w:jc w:val="center"/>
              <w:ind w:left="256"/>
              <w:spacing w:after="0"/>
              <w:rPr>
                <w:rFonts w:ascii="Arial" w:cs="Arial" w:eastAsia="Arial" w:hAnsi="Arial"/>
                <w:sz w:val="17"/>
                <w:szCs w:val="17"/>
                <w:color w:val="0000EE"/>
                <w:w w:val="84"/>
              </w:rPr>
            </w:pPr>
            <w:hyperlink w:anchor="page213">
              <w:r>
                <w:rPr>
                  <w:rFonts w:ascii="Arial" w:cs="Arial" w:eastAsia="Arial" w:hAnsi="Arial"/>
                  <w:sz w:val="17"/>
                  <w:szCs w:val="17"/>
                  <w:color w:val="0000EE"/>
                  <w:w w:val="84"/>
                </w:rPr>
                <w:t>15.</w:t>
              </w:r>
              <w:r>
                <w:rPr>
                  <w:rFonts w:ascii="Arial" w:cs="Arial" w:eastAsia="Arial" w:hAnsi="Arial"/>
                  <w:sz w:val="17"/>
                  <w:szCs w:val="17"/>
                  <w:u w:val="single" w:color="auto"/>
                  <w:color w:val="0000EE"/>
                  <w:w w:val="84"/>
                </w:rPr>
                <w:t>1</w:t>
              </w:r>
            </w:hyperlink>
          </w:p>
        </w:tc>
        <w:tc>
          <w:tcPr>
            <w:tcW w:w="440" w:type="dxa"/>
            <w:vAlign w:val="bottom"/>
          </w:tcPr>
          <w:p>
            <w:pPr>
              <w:spacing w:after="0"/>
              <w:rPr>
                <w:sz w:val="20"/>
                <w:szCs w:val="20"/>
                <w:color w:val="auto"/>
              </w:rPr>
            </w:pPr>
          </w:p>
        </w:tc>
        <w:tc>
          <w:tcPr>
            <w:tcW w:w="4700" w:type="dxa"/>
            <w:vAlign w:val="bottom"/>
            <w:gridSpan w:val="20"/>
          </w:tcPr>
          <w:p>
            <w:pPr>
              <w:spacing w:after="0"/>
              <w:rPr>
                <w:rFonts w:ascii="Arial" w:cs="Arial" w:eastAsia="Arial" w:hAnsi="Arial"/>
                <w:sz w:val="17"/>
                <w:szCs w:val="17"/>
                <w:color w:val="0000EE"/>
                <w:w w:val="92"/>
              </w:rPr>
            </w:pPr>
            <w:hyperlink w:anchor="page213">
              <w:r>
                <w:rPr>
                  <w:rFonts w:ascii="Arial" w:cs="Arial" w:eastAsia="Arial" w:hAnsi="Arial"/>
                  <w:sz w:val="17"/>
                  <w:szCs w:val="17"/>
                  <w:color w:val="0000EE"/>
                  <w:w w:val="92"/>
                </w:rPr>
                <w:t>Consent of Kost, Forer, Gabbay and Kasierer, a member of Ernst &amp;</w:t>
              </w:r>
            </w:hyperlink>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181"/>
        </w:trPr>
        <w:tc>
          <w:tcPr>
            <w:tcW w:w="380" w:type="dxa"/>
            <w:vAlign w:val="bottom"/>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4520" w:type="dxa"/>
            <w:vAlign w:val="bottom"/>
            <w:tcBorders>
              <w:top w:val="single" w:sz="8" w:color="0000EE"/>
            </w:tcBorders>
            <w:gridSpan w:val="19"/>
          </w:tcPr>
          <w:p>
            <w:pPr>
              <w:spacing w:after="0" w:line="181" w:lineRule="exact"/>
              <w:rPr>
                <w:rFonts w:ascii="Arial" w:cs="Arial" w:eastAsia="Arial" w:hAnsi="Arial"/>
                <w:sz w:val="17"/>
                <w:szCs w:val="17"/>
                <w:color w:val="0000EE"/>
              </w:rPr>
            </w:pPr>
            <w:hyperlink w:anchor="page213">
              <w:r>
                <w:rPr>
                  <w:rFonts w:ascii="Arial" w:cs="Arial" w:eastAsia="Arial" w:hAnsi="Arial"/>
                  <w:sz w:val="17"/>
                  <w:szCs w:val="17"/>
                  <w:color w:val="0000EE"/>
                </w:rPr>
                <w:t>Young Global.</w:t>
              </w:r>
            </w:hyperlink>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
        </w:trPr>
        <w:tc>
          <w:tcPr>
            <w:tcW w:w="1060" w:type="dxa"/>
            <w:vAlign w:val="bottom"/>
            <w:gridSpan w:val="4"/>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720" w:type="dxa"/>
            <w:vAlign w:val="bottom"/>
            <w:gridSpan w:val="1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6"/>
        </w:trPr>
        <w:tc>
          <w:tcPr>
            <w:tcW w:w="1060" w:type="dxa"/>
            <w:vAlign w:val="bottom"/>
            <w:gridSpan w:val="4"/>
          </w:tcPr>
          <w:p>
            <w:pPr>
              <w:jc w:val="center"/>
              <w:ind w:right="20"/>
              <w:spacing w:after="0"/>
              <w:rPr>
                <w:sz w:val="20"/>
                <w:szCs w:val="20"/>
                <w:color w:val="auto"/>
              </w:rPr>
            </w:pPr>
            <w:r>
              <w:rPr>
                <w:rFonts w:ascii="Arial" w:cs="Arial" w:eastAsia="Arial" w:hAnsi="Arial"/>
                <w:sz w:val="17"/>
                <w:szCs w:val="17"/>
                <w:color w:val="auto"/>
                <w:w w:val="91"/>
              </w:rPr>
              <w:t>101.INS</w:t>
            </w:r>
          </w:p>
        </w:tc>
        <w:tc>
          <w:tcPr>
            <w:tcW w:w="4700" w:type="dxa"/>
            <w:vAlign w:val="bottom"/>
            <w:gridSpan w:val="20"/>
          </w:tcPr>
          <w:p>
            <w:pPr>
              <w:spacing w:after="0"/>
              <w:rPr>
                <w:sz w:val="20"/>
                <w:szCs w:val="20"/>
                <w:color w:val="auto"/>
              </w:rPr>
            </w:pPr>
            <w:r>
              <w:rPr>
                <w:rFonts w:ascii="Arial" w:cs="Arial" w:eastAsia="Arial" w:hAnsi="Arial"/>
                <w:sz w:val="17"/>
                <w:szCs w:val="17"/>
                <w:color w:val="auto"/>
                <w:w w:val="94"/>
              </w:rPr>
              <w:t>Inline XBRL Instance Document - the instance document does not</w:t>
            </w:r>
          </w:p>
        </w:tc>
        <w:tc>
          <w:tcPr>
            <w:tcW w:w="9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01"/>
        </w:trPr>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00" w:type="dxa"/>
            <w:vAlign w:val="bottom"/>
            <w:gridSpan w:val="20"/>
          </w:tcPr>
          <w:p>
            <w:pPr>
              <w:spacing w:after="0"/>
              <w:rPr>
                <w:sz w:val="20"/>
                <w:szCs w:val="20"/>
                <w:color w:val="auto"/>
              </w:rPr>
            </w:pPr>
            <w:r>
              <w:rPr>
                <w:rFonts w:ascii="Arial" w:cs="Arial" w:eastAsia="Arial" w:hAnsi="Arial"/>
                <w:sz w:val="17"/>
                <w:szCs w:val="17"/>
                <w:color w:val="auto"/>
              </w:rPr>
              <w:t>appear in the Interactive Data File because XBRL tags are</w:t>
            </w:r>
          </w:p>
        </w:tc>
        <w:tc>
          <w:tcPr>
            <w:tcW w:w="9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3"/>
        </w:trPr>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0"/>
          </w:tcPr>
          <w:p>
            <w:pPr>
              <w:spacing w:after="0"/>
              <w:rPr>
                <w:sz w:val="20"/>
                <w:szCs w:val="20"/>
                <w:color w:val="auto"/>
              </w:rPr>
            </w:pPr>
            <w:r>
              <w:rPr>
                <w:rFonts w:ascii="Arial" w:cs="Arial" w:eastAsia="Arial" w:hAnsi="Arial"/>
                <w:sz w:val="17"/>
                <w:szCs w:val="17"/>
                <w:color w:val="auto"/>
              </w:rPr>
              <w:t>embedded within the Inline XBRL document.</w:t>
            </w: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1"/>
        </w:trPr>
        <w:tc>
          <w:tcPr>
            <w:tcW w:w="1060" w:type="dxa"/>
            <w:vAlign w:val="bottom"/>
            <w:gridSpan w:val="4"/>
          </w:tcPr>
          <w:p>
            <w:pPr>
              <w:jc w:val="center"/>
              <w:spacing w:after="0"/>
              <w:rPr>
                <w:sz w:val="20"/>
                <w:szCs w:val="20"/>
                <w:color w:val="auto"/>
              </w:rPr>
            </w:pPr>
            <w:r>
              <w:rPr>
                <w:rFonts w:ascii="Arial" w:cs="Arial" w:eastAsia="Arial" w:hAnsi="Arial"/>
                <w:sz w:val="17"/>
                <w:szCs w:val="17"/>
                <w:color w:val="auto"/>
                <w:w w:val="89"/>
              </w:rPr>
              <w:t>101.SCH</w:t>
            </w:r>
          </w:p>
        </w:tc>
        <w:tc>
          <w:tcPr>
            <w:tcW w:w="4700" w:type="dxa"/>
            <w:vAlign w:val="bottom"/>
            <w:gridSpan w:val="20"/>
          </w:tcPr>
          <w:p>
            <w:pPr>
              <w:spacing w:after="0"/>
              <w:rPr>
                <w:sz w:val="20"/>
                <w:szCs w:val="20"/>
                <w:color w:val="auto"/>
              </w:rPr>
            </w:pPr>
            <w:r>
              <w:rPr>
                <w:rFonts w:ascii="Arial" w:cs="Arial" w:eastAsia="Arial" w:hAnsi="Arial"/>
                <w:sz w:val="17"/>
                <w:szCs w:val="17"/>
                <w:color w:val="auto"/>
              </w:rPr>
              <w:t>Inline XBRL Taxonomy Extension Schema Document.</w:t>
            </w:r>
          </w:p>
        </w:tc>
        <w:tc>
          <w:tcPr>
            <w:tcW w:w="9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39"/>
        </w:trPr>
        <w:tc>
          <w:tcPr>
            <w:tcW w:w="1060" w:type="dxa"/>
            <w:vAlign w:val="bottom"/>
            <w:gridSpan w:val="4"/>
          </w:tcPr>
          <w:p>
            <w:pPr>
              <w:jc w:val="center"/>
              <w:ind w:right="20"/>
              <w:spacing w:after="0"/>
              <w:rPr>
                <w:sz w:val="20"/>
                <w:szCs w:val="20"/>
                <w:color w:val="auto"/>
              </w:rPr>
            </w:pPr>
            <w:r>
              <w:rPr>
                <w:rFonts w:ascii="Arial" w:cs="Arial" w:eastAsia="Arial" w:hAnsi="Arial"/>
                <w:sz w:val="17"/>
                <w:szCs w:val="17"/>
                <w:color w:val="auto"/>
                <w:w w:val="96"/>
              </w:rPr>
              <w:t>101.CAL</w:t>
            </w:r>
          </w:p>
        </w:tc>
        <w:tc>
          <w:tcPr>
            <w:tcW w:w="4700" w:type="dxa"/>
            <w:vAlign w:val="bottom"/>
            <w:gridSpan w:val="20"/>
          </w:tcPr>
          <w:p>
            <w:pPr>
              <w:spacing w:after="0"/>
              <w:rPr>
                <w:sz w:val="20"/>
                <w:szCs w:val="20"/>
                <w:color w:val="auto"/>
              </w:rPr>
            </w:pPr>
            <w:r>
              <w:rPr>
                <w:rFonts w:ascii="Arial" w:cs="Arial" w:eastAsia="Arial" w:hAnsi="Arial"/>
                <w:sz w:val="17"/>
                <w:szCs w:val="17"/>
                <w:color w:val="auto"/>
              </w:rPr>
              <w:t>Inline XBRL Taxonomy Extension Calculation Linkbase</w:t>
            </w: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3"/>
        </w:trPr>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0"/>
          </w:tcPr>
          <w:p>
            <w:pPr>
              <w:spacing w:after="0"/>
              <w:rPr>
                <w:sz w:val="20"/>
                <w:szCs w:val="20"/>
                <w:color w:val="auto"/>
              </w:rPr>
            </w:pPr>
            <w:r>
              <w:rPr>
                <w:rFonts w:ascii="Arial" w:cs="Arial" w:eastAsia="Arial" w:hAnsi="Arial"/>
                <w:sz w:val="17"/>
                <w:szCs w:val="17"/>
                <w:color w:val="auto"/>
              </w:rPr>
              <w:t>Document.</w:t>
            </w: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1"/>
        </w:trPr>
        <w:tc>
          <w:tcPr>
            <w:tcW w:w="1060" w:type="dxa"/>
            <w:vAlign w:val="bottom"/>
            <w:gridSpan w:val="4"/>
          </w:tcPr>
          <w:p>
            <w:pPr>
              <w:jc w:val="center"/>
              <w:ind w:right="20"/>
              <w:spacing w:after="0"/>
              <w:rPr>
                <w:sz w:val="20"/>
                <w:szCs w:val="20"/>
                <w:color w:val="auto"/>
              </w:rPr>
            </w:pPr>
            <w:r>
              <w:rPr>
                <w:rFonts w:ascii="Arial" w:cs="Arial" w:eastAsia="Arial" w:hAnsi="Arial"/>
                <w:sz w:val="17"/>
                <w:szCs w:val="17"/>
                <w:color w:val="auto"/>
                <w:w w:val="89"/>
              </w:rPr>
              <w:t>101.DEF</w:t>
            </w:r>
          </w:p>
        </w:tc>
        <w:tc>
          <w:tcPr>
            <w:tcW w:w="4700" w:type="dxa"/>
            <w:vAlign w:val="bottom"/>
            <w:gridSpan w:val="20"/>
          </w:tcPr>
          <w:p>
            <w:pPr>
              <w:spacing w:after="0"/>
              <w:rPr>
                <w:sz w:val="20"/>
                <w:szCs w:val="20"/>
                <w:color w:val="auto"/>
              </w:rPr>
            </w:pPr>
            <w:r>
              <w:rPr>
                <w:rFonts w:ascii="Arial" w:cs="Arial" w:eastAsia="Arial" w:hAnsi="Arial"/>
                <w:sz w:val="17"/>
                <w:szCs w:val="17"/>
                <w:color w:val="auto"/>
              </w:rPr>
              <w:t>Inline XBRL Taxonomy Definition Linkbase Document.</w:t>
            </w:r>
          </w:p>
        </w:tc>
        <w:tc>
          <w:tcPr>
            <w:tcW w:w="9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51"/>
        </w:trPr>
        <w:tc>
          <w:tcPr>
            <w:tcW w:w="1060" w:type="dxa"/>
            <w:vAlign w:val="bottom"/>
            <w:gridSpan w:val="4"/>
          </w:tcPr>
          <w:p>
            <w:pPr>
              <w:jc w:val="center"/>
              <w:ind w:right="20"/>
              <w:spacing w:after="0"/>
              <w:rPr>
                <w:sz w:val="20"/>
                <w:szCs w:val="20"/>
                <w:color w:val="auto"/>
              </w:rPr>
            </w:pPr>
            <w:r>
              <w:rPr>
                <w:rFonts w:ascii="Arial" w:cs="Arial" w:eastAsia="Arial" w:hAnsi="Arial"/>
                <w:sz w:val="17"/>
                <w:szCs w:val="17"/>
                <w:color w:val="auto"/>
                <w:w w:val="98"/>
              </w:rPr>
              <w:t>101.LAB</w:t>
            </w:r>
          </w:p>
        </w:tc>
        <w:tc>
          <w:tcPr>
            <w:tcW w:w="4700" w:type="dxa"/>
            <w:vAlign w:val="bottom"/>
            <w:gridSpan w:val="20"/>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9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39"/>
        </w:trPr>
        <w:tc>
          <w:tcPr>
            <w:tcW w:w="1060" w:type="dxa"/>
            <w:vAlign w:val="bottom"/>
            <w:gridSpan w:val="4"/>
          </w:tcPr>
          <w:p>
            <w:pPr>
              <w:jc w:val="center"/>
              <w:ind w:right="20"/>
              <w:spacing w:after="0"/>
              <w:rPr>
                <w:sz w:val="20"/>
                <w:szCs w:val="20"/>
                <w:color w:val="auto"/>
              </w:rPr>
            </w:pPr>
            <w:r>
              <w:rPr>
                <w:rFonts w:ascii="Arial" w:cs="Arial" w:eastAsia="Arial" w:hAnsi="Arial"/>
                <w:sz w:val="17"/>
                <w:szCs w:val="17"/>
                <w:color w:val="auto"/>
                <w:w w:val="88"/>
              </w:rPr>
              <w:t>101.PRE</w:t>
            </w:r>
          </w:p>
        </w:tc>
        <w:tc>
          <w:tcPr>
            <w:tcW w:w="4700" w:type="dxa"/>
            <w:vAlign w:val="bottom"/>
            <w:gridSpan w:val="20"/>
          </w:tcPr>
          <w:p>
            <w:pPr>
              <w:spacing w:after="0"/>
              <w:rPr>
                <w:sz w:val="20"/>
                <w:szCs w:val="20"/>
                <w:color w:val="auto"/>
              </w:rPr>
            </w:pPr>
            <w:r>
              <w:rPr>
                <w:rFonts w:ascii="Arial" w:cs="Arial" w:eastAsia="Arial" w:hAnsi="Arial"/>
                <w:sz w:val="17"/>
                <w:szCs w:val="17"/>
                <w:color w:val="auto"/>
              </w:rPr>
              <w:t>Inline XBRL Taxonomy Extension Presentation Linkbase</w:t>
            </w: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3"/>
        </w:trPr>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0"/>
          </w:tcPr>
          <w:p>
            <w:pPr>
              <w:spacing w:after="0"/>
              <w:rPr>
                <w:sz w:val="20"/>
                <w:szCs w:val="20"/>
                <w:color w:val="auto"/>
              </w:rPr>
            </w:pPr>
            <w:r>
              <w:rPr>
                <w:rFonts w:ascii="Arial" w:cs="Arial" w:eastAsia="Arial" w:hAnsi="Arial"/>
                <w:sz w:val="17"/>
                <w:szCs w:val="17"/>
                <w:color w:val="auto"/>
              </w:rPr>
              <w:t>Document</w:t>
            </w: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9"/>
        </w:trPr>
        <w:tc>
          <w:tcPr>
            <w:tcW w:w="620" w:type="dxa"/>
            <w:vAlign w:val="bottom"/>
            <w:gridSpan w:val="3"/>
          </w:tcPr>
          <w:p>
            <w:pPr>
              <w:jc w:val="center"/>
              <w:ind w:left="296"/>
              <w:spacing w:after="0"/>
              <w:rPr>
                <w:sz w:val="20"/>
                <w:szCs w:val="20"/>
                <w:color w:val="auto"/>
              </w:rPr>
            </w:pPr>
            <w:r>
              <w:rPr>
                <w:rFonts w:ascii="Arial" w:cs="Arial" w:eastAsia="Arial" w:hAnsi="Arial"/>
                <w:sz w:val="17"/>
                <w:szCs w:val="17"/>
                <w:color w:val="auto"/>
                <w:w w:val="84"/>
              </w:rPr>
              <w:t>104</w:t>
            </w:r>
          </w:p>
        </w:tc>
        <w:tc>
          <w:tcPr>
            <w:tcW w:w="440" w:type="dxa"/>
            <w:vAlign w:val="bottom"/>
          </w:tcPr>
          <w:p>
            <w:pPr>
              <w:spacing w:after="0"/>
              <w:rPr>
                <w:sz w:val="20"/>
                <w:szCs w:val="20"/>
                <w:color w:val="auto"/>
              </w:rPr>
            </w:pPr>
          </w:p>
        </w:tc>
        <w:tc>
          <w:tcPr>
            <w:tcW w:w="4700" w:type="dxa"/>
            <w:vAlign w:val="bottom"/>
            <w:gridSpan w:val="20"/>
          </w:tcPr>
          <w:p>
            <w:pPr>
              <w:spacing w:after="0"/>
              <w:rPr>
                <w:sz w:val="20"/>
                <w:szCs w:val="20"/>
                <w:color w:val="auto"/>
              </w:rPr>
            </w:pPr>
            <w:r>
              <w:rPr>
                <w:rFonts w:ascii="Arial" w:cs="Arial" w:eastAsia="Arial" w:hAnsi="Arial"/>
                <w:sz w:val="17"/>
                <w:szCs w:val="17"/>
                <w:color w:val="auto"/>
                <w:w w:val="95"/>
              </w:rPr>
              <w:t>Inline XBRL for the cover page of this Annual Report on Form 20-</w:t>
            </w:r>
          </w:p>
        </w:tc>
        <w:tc>
          <w:tcPr>
            <w:tcW w:w="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3"/>
        </w:trPr>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gridSpan w:val="20"/>
          </w:tcPr>
          <w:p>
            <w:pPr>
              <w:spacing w:after="0"/>
              <w:rPr>
                <w:sz w:val="20"/>
                <w:szCs w:val="20"/>
                <w:color w:val="auto"/>
              </w:rPr>
            </w:pPr>
            <w:r>
              <w:rPr>
                <w:rFonts w:ascii="Arial" w:cs="Arial" w:eastAsia="Arial" w:hAnsi="Arial"/>
                <w:sz w:val="17"/>
                <w:szCs w:val="17"/>
                <w:color w:val="auto"/>
              </w:rPr>
              <w:t>F, included in the Exhibit 101 Inline XBRL Document Set.</w:t>
            </w: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214" w:lineRule="exact"/>
        <w:rPr>
          <w:sz w:val="20"/>
          <w:szCs w:val="20"/>
          <w:color w:val="auto"/>
        </w:rPr>
      </w:pPr>
    </w:p>
    <w:p>
      <w:pPr>
        <w:ind w:left="360" w:hanging="360"/>
        <w:spacing w:after="0"/>
        <w:tabs>
          <w:tab w:leader="none" w:pos="3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8" w:lineRule="exact"/>
        <w:rPr>
          <w:sz w:val="20"/>
          <w:szCs w:val="20"/>
          <w:color w:val="auto"/>
        </w:rPr>
      </w:pPr>
    </w:p>
    <w:p>
      <w:pPr>
        <w:ind w:left="360" w:hanging="360"/>
        <w:spacing w:after="0"/>
        <w:tabs>
          <w:tab w:leader="none" w:pos="3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5" w:lineRule="exact"/>
        <w:rPr>
          <w:sz w:val="20"/>
          <w:szCs w:val="20"/>
          <w:color w:val="auto"/>
        </w:rPr>
      </w:pPr>
    </w:p>
    <w:p>
      <w:pPr>
        <w:ind w:left="360" w:hanging="360"/>
        <w:spacing w:after="0"/>
        <w:tabs>
          <w:tab w:leader="none" w:pos="3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 or arrangement.</w:t>
      </w:r>
    </w:p>
    <w:p>
      <w:pPr>
        <w:spacing w:after="0" w:line="194"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Certain agreements filed as exhibits to this Annual Report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4" w:name="page145"/>
    <w:bookmarkEnd w:id="144"/>
    <w:p>
      <w:pPr>
        <w:jc w:val="center"/>
        <w:ind w:right="-159"/>
        <w:spacing w:after="0"/>
        <w:rPr>
          <w:sz w:val="20"/>
          <w:szCs w:val="20"/>
          <w:color w:val="auto"/>
        </w:rPr>
      </w:pPr>
      <w:r>
        <w:rPr>
          <w:rFonts w:ascii="Arial" w:cs="Arial" w:eastAsia="Arial" w:hAnsi="Arial"/>
          <w:sz w:val="17"/>
          <w:szCs w:val="17"/>
          <w:b w:val="1"/>
          <w:bCs w:val="1"/>
          <w:color w:val="auto"/>
        </w:rPr>
        <w:t>SIGNATURES</w:t>
      </w:r>
    </w:p>
    <w:p>
      <w:pPr>
        <w:spacing w:after="0" w:line="210" w:lineRule="exact"/>
        <w:rPr>
          <w:sz w:val="20"/>
          <w:szCs w:val="20"/>
          <w:color w:val="auto"/>
        </w:rPr>
      </w:pPr>
    </w:p>
    <w:p>
      <w:pPr>
        <w:ind w:firstLine="603"/>
        <w:spacing w:after="0" w:line="268" w:lineRule="auto"/>
        <w:rPr>
          <w:sz w:val="20"/>
          <w:szCs w:val="20"/>
          <w:color w:val="auto"/>
        </w:rPr>
      </w:pPr>
      <w:r>
        <w:rPr>
          <w:rFonts w:ascii="Arial" w:cs="Arial" w:eastAsia="Arial" w:hAnsi="Arial"/>
          <w:sz w:val="17"/>
          <w:szCs w:val="17"/>
          <w:color w:val="auto"/>
        </w:rPr>
        <w:t>The registrant hereby certifies that it meets all of the requirements for filing on Form 20-F and that it has duly caused and authorized the undersigned to sign this annual report on its behalf.</w:t>
      </w:r>
    </w:p>
    <w:p>
      <w:pPr>
        <w:spacing w:after="0" w:line="162"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WALKME LTD</w:t>
      </w:r>
      <w:r>
        <w:rPr>
          <w:rFonts w:ascii="Arial" w:cs="Arial" w:eastAsia="Arial" w:hAnsi="Arial"/>
          <w:sz w:val="17"/>
          <w:szCs w:val="17"/>
          <w:color w:val="auto"/>
        </w:rPr>
        <w:t>.</w:t>
      </w:r>
    </w:p>
    <w:p>
      <w:pPr>
        <w:spacing w:after="0" w:line="210"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7"/>
          <w:szCs w:val="17"/>
          <w:color w:val="auto"/>
        </w:rPr>
        <w:t>Date: March 24,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Dan Adika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11430</wp:posOffset>
            </wp:positionV>
            <wp:extent cx="1849120"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1849120" cy="1587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Name:Dan Adika</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Title: Chief Executive Officer</w:t>
      </w:r>
    </w:p>
    <w:p>
      <w:pPr>
        <w:spacing w:after="0" w:line="194"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7"/>
          <w:szCs w:val="17"/>
          <w:color w:val="auto"/>
        </w:rPr>
        <w:t>Date: March 24,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Andrew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11430</wp:posOffset>
            </wp:positionV>
            <wp:extent cx="1849120" cy="15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1849120" cy="1587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 Andrew Casey</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Title: Chief Financial Officer</w:t>
      </w:r>
    </w:p>
    <w:p>
      <w:pPr>
        <w:spacing w:after="0" w:line="35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080"/>
          </w:cols>
          <w:pgMar w:left="320" w:top="123" w:right="49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17"/>
        </w:trPr>
        <w:tc>
          <w:tcPr>
            <w:tcW w:w="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60" w:type="dxa"/>
            <w:vAlign w:val="bottom"/>
            <w:gridSpan w:val="3"/>
          </w:tcPr>
          <w:p>
            <w:pPr>
              <w:jc w:val="center"/>
              <w:ind w:right="1940"/>
              <w:spacing w:after="0"/>
              <w:rPr>
                <w:sz w:val="20"/>
                <w:szCs w:val="20"/>
                <w:color w:val="auto"/>
              </w:rPr>
            </w:pPr>
            <w:r>
              <w:rPr>
                <w:rFonts w:ascii="Arial" w:cs="Arial" w:eastAsia="Arial" w:hAnsi="Arial"/>
                <w:sz w:val="17"/>
                <w:szCs w:val="17"/>
                <w:b w:val="1"/>
                <w:bCs w:val="1"/>
                <w:color w:val="auto"/>
                <w:w w:val="98"/>
              </w:rPr>
              <w:t>WALKME LTD. AND ITS SUBSIDIARIES</w:t>
            </w:r>
          </w:p>
        </w:tc>
        <w:tc>
          <w:tcPr>
            <w:tcW w:w="1560" w:type="dxa"/>
            <w:vAlign w:val="bottom"/>
          </w:tcPr>
          <w:p>
            <w:pPr>
              <w:spacing w:after="0"/>
              <w:rPr>
                <w:sz w:val="18"/>
                <w:szCs w:val="18"/>
                <w:color w:val="auto"/>
              </w:rPr>
            </w:pPr>
          </w:p>
        </w:tc>
      </w:tr>
      <w:tr>
        <w:trPr>
          <w:trHeight w:val="402"/>
        </w:trPr>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gridSpan w:val="3"/>
          </w:tcPr>
          <w:p>
            <w:pPr>
              <w:jc w:val="center"/>
              <w:ind w:right="1940"/>
              <w:spacing w:after="0"/>
              <w:rPr>
                <w:sz w:val="20"/>
                <w:szCs w:val="20"/>
                <w:color w:val="auto"/>
              </w:rPr>
            </w:pPr>
            <w:r>
              <w:rPr>
                <w:rFonts w:ascii="Arial" w:cs="Arial" w:eastAsia="Arial" w:hAnsi="Arial"/>
                <w:sz w:val="17"/>
                <w:szCs w:val="17"/>
                <w:b w:val="1"/>
                <w:bCs w:val="1"/>
                <w:color w:val="auto"/>
                <w:w w:val="99"/>
              </w:rPr>
              <w:t>CONSOLIDATED FINANCIAL STATEMENTS</w:t>
            </w:r>
          </w:p>
        </w:tc>
        <w:tc>
          <w:tcPr>
            <w:tcW w:w="1560" w:type="dxa"/>
            <w:vAlign w:val="bottom"/>
          </w:tcPr>
          <w:p>
            <w:pPr>
              <w:spacing w:after="0"/>
              <w:rPr>
                <w:sz w:val="24"/>
                <w:szCs w:val="24"/>
                <w:color w:val="auto"/>
              </w:rPr>
            </w:pPr>
          </w:p>
        </w:tc>
      </w:tr>
      <w:tr>
        <w:trPr>
          <w:trHeight w:val="402"/>
        </w:trPr>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40" w:type="dxa"/>
            <w:vAlign w:val="bottom"/>
            <w:gridSpan w:val="2"/>
          </w:tcPr>
          <w:p>
            <w:pPr>
              <w:jc w:val="center"/>
              <w:ind w:right="2680"/>
              <w:spacing w:after="0"/>
              <w:rPr>
                <w:sz w:val="20"/>
                <w:szCs w:val="20"/>
                <w:color w:val="auto"/>
              </w:rPr>
            </w:pPr>
            <w:r>
              <w:rPr>
                <w:rFonts w:ascii="Arial" w:cs="Arial" w:eastAsia="Arial" w:hAnsi="Arial"/>
                <w:sz w:val="17"/>
                <w:szCs w:val="17"/>
                <w:b w:val="1"/>
                <w:bCs w:val="1"/>
                <w:color w:val="auto"/>
                <w:w w:val="94"/>
              </w:rPr>
              <w:t>AS OF DECEMBER 31, 2021</w:t>
            </w:r>
          </w:p>
        </w:tc>
        <w:tc>
          <w:tcPr>
            <w:tcW w:w="1560" w:type="dxa"/>
            <w:vAlign w:val="bottom"/>
          </w:tcPr>
          <w:p>
            <w:pPr>
              <w:spacing w:after="0"/>
              <w:rPr>
                <w:sz w:val="24"/>
                <w:szCs w:val="24"/>
                <w:color w:val="auto"/>
              </w:rPr>
            </w:pPr>
          </w:p>
        </w:tc>
      </w:tr>
      <w:tr>
        <w:trPr>
          <w:trHeight w:val="402"/>
        </w:trPr>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40" w:type="dxa"/>
            <w:vAlign w:val="bottom"/>
            <w:gridSpan w:val="2"/>
          </w:tcPr>
          <w:p>
            <w:pPr>
              <w:jc w:val="center"/>
              <w:ind w:right="2680"/>
              <w:spacing w:after="0"/>
              <w:rPr>
                <w:sz w:val="20"/>
                <w:szCs w:val="20"/>
                <w:color w:val="auto"/>
              </w:rPr>
            </w:pPr>
            <w:r>
              <w:rPr>
                <w:rFonts w:ascii="Arial" w:cs="Arial" w:eastAsia="Arial" w:hAnsi="Arial"/>
                <w:sz w:val="17"/>
                <w:szCs w:val="17"/>
                <w:b w:val="1"/>
                <w:bCs w:val="1"/>
                <w:color w:val="auto"/>
                <w:w w:val="97"/>
              </w:rPr>
              <w:t>IN U.S. DOLLARS IN THOUSANDS</w:t>
            </w:r>
          </w:p>
        </w:tc>
        <w:tc>
          <w:tcPr>
            <w:tcW w:w="1560" w:type="dxa"/>
            <w:vAlign w:val="bottom"/>
          </w:tcPr>
          <w:p>
            <w:pPr>
              <w:spacing w:after="0"/>
              <w:rPr>
                <w:sz w:val="24"/>
                <w:szCs w:val="24"/>
                <w:color w:val="auto"/>
              </w:rPr>
            </w:pPr>
          </w:p>
        </w:tc>
      </w:tr>
      <w:tr>
        <w:trPr>
          <w:trHeight w:val="402"/>
        </w:trPr>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40" w:type="dxa"/>
            <w:vAlign w:val="bottom"/>
            <w:gridSpan w:val="2"/>
          </w:tcPr>
          <w:p>
            <w:pPr>
              <w:jc w:val="center"/>
              <w:ind w:right="2660"/>
              <w:spacing w:after="0"/>
              <w:rPr>
                <w:sz w:val="20"/>
                <w:szCs w:val="20"/>
                <w:color w:val="auto"/>
              </w:rPr>
            </w:pPr>
            <w:r>
              <w:rPr>
                <w:rFonts w:ascii="Arial" w:cs="Arial" w:eastAsia="Arial" w:hAnsi="Arial"/>
                <w:sz w:val="17"/>
                <w:szCs w:val="17"/>
                <w:b w:val="1"/>
                <w:bCs w:val="1"/>
                <w:color w:val="auto"/>
              </w:rPr>
              <w:t>INDEX</w:t>
            </w:r>
          </w:p>
        </w:tc>
        <w:tc>
          <w:tcPr>
            <w:tcW w:w="1560" w:type="dxa"/>
            <w:vAlign w:val="bottom"/>
          </w:tcPr>
          <w:p>
            <w:pPr>
              <w:spacing w:after="0"/>
              <w:rPr>
                <w:sz w:val="24"/>
                <w:szCs w:val="24"/>
                <w:color w:val="auto"/>
              </w:rPr>
            </w:pPr>
          </w:p>
        </w:tc>
      </w:tr>
      <w:tr>
        <w:trPr>
          <w:trHeight w:val="407"/>
        </w:trPr>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3"/>
              </w:rPr>
              <w:t>Page</w:t>
            </w:r>
          </w:p>
        </w:tc>
      </w:tr>
      <w:tr>
        <w:trPr>
          <w:trHeight w:val="364"/>
        </w:trPr>
        <w:tc>
          <w:tcPr>
            <w:tcW w:w="60" w:type="dxa"/>
            <w:vAlign w:val="bottom"/>
          </w:tcPr>
          <w:p>
            <w:pPr>
              <w:spacing w:after="0"/>
              <w:rPr>
                <w:sz w:val="24"/>
                <w:szCs w:val="24"/>
                <w:color w:val="auto"/>
              </w:rPr>
            </w:pPr>
          </w:p>
        </w:tc>
        <w:tc>
          <w:tcPr>
            <w:tcW w:w="9620" w:type="dxa"/>
            <w:vAlign w:val="bottom"/>
            <w:gridSpan w:val="8"/>
          </w:tcPr>
          <w:p>
            <w:pPr>
              <w:spacing w:after="0"/>
              <w:rPr>
                <w:rFonts w:ascii="Arial" w:cs="Arial" w:eastAsia="Arial" w:hAnsi="Arial"/>
                <w:sz w:val="17"/>
                <w:szCs w:val="17"/>
                <w:b w:val="1"/>
                <w:bCs w:val="1"/>
                <w:color w:val="0000EE"/>
              </w:rPr>
            </w:pPr>
            <w:hyperlink w:anchor="page147">
              <w:r>
                <w:rPr>
                  <w:rFonts w:ascii="Arial" w:cs="Arial" w:eastAsia="Arial" w:hAnsi="Arial"/>
                  <w:sz w:val="17"/>
                  <w:szCs w:val="17"/>
                  <w:b w:val="1"/>
                  <w:bCs w:val="1"/>
                  <w:color w:val="0000EE"/>
                </w:rPr>
                <w:t xml:space="preserve">Report of Independent Registered Public Accounting Firm </w:t>
              </w:r>
            </w:hyperlink>
            <w:r>
              <w:rPr>
                <w:rFonts w:ascii="Arial" w:cs="Arial" w:eastAsia="Arial" w:hAnsi="Arial"/>
                <w:sz w:val="17"/>
                <w:szCs w:val="17"/>
                <w:b w:val="1"/>
                <w:bCs w:val="1"/>
                <w:color w:val="000000"/>
              </w:rPr>
              <w:t>(PCAOB</w:t>
            </w:r>
            <w:r>
              <w:rPr>
                <w:rFonts w:ascii="Arial" w:cs="Arial" w:eastAsia="Arial" w:hAnsi="Arial"/>
                <w:sz w:val="17"/>
                <w:szCs w:val="17"/>
                <w:b w:val="1"/>
                <w:bCs w:val="1"/>
                <w:color w:val="0000EE"/>
              </w:rPr>
              <w:t xml:space="preserve"> </w:t>
            </w:r>
            <w:r>
              <w:rPr>
                <w:rFonts w:ascii="Arial" w:cs="Arial" w:eastAsia="Arial" w:hAnsi="Arial"/>
                <w:sz w:val="17"/>
                <w:szCs w:val="17"/>
                <w:b w:val="1"/>
                <w:bCs w:val="1"/>
                <w:color w:val="000000"/>
              </w:rPr>
              <w:t>ID No. 1281)</w:t>
            </w: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3"/>
              </w:rPr>
              <w:t>F-2</w:t>
            </w:r>
          </w:p>
        </w:tc>
      </w:tr>
      <w:tr>
        <w:trPr>
          <w:trHeight w:val="382"/>
        </w:trPr>
        <w:tc>
          <w:tcPr>
            <w:tcW w:w="60" w:type="dxa"/>
            <w:vAlign w:val="bottom"/>
          </w:tcPr>
          <w:p>
            <w:pPr>
              <w:spacing w:after="0"/>
              <w:rPr>
                <w:sz w:val="24"/>
                <w:szCs w:val="24"/>
                <w:color w:val="auto"/>
              </w:rPr>
            </w:pPr>
          </w:p>
        </w:tc>
        <w:tc>
          <w:tcPr>
            <w:tcW w:w="2040" w:type="dxa"/>
            <w:vAlign w:val="bottom"/>
            <w:tcBorders>
              <w:top w:val="single" w:sz="8" w:color="0000EE"/>
              <w:bottom w:val="single" w:sz="8" w:color="0000EE"/>
            </w:tcBorders>
          </w:tcPr>
          <w:p>
            <w:pPr>
              <w:spacing w:after="0"/>
              <w:rPr>
                <w:rFonts w:ascii="Arial" w:cs="Arial" w:eastAsia="Arial" w:hAnsi="Arial"/>
                <w:sz w:val="17"/>
                <w:szCs w:val="17"/>
                <w:b w:val="1"/>
                <w:bCs w:val="1"/>
                <w:color w:val="0000EE"/>
                <w:w w:val="84"/>
              </w:rPr>
            </w:pPr>
            <w:hyperlink w:anchor="page148">
              <w:r>
                <w:rPr>
                  <w:rFonts w:ascii="Arial" w:cs="Arial" w:eastAsia="Arial" w:hAnsi="Arial"/>
                  <w:sz w:val="17"/>
                  <w:szCs w:val="17"/>
                  <w:b w:val="1"/>
                  <w:bCs w:val="1"/>
                  <w:color w:val="0000EE"/>
                  <w:w w:val="84"/>
                </w:rPr>
                <w:t>Consolidated Balance Sheets</w:t>
              </w:r>
            </w:hyperlink>
          </w:p>
        </w:tc>
        <w:tc>
          <w:tcPr>
            <w:tcW w:w="2140" w:type="dxa"/>
            <w:vAlign w:val="bottom"/>
            <w:tcBorders>
              <w:top w:val="single" w:sz="8" w:color="0000EE"/>
            </w:tcBorders>
            <w:gridSpan w:val="5"/>
          </w:tcPr>
          <w:p>
            <w:pPr>
              <w:spacing w:after="0"/>
              <w:rPr>
                <w:sz w:val="24"/>
                <w:szCs w:val="24"/>
                <w:color w:val="auto"/>
              </w:rPr>
            </w:pPr>
          </w:p>
        </w:tc>
        <w:tc>
          <w:tcPr>
            <w:tcW w:w="5440" w:type="dxa"/>
            <w:vAlign w:val="bottom"/>
            <w:gridSpan w:val="2"/>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3"/>
              </w:rPr>
              <w:t>F-3 - F-4</w:t>
            </w:r>
          </w:p>
        </w:tc>
      </w:tr>
      <w:tr>
        <w:trPr>
          <w:trHeight w:val="382"/>
        </w:trPr>
        <w:tc>
          <w:tcPr>
            <w:tcW w:w="60" w:type="dxa"/>
            <w:vAlign w:val="bottom"/>
          </w:tcPr>
          <w:p>
            <w:pPr>
              <w:spacing w:after="0"/>
              <w:rPr>
                <w:sz w:val="24"/>
                <w:szCs w:val="24"/>
                <w:color w:val="auto"/>
              </w:rPr>
            </w:pPr>
          </w:p>
        </w:tc>
        <w:tc>
          <w:tcPr>
            <w:tcW w:w="9620" w:type="dxa"/>
            <w:vAlign w:val="bottom"/>
            <w:gridSpan w:val="8"/>
          </w:tcPr>
          <w:p>
            <w:pPr>
              <w:spacing w:after="0"/>
              <w:rPr>
                <w:rFonts w:ascii="Arial" w:cs="Arial" w:eastAsia="Arial" w:hAnsi="Arial"/>
                <w:sz w:val="17"/>
                <w:szCs w:val="17"/>
                <w:b w:val="1"/>
                <w:bCs w:val="1"/>
                <w:color w:val="0000EE"/>
              </w:rPr>
            </w:pPr>
            <w:hyperlink w:anchor="page150">
              <w:r>
                <w:rPr>
                  <w:rFonts w:ascii="Arial" w:cs="Arial" w:eastAsia="Arial" w:hAnsi="Arial"/>
                  <w:sz w:val="17"/>
                  <w:szCs w:val="17"/>
                  <w:b w:val="1"/>
                  <w:bCs w:val="1"/>
                  <w:color w:val="0000EE"/>
                </w:rPr>
                <w:t>Consolidated Statements of Operations</w:t>
              </w:r>
            </w:hyperlink>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3"/>
              </w:rPr>
              <w:t>F-5</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82"/>
        </w:trPr>
        <w:tc>
          <w:tcPr>
            <w:tcW w:w="60" w:type="dxa"/>
            <w:vAlign w:val="bottom"/>
          </w:tcPr>
          <w:p>
            <w:pPr>
              <w:spacing w:after="0"/>
              <w:rPr>
                <w:sz w:val="24"/>
                <w:szCs w:val="24"/>
                <w:color w:val="auto"/>
              </w:rPr>
            </w:pPr>
          </w:p>
        </w:tc>
        <w:tc>
          <w:tcPr>
            <w:tcW w:w="9620" w:type="dxa"/>
            <w:vAlign w:val="bottom"/>
            <w:gridSpan w:val="8"/>
          </w:tcPr>
          <w:p>
            <w:pPr>
              <w:spacing w:after="0"/>
              <w:rPr>
                <w:rFonts w:ascii="Arial" w:cs="Arial" w:eastAsia="Arial" w:hAnsi="Arial"/>
                <w:sz w:val="17"/>
                <w:szCs w:val="17"/>
                <w:b w:val="1"/>
                <w:bCs w:val="1"/>
                <w:color w:val="0000EE"/>
              </w:rPr>
            </w:pPr>
            <w:hyperlink w:anchor="page151">
              <w:r>
                <w:rPr>
                  <w:rFonts w:ascii="Arial" w:cs="Arial" w:eastAsia="Arial" w:hAnsi="Arial"/>
                  <w:sz w:val="17"/>
                  <w:szCs w:val="17"/>
                  <w:b w:val="1"/>
                  <w:bCs w:val="1"/>
                  <w:color w:val="0000EE"/>
                </w:rPr>
                <w:t>Consolidated Statements of Comprehensive Loss</w:t>
              </w:r>
            </w:hyperlink>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3"/>
              </w:rPr>
              <w:t>F-6</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82"/>
        </w:trPr>
        <w:tc>
          <w:tcPr>
            <w:tcW w:w="60" w:type="dxa"/>
            <w:vAlign w:val="bottom"/>
          </w:tcPr>
          <w:p>
            <w:pPr>
              <w:spacing w:after="0"/>
              <w:rPr>
                <w:sz w:val="24"/>
                <w:szCs w:val="24"/>
                <w:color w:val="auto"/>
              </w:rPr>
            </w:pPr>
          </w:p>
        </w:tc>
        <w:tc>
          <w:tcPr>
            <w:tcW w:w="9620" w:type="dxa"/>
            <w:vAlign w:val="bottom"/>
            <w:gridSpan w:val="8"/>
          </w:tcPr>
          <w:p>
            <w:pPr>
              <w:spacing w:after="0"/>
              <w:rPr>
                <w:rFonts w:ascii="Arial" w:cs="Arial" w:eastAsia="Arial" w:hAnsi="Arial"/>
                <w:sz w:val="17"/>
                <w:szCs w:val="17"/>
                <w:b w:val="1"/>
                <w:bCs w:val="1"/>
                <w:color w:val="0000EE"/>
              </w:rPr>
            </w:pPr>
            <w:hyperlink w:anchor="page152">
              <w:r>
                <w:rPr>
                  <w:rFonts w:ascii="Arial" w:cs="Arial" w:eastAsia="Arial" w:hAnsi="Arial"/>
                  <w:sz w:val="17"/>
                  <w:szCs w:val="17"/>
                  <w:b w:val="1"/>
                  <w:bCs w:val="1"/>
                  <w:color w:val="0000EE"/>
                </w:rPr>
                <w:t>Consolidated Statements of Convertible Preferred Shares and Shareholders’ Equity (Deficit)</w:t>
              </w:r>
            </w:hyperlink>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3"/>
              </w:rPr>
              <w:t>F-7</w:t>
            </w:r>
          </w:p>
        </w:tc>
      </w:tr>
      <w:tr>
        <w:trPr>
          <w:trHeight w:val="382"/>
        </w:trPr>
        <w:tc>
          <w:tcPr>
            <w:tcW w:w="60" w:type="dxa"/>
            <w:vAlign w:val="bottom"/>
          </w:tcPr>
          <w:p>
            <w:pPr>
              <w:spacing w:after="0"/>
              <w:rPr>
                <w:sz w:val="24"/>
                <w:szCs w:val="24"/>
                <w:color w:val="auto"/>
              </w:rPr>
            </w:pPr>
          </w:p>
        </w:tc>
        <w:tc>
          <w:tcPr>
            <w:tcW w:w="6580" w:type="dxa"/>
            <w:vAlign w:val="bottom"/>
            <w:tcBorders>
              <w:top w:val="single" w:sz="8" w:color="0000EE"/>
            </w:tcBorders>
            <w:gridSpan w:val="7"/>
          </w:tcPr>
          <w:p>
            <w:pPr>
              <w:spacing w:after="0"/>
              <w:rPr>
                <w:rFonts w:ascii="Arial" w:cs="Arial" w:eastAsia="Arial" w:hAnsi="Arial"/>
                <w:sz w:val="17"/>
                <w:szCs w:val="17"/>
                <w:b w:val="1"/>
                <w:bCs w:val="1"/>
                <w:color w:val="0000EE"/>
              </w:rPr>
            </w:pPr>
            <w:hyperlink w:anchor="page153">
              <w:r>
                <w:rPr>
                  <w:rFonts w:ascii="Arial" w:cs="Arial" w:eastAsia="Arial" w:hAnsi="Arial"/>
                  <w:sz w:val="17"/>
                  <w:szCs w:val="17"/>
                  <w:b w:val="1"/>
                  <w:bCs w:val="1"/>
                  <w:color w:val="0000EE"/>
                </w:rPr>
                <w:t>Consolidated Statements of Cash Flows</w:t>
              </w:r>
            </w:hyperlink>
          </w:p>
        </w:tc>
        <w:tc>
          <w:tcPr>
            <w:tcW w:w="30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3"/>
              </w:rPr>
              <w:t>F-8</w:t>
            </w: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8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82"/>
        </w:trPr>
        <w:tc>
          <w:tcPr>
            <w:tcW w:w="60" w:type="dxa"/>
            <w:vAlign w:val="bottom"/>
          </w:tcPr>
          <w:p>
            <w:pPr>
              <w:spacing w:after="0"/>
              <w:rPr>
                <w:sz w:val="24"/>
                <w:szCs w:val="24"/>
                <w:color w:val="auto"/>
              </w:rPr>
            </w:pPr>
          </w:p>
        </w:tc>
        <w:tc>
          <w:tcPr>
            <w:tcW w:w="9620" w:type="dxa"/>
            <w:vAlign w:val="bottom"/>
            <w:gridSpan w:val="8"/>
          </w:tcPr>
          <w:p>
            <w:pPr>
              <w:spacing w:after="0"/>
              <w:rPr>
                <w:rFonts w:ascii="Arial" w:cs="Arial" w:eastAsia="Arial" w:hAnsi="Arial"/>
                <w:sz w:val="17"/>
                <w:szCs w:val="17"/>
                <w:b w:val="1"/>
                <w:bCs w:val="1"/>
                <w:color w:val="0000EE"/>
              </w:rPr>
            </w:pPr>
            <w:hyperlink w:anchor="page154">
              <w:r>
                <w:rPr>
                  <w:rFonts w:ascii="Arial" w:cs="Arial" w:eastAsia="Arial" w:hAnsi="Arial"/>
                  <w:sz w:val="17"/>
                  <w:szCs w:val="17"/>
                  <w:b w:val="1"/>
                  <w:bCs w:val="1"/>
                  <w:color w:val="0000EE"/>
                </w:rPr>
                <w:t>Notes to consolidated Financial Statements</w:t>
              </w:r>
            </w:hyperlink>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2"/>
              </w:rPr>
              <w:t xml:space="preserve">F-9 </w:t>
            </w:r>
            <w:r>
              <w:rPr>
                <w:rFonts w:ascii="Arial" w:cs="Arial" w:eastAsia="Arial" w:hAnsi="Arial"/>
                <w:sz w:val="17"/>
                <w:szCs w:val="17"/>
                <w:color w:val="auto"/>
                <w:w w:val="92"/>
              </w:rPr>
              <w:t>-</w:t>
            </w:r>
            <w:r>
              <w:rPr>
                <w:rFonts w:ascii="Arial" w:cs="Arial" w:eastAsia="Arial" w:hAnsi="Arial"/>
                <w:sz w:val="17"/>
                <w:szCs w:val="17"/>
                <w:b w:val="1"/>
                <w:bCs w:val="1"/>
                <w:color w:val="auto"/>
                <w:w w:val="92"/>
              </w:rPr>
              <w:t xml:space="preserve"> F-28</w:t>
            </w:r>
          </w:p>
        </w:tc>
      </w:tr>
      <w:tr>
        <w:trPr>
          <w:trHeight w:val="419"/>
        </w:trPr>
        <w:tc>
          <w:tcPr>
            <w:tcW w:w="60" w:type="dxa"/>
            <w:vAlign w:val="bottom"/>
          </w:tcPr>
          <w:p>
            <w:pPr>
              <w:spacing w:after="0"/>
              <w:rPr>
                <w:sz w:val="24"/>
                <w:szCs w:val="24"/>
                <w:color w:val="auto"/>
              </w:rPr>
            </w:pPr>
          </w:p>
        </w:tc>
        <w:tc>
          <w:tcPr>
            <w:tcW w:w="3040" w:type="dxa"/>
            <w:vAlign w:val="bottom"/>
            <w:tcBorders>
              <w:top w:val="single" w:sz="8" w:color="0000EE"/>
            </w:tcBorders>
            <w:gridSpan w:val="4"/>
          </w:tcPr>
          <w:p>
            <w:pPr>
              <w:spacing w:after="0"/>
              <w:rPr>
                <w:sz w:val="24"/>
                <w:szCs w:val="24"/>
                <w:color w:val="auto"/>
              </w:rPr>
            </w:pPr>
          </w:p>
        </w:tc>
        <w:tc>
          <w:tcPr>
            <w:tcW w:w="3540" w:type="dxa"/>
            <w:vAlign w:val="bottom"/>
            <w:gridSpan w:val="3"/>
          </w:tcPr>
          <w:p>
            <w:pPr>
              <w:jc w:val="center"/>
              <w:ind w:left="1436"/>
              <w:spacing w:after="0"/>
              <w:rPr>
                <w:sz w:val="20"/>
                <w:szCs w:val="20"/>
                <w:color w:val="auto"/>
              </w:rPr>
            </w:pPr>
            <w:r>
              <w:rPr>
                <w:rFonts w:ascii="Arial" w:cs="Arial" w:eastAsia="Arial" w:hAnsi="Arial"/>
                <w:sz w:val="17"/>
                <w:szCs w:val="17"/>
                <w:b w:val="1"/>
                <w:bCs w:val="1"/>
                <w:color w:val="auto"/>
                <w:w w:val="93"/>
              </w:rPr>
              <w:t>- - - - - - - - - - - - - - -</w:t>
            </w:r>
          </w:p>
        </w:tc>
        <w:tc>
          <w:tcPr>
            <w:tcW w:w="30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69"/>
        </w:trPr>
        <w:tc>
          <w:tcPr>
            <w:tcW w:w="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25" w:right="339" w:bottom="1440" w:gutter="0" w:footer="0" w:header="0"/>
        </w:sectPr>
      </w:pPr>
    </w:p>
    <w:bookmarkStart w:id="146" w:name="page147"/>
    <w:bookmarkEnd w:id="146"/>
    <w:p>
      <w:pPr>
        <w:ind w:left="28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216535</wp:posOffset>
            </wp:positionV>
            <wp:extent cx="749300" cy="8610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749300" cy="861060"/>
                    </a:xfrm>
                    <a:prstGeom prst="rect">
                      <a:avLst/>
                    </a:prstGeom>
                    <a:noFill/>
                  </pic:spPr>
                </pic:pic>
              </a:graphicData>
            </a:graphic>
          </wp:anchor>
        </w:drawing>
        <w:t>Kost Forer Gabbay &amp; Kasierer</w:t>
      </w:r>
    </w:p>
    <w:p>
      <w:pPr>
        <w:spacing w:after="0" w:line="22" w:lineRule="exact"/>
        <w:rPr>
          <w:sz w:val="20"/>
          <w:szCs w:val="20"/>
          <w:color w:val="auto"/>
        </w:rPr>
      </w:pPr>
    </w:p>
    <w:p>
      <w:pPr>
        <w:ind w:left="2820"/>
        <w:spacing w:after="0"/>
        <w:rPr>
          <w:sz w:val="20"/>
          <w:szCs w:val="20"/>
          <w:color w:val="auto"/>
        </w:rPr>
      </w:pPr>
      <w:r>
        <w:rPr>
          <w:rFonts w:ascii="Arial" w:cs="Arial" w:eastAsia="Arial" w:hAnsi="Arial"/>
          <w:sz w:val="15"/>
          <w:szCs w:val="15"/>
          <w:color w:val="auto"/>
        </w:rPr>
        <w:t>144 Menachem Begin Road, Building A,</w:t>
      </w:r>
    </w:p>
    <w:p>
      <w:pPr>
        <w:spacing w:after="0" w:line="28" w:lineRule="exact"/>
        <w:rPr>
          <w:sz w:val="20"/>
          <w:szCs w:val="20"/>
          <w:color w:val="auto"/>
        </w:rPr>
      </w:pPr>
    </w:p>
    <w:p>
      <w:pPr>
        <w:ind w:left="2820"/>
        <w:spacing w:after="0"/>
        <w:rPr>
          <w:sz w:val="20"/>
          <w:szCs w:val="20"/>
          <w:color w:val="auto"/>
        </w:rPr>
      </w:pPr>
      <w:r>
        <w:rPr>
          <w:rFonts w:ascii="Arial" w:cs="Arial" w:eastAsia="Arial" w:hAnsi="Arial"/>
          <w:sz w:val="17"/>
          <w:szCs w:val="17"/>
          <w:color w:val="auto"/>
        </w:rPr>
        <w:t>Tel-Aviv 6492102, Israel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Tel: +972-3-6232525</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Fax: +972-3-5622555</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ey.com</w:t>
      </w:r>
    </w:p>
    <w:p>
      <w:pPr>
        <w:spacing w:after="0" w:line="190" w:lineRule="exact"/>
        <w:rPr>
          <w:sz w:val="20"/>
          <w:szCs w:val="20"/>
          <w:color w:val="auto"/>
        </w:rPr>
      </w:pPr>
    </w:p>
    <w:p>
      <w:pPr>
        <w:sectPr>
          <w:pgSz w:w="11900" w:h="16838" w:orient="portrait"/>
          <w:cols w:equalWidth="0" w:num="2">
            <w:col w:w="5560" w:space="60"/>
            <w:col w:w="5620"/>
          </w:cols>
          <w:pgMar w:left="320" w:top="1077" w:right="339" w:bottom="1440" w:gutter="0" w:footer="0" w:header="0"/>
        </w:sectPr>
      </w:pPr>
    </w:p>
    <w:p>
      <w:pPr>
        <w:ind w:left="27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WalkMe Ltd. (and its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1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have audited the accompanying consolidated balance sheets of WalkMe Ltd. (and its subsidiaries) (the Company) as of December 31, 2021 and 2020, the related consolidated statements of operations, comprehensive loss, convertible preferred shares and shareholders’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U.S. generally accepted accounting principles.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/s/ KOST FORER GABBAY &amp; KASIERER</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 Member of Ernst &amp; Young Global</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Tel-Aviv, Israel</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March 24, 2022</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type w:val="continuous"/>
        </w:sectPr>
      </w:pPr>
    </w:p>
    <w:bookmarkStart w:id="147" w:name="page148"/>
    <w:bookmarkEnd w:id="147"/>
    <w:p>
      <w:pPr>
        <w:ind w:left="8120"/>
        <w:spacing w:after="0"/>
        <w:rPr>
          <w:sz w:val="20"/>
          <w:szCs w:val="20"/>
          <w:color w:val="auto"/>
        </w:rPr>
      </w:pPr>
      <w:r>
        <w:rPr>
          <w:rFonts w:ascii="Arial" w:cs="Arial" w:eastAsia="Arial" w:hAnsi="Arial"/>
          <w:sz w:val="16"/>
          <w:szCs w:val="16"/>
          <w:b w:val="1"/>
          <w:bCs w:val="1"/>
          <w:color w:val="auto"/>
        </w:rPr>
        <w:t>WALKME LTD. AND ITS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jc w:val="center"/>
        <w:ind w:left="854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13970</wp:posOffset>
            </wp:positionV>
            <wp:extent cx="1577975"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1577975" cy="15875"/>
                    </a:xfrm>
                    <a:prstGeom prst="rect">
                      <a:avLst/>
                    </a:prstGeom>
                    <a:noFill/>
                  </pic:spPr>
                </pic:pic>
              </a:graphicData>
            </a:graphic>
          </wp:anchor>
        </w:drawing>
      </w:r>
    </w:p>
    <w:p>
      <w:pPr>
        <w:spacing w:after="0" w:line="10" w:lineRule="exact"/>
        <w:rPr>
          <w:sz w:val="20"/>
          <w:szCs w:val="20"/>
          <w:color w:val="auto"/>
        </w:rPr>
      </w:pPr>
    </w:p>
    <w:p>
      <w:pPr>
        <w:ind w:left="9060"/>
        <w:spacing w:after="0"/>
        <w:tabs>
          <w:tab w:leader="none" w:pos="1040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13970</wp:posOffset>
            </wp:positionV>
            <wp:extent cx="1577975" cy="15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1577975" cy="1587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ASSETS</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8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276,889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62,328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tcPr>
          <w:p>
            <w:pPr>
              <w:ind w:left="180"/>
              <w:spacing w:after="0"/>
              <w:rPr>
                <w:sz w:val="20"/>
                <w:szCs w:val="20"/>
                <w:color w:val="auto"/>
              </w:rPr>
            </w:pPr>
            <w:r>
              <w:rPr>
                <w:rFonts w:ascii="Arial" w:cs="Arial" w:eastAsia="Arial" w:hAnsi="Arial"/>
                <w:sz w:val="17"/>
                <w:szCs w:val="17"/>
                <w:color w:val="auto"/>
              </w:rPr>
              <w:t>Short-term deposits</w:t>
            </w:r>
          </w:p>
        </w:tc>
        <w:tc>
          <w:tcPr>
            <w:tcW w:w="3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65,478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44,159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Trade receivables, net of allowances of $2,588 and $2,386</w:t>
            </w: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37,754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30,859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tcPr>
          <w:p>
            <w:pPr>
              <w:ind w:left="180"/>
              <w:spacing w:after="0"/>
              <w:rPr>
                <w:sz w:val="20"/>
                <w:szCs w:val="20"/>
                <w:color w:val="auto"/>
              </w:rPr>
            </w:pPr>
            <w:r>
              <w:rPr>
                <w:rFonts w:ascii="Arial" w:cs="Arial" w:eastAsia="Arial" w:hAnsi="Arial"/>
                <w:sz w:val="17"/>
                <w:szCs w:val="17"/>
                <w:color w:val="auto"/>
              </w:rPr>
              <w:t>Prepaid expenses and other assets</w:t>
            </w:r>
          </w:p>
        </w:tc>
        <w:tc>
          <w:tcPr>
            <w:tcW w:w="3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28,064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14,595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Short-term restricted deposits</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86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408,480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152,125</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86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NON-CURRENT ASSETS:</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36,412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19,565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tcPr>
          <w:p>
            <w:pPr>
              <w:ind w:left="180"/>
              <w:spacing w:after="0"/>
              <w:rPr>
                <w:sz w:val="20"/>
                <w:szCs w:val="20"/>
                <w:color w:val="auto"/>
              </w:rPr>
            </w:pPr>
            <w:r>
              <w:rPr>
                <w:rFonts w:ascii="Arial" w:cs="Arial" w:eastAsia="Arial" w:hAnsi="Arial"/>
                <w:sz w:val="17"/>
                <w:szCs w:val="17"/>
                <w:color w:val="auto"/>
              </w:rPr>
              <w:t>Long-term restricted deposits</w:t>
            </w:r>
          </w:p>
        </w:tc>
        <w:tc>
          <w:tcPr>
            <w:tcW w:w="3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544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2,488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Property and equipment, net</w:t>
            </w: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10,885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8,629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tcPr>
          <w:p>
            <w:pPr>
              <w:ind w:left="180"/>
              <w:spacing w:after="0"/>
              <w:rPr>
                <w:sz w:val="20"/>
                <w:szCs w:val="20"/>
                <w:color w:val="auto"/>
              </w:rPr>
            </w:pPr>
            <w:r>
              <w:rPr>
                <w:rFonts w:ascii="Arial" w:cs="Arial" w:eastAsia="Arial" w:hAnsi="Arial"/>
                <w:sz w:val="17"/>
                <w:szCs w:val="17"/>
                <w:color w:val="auto"/>
              </w:rPr>
              <w:t>Intangible assets, net</w:t>
            </w:r>
          </w:p>
        </w:tc>
        <w:tc>
          <w:tcPr>
            <w:tcW w:w="3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1,815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Goodwill</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1,481</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86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Total non-current assets</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32,163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ASSETS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459,617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184,288</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640" w:type="dxa"/>
            <w:vAlign w:val="bottom"/>
            <w:tcBorders>
              <w:top w:val="single" w:sz="8" w:color="CCEEFF"/>
            </w:tcBorders>
          </w:tcPr>
          <w:p>
            <w:pPr>
              <w:ind w:left="2760"/>
              <w:spacing w:after="0"/>
              <w:rPr>
                <w:sz w:val="20"/>
                <w:szCs w:val="20"/>
                <w:color w:val="auto"/>
              </w:rPr>
            </w:pPr>
            <w:r>
              <w:rPr>
                <w:rFonts w:ascii="Arial" w:cs="Arial" w:eastAsia="Arial" w:hAnsi="Arial"/>
                <w:sz w:val="17"/>
                <w:szCs w:val="17"/>
                <w:color w:val="auto"/>
                <w:w w:val="90"/>
              </w:rPr>
              <w:t>The accompanying notes are an integral part of the consolidated financial statements.</w:t>
            </w: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20" w:type="dxa"/>
            <w:vAlign w:val="bottom"/>
          </w:tcPr>
          <w:p>
            <w:pPr>
              <w:spacing w:after="0"/>
              <w:rPr>
                <w:sz w:val="24"/>
                <w:szCs w:val="24"/>
                <w:color w:val="auto"/>
              </w:rPr>
            </w:pPr>
          </w:p>
        </w:tc>
        <w:tc>
          <w:tcPr>
            <w:tcW w:w="8640" w:type="dxa"/>
            <w:vAlign w:val="bottom"/>
          </w:tcPr>
          <w:p>
            <w:pPr>
              <w:ind w:left="5440"/>
              <w:spacing w:after="0"/>
              <w:rPr>
                <w:sz w:val="20"/>
                <w:szCs w:val="20"/>
                <w:color w:val="auto"/>
              </w:rPr>
            </w:pPr>
            <w:r>
              <w:rPr>
                <w:rFonts w:ascii="Arial" w:cs="Arial" w:eastAsia="Arial" w:hAnsi="Arial"/>
                <w:sz w:val="17"/>
                <w:szCs w:val="17"/>
                <w:color w:val="auto"/>
              </w:rPr>
              <w:t>F - 3</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6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jc w:val="center"/>
        <w:ind w:left="854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13970</wp:posOffset>
            </wp:positionV>
            <wp:extent cx="1577975" cy="15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1577975" cy="15875"/>
                    </a:xfrm>
                    <a:prstGeom prst="rect">
                      <a:avLst/>
                    </a:prstGeom>
                    <a:noFill/>
                  </pic:spPr>
                </pic:pic>
              </a:graphicData>
            </a:graphic>
          </wp:anchor>
        </w:drawing>
      </w:r>
    </w:p>
    <w:p>
      <w:pPr>
        <w:spacing w:after="0" w:line="10" w:lineRule="exact"/>
        <w:rPr>
          <w:sz w:val="20"/>
          <w:szCs w:val="20"/>
          <w:color w:val="auto"/>
        </w:rPr>
      </w:pPr>
    </w:p>
    <w:p>
      <w:pPr>
        <w:ind w:left="9060"/>
        <w:spacing w:after="0"/>
        <w:tabs>
          <w:tab w:leader="none" w:pos="1040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13970</wp:posOffset>
            </wp:positionV>
            <wp:extent cx="1577975" cy="158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1577975" cy="15875"/>
                    </a:xfrm>
                    <a:prstGeom prst="rect">
                      <a:avLst/>
                    </a:prstGeom>
                    <a:noFill/>
                  </pic:spPr>
                </pic:pic>
              </a:graphicData>
            </a:graphic>
          </wp:anchor>
        </w:drawing>
      </w:r>
    </w:p>
    <w:p>
      <w:pPr>
        <w:spacing w:after="0" w:line="211" w:lineRule="exact"/>
        <w:rPr>
          <w:sz w:val="20"/>
          <w:szCs w:val="20"/>
          <w:color w:val="auto"/>
        </w:rPr>
      </w:pPr>
    </w:p>
    <w:p>
      <w:pPr>
        <w:ind w:right="2820" w:firstLine="4"/>
        <w:spacing w:after="0" w:line="273" w:lineRule="auto"/>
        <w:rPr>
          <w:sz w:val="20"/>
          <w:szCs w:val="20"/>
          <w:color w:val="auto"/>
        </w:rPr>
      </w:pPr>
      <w:r>
        <w:rPr>
          <w:rFonts w:ascii="Arial" w:cs="Arial" w:eastAsia="Arial" w:hAnsi="Arial"/>
          <w:sz w:val="17"/>
          <w:szCs w:val="17"/>
          <w:b w:val="1"/>
          <w:bCs w:val="1"/>
          <w:color w:val="auto"/>
        </w:rPr>
        <w:t>LIABILITIES, REDEEMABLE NON-CONTROLLING INTEREST, CONVERTIBLE PREFERRED SHARES AND SHAREHOLDERS’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-271145</wp:posOffset>
            </wp:positionV>
            <wp:extent cx="7141845" cy="2552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7141845" cy="25527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Trade payables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6,592</w:t>
            </w:r>
          </w:p>
        </w:tc>
        <w:tc>
          <w:tcPr>
            <w:tcW w:w="1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5,513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tcPr>
          <w:p>
            <w:pPr>
              <w:ind w:left="180"/>
              <w:spacing w:after="0"/>
              <w:rPr>
                <w:sz w:val="20"/>
                <w:szCs w:val="20"/>
                <w:color w:val="auto"/>
              </w:rPr>
            </w:pPr>
            <w:r>
              <w:rPr>
                <w:rFonts w:ascii="Arial" w:cs="Arial" w:eastAsia="Arial" w:hAnsi="Arial"/>
                <w:sz w:val="17"/>
                <w:szCs w:val="17"/>
                <w:color w:val="auto"/>
              </w:rPr>
              <w:t>Employees and payroll accruals</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34,648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19,695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expenses and other liabilities</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14,662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9,848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40" w:type="dxa"/>
            <w:vAlign w:val="bottom"/>
          </w:tcPr>
          <w:p>
            <w:pPr>
              <w:ind w:left="180"/>
              <w:spacing w:after="0"/>
              <w:rPr>
                <w:sz w:val="20"/>
                <w:szCs w:val="20"/>
                <w:color w:val="auto"/>
              </w:rPr>
            </w:pPr>
            <w:r>
              <w:rPr>
                <w:rFonts w:ascii="Arial" w:cs="Arial" w:eastAsia="Arial" w:hAnsi="Arial"/>
                <w:sz w:val="17"/>
                <w:szCs w:val="17"/>
                <w:color w:val="auto"/>
              </w:rPr>
              <w:t>Deferred revenues</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86,024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57,467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4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141,926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92,523</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86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NON-CURRENT LIABILITIES: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tcPr>
          <w:p>
            <w:pPr>
              <w:ind w:left="180"/>
              <w:spacing w:after="0"/>
              <w:rPr>
                <w:sz w:val="20"/>
                <w:szCs w:val="20"/>
                <w:color w:val="auto"/>
              </w:rPr>
            </w:pPr>
            <w:r>
              <w:rPr>
                <w:rFonts w:ascii="Arial" w:cs="Arial" w:eastAsia="Arial" w:hAnsi="Arial"/>
                <w:sz w:val="17"/>
                <w:szCs w:val="17"/>
                <w:color w:val="auto"/>
              </w:rPr>
              <w:t>Deferred revenues</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1,288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1,478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tax liabilities, net</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3,101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40" w:type="dxa"/>
            <w:vAlign w:val="bottom"/>
          </w:tcPr>
          <w:p>
            <w:pPr>
              <w:ind w:left="180"/>
              <w:spacing w:after="0"/>
              <w:rPr>
                <w:sz w:val="20"/>
                <w:szCs w:val="20"/>
                <w:color w:val="auto"/>
              </w:rPr>
            </w:pPr>
            <w:r>
              <w:rPr>
                <w:rFonts w:ascii="Arial" w:cs="Arial" w:eastAsia="Arial" w:hAnsi="Arial"/>
                <w:sz w:val="17"/>
                <w:szCs w:val="17"/>
                <w:color w:val="auto"/>
              </w:rPr>
              <w:t>Other liabilities</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2,097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2,308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40" w:type="dxa"/>
            <w:vAlign w:val="bottom"/>
          </w:tcPr>
          <w:p>
            <w:pPr>
              <w:ind w:left="20"/>
              <w:spacing w:after="0"/>
              <w:rPr>
                <w:sz w:val="20"/>
                <w:szCs w:val="20"/>
                <w:color w:val="auto"/>
              </w:rPr>
            </w:pPr>
            <w:r>
              <w:rPr>
                <w:rFonts w:ascii="Arial" w:cs="Arial" w:eastAsia="Arial" w:hAnsi="Arial"/>
                <w:sz w:val="17"/>
                <w:szCs w:val="17"/>
                <w:color w:val="auto"/>
              </w:rPr>
              <w:t>Total non-current liabilities</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8,180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6,887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40" w:type="dxa"/>
            <w:vAlign w:val="bottom"/>
          </w:tcPr>
          <w:p>
            <w:pPr>
              <w:ind w:left="20"/>
              <w:spacing w:after="0"/>
              <w:rPr>
                <w:sz w:val="20"/>
                <w:szCs w:val="20"/>
                <w:color w:val="auto"/>
              </w:rPr>
            </w:pPr>
            <w:r>
              <w:rPr>
                <w:rFonts w:ascii="Arial" w:cs="Arial" w:eastAsia="Arial" w:hAnsi="Arial"/>
                <w:sz w:val="17"/>
                <w:szCs w:val="17"/>
                <w:b w:val="1"/>
                <w:bCs w:val="1"/>
                <w:color w:val="auto"/>
              </w:rPr>
              <w:t>TOTAL LIABILITIES</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150,106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99,410</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86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COMMITMENTS AND CONTINGENT LIABILITIES (note 6)</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REDEEMABLE NON-CONTROLLING INTEREST</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23,901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8,647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CONVERTIBLE PREFERRED SHARES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4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Of no par value -</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6"/>
              </w:rPr>
              <w:t>Authorized: 0 and 59,216,788 shares at December 31, 2021 and 2020 respectively; Issued and outstanding: 0 and</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58,724,580 shares at December 31, 2021 and 2020, respectively</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300,490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tcPr>
          <w:p>
            <w:pPr>
              <w:spacing w:after="0"/>
              <w:rPr>
                <w:sz w:val="20"/>
                <w:szCs w:val="20"/>
                <w:color w:val="auto"/>
              </w:rPr>
            </w:pPr>
            <w:r>
              <w:rPr>
                <w:rFonts w:ascii="Arial" w:cs="Arial" w:eastAsia="Arial" w:hAnsi="Arial"/>
                <w:sz w:val="17"/>
                <w:szCs w:val="17"/>
                <w:color w:val="auto"/>
              </w:rPr>
              <w:t>SHAREHOLDERS’ EQUITY (DEFICIT):</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4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rPr>
              <w:t>Ordinary shares of no par value -</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2"/>
              </w:rPr>
              <w:t>Authorized: 900,000,000 and 89,631,512 shares at December 31, 2021 and 2020, respectively; Issued and outstanding:</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83,754,006 and 13,773,000 shares at December 31, 2021 and 2020, respectively</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40" w:type="dxa"/>
            <w:vAlign w:val="bottom"/>
          </w:tcPr>
          <w:p>
            <w:pPr>
              <w:ind w:left="180"/>
              <w:spacing w:after="0" w:line="189" w:lineRule="exact"/>
              <w:rPr>
                <w:sz w:val="20"/>
                <w:szCs w:val="20"/>
                <w:color w:val="auto"/>
              </w:rPr>
            </w:pPr>
            <w:r>
              <w:rPr>
                <w:rFonts w:ascii="Arial" w:cs="Arial" w:eastAsia="Arial" w:hAnsi="Arial"/>
                <w:sz w:val="17"/>
                <w:szCs w:val="17"/>
                <w:color w:val="auto"/>
              </w:rPr>
              <w:t>Deferred shares of no par value –</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40" w:type="dxa"/>
            <w:vAlign w:val="bottom"/>
          </w:tcPr>
          <w:p>
            <w:pPr>
              <w:ind w:left="320"/>
              <w:spacing w:after="0"/>
              <w:rPr>
                <w:sz w:val="20"/>
                <w:szCs w:val="20"/>
                <w:color w:val="auto"/>
              </w:rPr>
            </w:pPr>
            <w:r>
              <w:rPr>
                <w:rFonts w:ascii="Arial" w:cs="Arial" w:eastAsia="Arial" w:hAnsi="Arial"/>
                <w:sz w:val="17"/>
                <w:szCs w:val="17"/>
                <w:color w:val="auto"/>
                <w:w w:val="98"/>
              </w:rPr>
              <w:t>Authorized: 0 and 4,103,500 shares at December 31, 2021 and 2020, respectively; None issued and outstanding</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610,193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21,524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tcPr>
          <w:p>
            <w:pPr>
              <w:ind w:left="180"/>
              <w:spacing w:after="0"/>
              <w:rPr>
                <w:sz w:val="20"/>
                <w:szCs w:val="20"/>
                <w:color w:val="auto"/>
              </w:rPr>
            </w:pPr>
            <w:r>
              <w:rPr>
                <w:rFonts w:ascii="Arial" w:cs="Arial" w:eastAsia="Arial" w:hAnsi="Arial"/>
                <w:sz w:val="17"/>
                <w:szCs w:val="17"/>
                <w:color w:val="auto"/>
              </w:rPr>
              <w:t>Accumulated other comprehensive income</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deficit</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(325,038)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(245,914)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6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8640" w:type="dxa"/>
            <w:vAlign w:val="bottom"/>
          </w:tcPr>
          <w:p>
            <w:pPr>
              <w:ind w:left="20"/>
              <w:spacing w:after="0"/>
              <w:rPr>
                <w:sz w:val="20"/>
                <w:szCs w:val="20"/>
                <w:color w:val="auto"/>
              </w:rPr>
            </w:pPr>
            <w:r>
              <w:rPr>
                <w:rFonts w:ascii="Arial" w:cs="Arial" w:eastAsia="Arial" w:hAnsi="Arial"/>
                <w:sz w:val="17"/>
                <w:szCs w:val="17"/>
                <w:color w:val="auto"/>
              </w:rPr>
              <w:t>Total shareholders’ equity (deficit)</w:t>
            </w: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285,610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(224,259)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64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TOTAL LIABILITIES, REDEEMABLE NON-CONTROLLING INTEREST, CONVERTIBLE PREFERRED</w:t>
            </w:r>
          </w:p>
        </w:tc>
        <w:tc>
          <w:tcPr>
            <w:tcW w:w="3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SHARES AND SHAREHOLDERS’ EQUITY (DEFICIT)</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459,617</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184,288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7"/>
              </w:rPr>
              <w:t>Year ended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7"/>
                <w:szCs w:val="17"/>
                <w:b w:val="1"/>
                <w:bCs w:val="1"/>
                <w:color w:val="auto"/>
                <w:w w:val="88"/>
              </w:rPr>
              <w:t>December 31,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4"/>
              </w:rPr>
              <w:t>2020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7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60" w:type="dxa"/>
            <w:vAlign w:val="bottom"/>
          </w:tcPr>
          <w:p>
            <w:pPr>
              <w:ind w:left="320"/>
              <w:spacing w:after="0"/>
              <w:rPr>
                <w:sz w:val="20"/>
                <w:szCs w:val="20"/>
                <w:color w:val="auto"/>
              </w:rPr>
            </w:pPr>
            <w:r>
              <w:rPr>
                <w:rFonts w:ascii="Arial" w:cs="Arial" w:eastAsia="Arial" w:hAnsi="Arial"/>
                <w:sz w:val="17"/>
                <w:szCs w:val="17"/>
                <w:color w:val="auto"/>
              </w:rPr>
              <w:t>Subscription</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175,328</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130,303</w:t>
            </w:r>
          </w:p>
        </w:tc>
        <w:tc>
          <w:tcPr>
            <w:tcW w:w="220" w:type="dxa"/>
            <w:vAlign w:val="bottom"/>
          </w:tcPr>
          <w:p>
            <w:pPr>
              <w:spacing w:after="0"/>
              <w:rPr>
                <w:sz w:val="17"/>
                <w:szCs w:val="17"/>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94,769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Professional services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17,975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18,003</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10,360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7160" w:type="dxa"/>
            <w:vAlign w:val="bottom"/>
          </w:tcPr>
          <w:p>
            <w:pPr>
              <w:ind w:left="460"/>
              <w:spacing w:after="0"/>
              <w:rPr>
                <w:sz w:val="20"/>
                <w:szCs w:val="20"/>
                <w:color w:val="auto"/>
              </w:rPr>
            </w:pPr>
            <w:r>
              <w:rPr>
                <w:rFonts w:ascii="Arial" w:cs="Arial" w:eastAsia="Arial" w:hAnsi="Arial"/>
                <w:sz w:val="17"/>
                <w:szCs w:val="17"/>
                <w:color w:val="auto"/>
              </w:rPr>
              <w:t>Total revenues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193,303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148,306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105,129</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7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7160" w:type="dxa"/>
            <w:vAlign w:val="bottom"/>
          </w:tcPr>
          <w:p>
            <w:pPr>
              <w:spacing w:after="0"/>
              <w:rPr>
                <w:sz w:val="20"/>
                <w:szCs w:val="20"/>
                <w:color w:val="auto"/>
              </w:rPr>
            </w:pPr>
            <w:r>
              <w:rPr>
                <w:rFonts w:ascii="Arial" w:cs="Arial" w:eastAsia="Arial" w:hAnsi="Arial"/>
                <w:sz w:val="17"/>
                <w:szCs w:val="17"/>
                <w:color w:val="auto"/>
              </w:rPr>
              <w:t>Cost of revenues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Subscription</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24,025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19,141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11,947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60" w:type="dxa"/>
            <w:vAlign w:val="bottom"/>
          </w:tcPr>
          <w:p>
            <w:pPr>
              <w:ind w:left="320"/>
              <w:spacing w:after="0"/>
              <w:rPr>
                <w:sz w:val="20"/>
                <w:szCs w:val="20"/>
                <w:color w:val="auto"/>
              </w:rPr>
            </w:pPr>
            <w:r>
              <w:rPr>
                <w:rFonts w:ascii="Arial" w:cs="Arial" w:eastAsia="Arial" w:hAnsi="Arial"/>
                <w:sz w:val="17"/>
                <w:szCs w:val="17"/>
                <w:color w:val="auto"/>
              </w:rPr>
              <w:t>Professional services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22,632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20,017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18,729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60" w:type="dxa"/>
            <w:vAlign w:val="bottom"/>
            <w:shd w:val="clear" w:color="auto" w:fill="CCEEFF"/>
          </w:tcPr>
          <w:p>
            <w:pPr>
              <w:ind w:left="580"/>
              <w:spacing w:after="0"/>
              <w:rPr>
                <w:sz w:val="20"/>
                <w:szCs w:val="20"/>
                <w:color w:val="auto"/>
              </w:rPr>
            </w:pPr>
            <w:r>
              <w:rPr>
                <w:rFonts w:ascii="Arial" w:cs="Arial" w:eastAsia="Arial" w:hAnsi="Arial"/>
                <w:sz w:val="17"/>
                <w:szCs w:val="17"/>
                <w:color w:val="auto"/>
              </w:rPr>
              <w:t>Total cost of revenues</w:t>
            </w:r>
          </w:p>
        </w:tc>
        <w:tc>
          <w:tcPr>
            <w:tcW w:w="1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46,657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39,158</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7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146,646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109,148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74,453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48,160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31,560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26,639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60" w:type="dxa"/>
            <w:vAlign w:val="bottom"/>
          </w:tcPr>
          <w:p>
            <w:pPr>
              <w:ind w:left="180"/>
              <w:spacing w:after="0"/>
              <w:rPr>
                <w:sz w:val="20"/>
                <w:szCs w:val="20"/>
                <w:color w:val="auto"/>
              </w:rPr>
            </w:pPr>
            <w:r>
              <w:rPr>
                <w:rFonts w:ascii="Arial" w:cs="Arial" w:eastAsia="Arial" w:hAnsi="Arial"/>
                <w:sz w:val="17"/>
                <w:szCs w:val="17"/>
                <w:color w:val="auto"/>
              </w:rPr>
              <w:t>Sales and marketing</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127,719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87,208</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75,004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48,557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33,541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22,095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224,436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152,309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123,738</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7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(77,790)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(43,161)</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(49,285)</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7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Financial expenses, net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7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160" w:type="dxa"/>
            <w:vAlign w:val="bottom"/>
          </w:tcPr>
          <w:p>
            <w:pPr>
              <w:spacing w:after="0"/>
              <w:rPr>
                <w:sz w:val="20"/>
                <w:szCs w:val="20"/>
                <w:color w:val="auto"/>
              </w:rPr>
            </w:pPr>
            <w:r>
              <w:rPr>
                <w:rFonts w:ascii="Arial" w:cs="Arial" w:eastAsia="Arial" w:hAnsi="Arial"/>
                <w:sz w:val="17"/>
                <w:szCs w:val="17"/>
                <w:color w:val="auto"/>
              </w:rPr>
              <w:t>Loss before income taxes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(77,799)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(43,317)</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(48,811)</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7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7160" w:type="dxa"/>
            <w:vAlign w:val="bottom"/>
          </w:tcPr>
          <w:p>
            <w:pPr>
              <w:spacing w:after="0"/>
              <w:rPr>
                <w:sz w:val="20"/>
                <w:szCs w:val="20"/>
                <w:color w:val="auto"/>
              </w:rPr>
            </w:pPr>
            <w:r>
              <w:rPr>
                <w:rFonts w:ascii="Arial" w:cs="Arial" w:eastAsia="Arial" w:hAnsi="Arial"/>
                <w:sz w:val="17"/>
                <w:szCs w:val="17"/>
                <w:color w:val="auto"/>
              </w:rPr>
              <w:t>Income taxes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(2,494)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(1,708)</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(1,307)</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7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7160" w:type="dxa"/>
            <w:vAlign w:val="bottom"/>
          </w:tcPr>
          <w:p>
            <w:pPr>
              <w:spacing w:after="0"/>
              <w:rPr>
                <w:sz w:val="20"/>
                <w:szCs w:val="20"/>
                <w:color w:val="auto"/>
              </w:rPr>
            </w:pPr>
            <w:r>
              <w:rPr>
                <w:rFonts w:ascii="Arial" w:cs="Arial" w:eastAsia="Arial" w:hAnsi="Arial"/>
                <w:sz w:val="17"/>
                <w:szCs w:val="17"/>
                <w:color w:val="auto"/>
              </w:rPr>
              <w:t>Net loss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(80,293)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(45,025)</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(50,118)</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7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7160" w:type="dxa"/>
            <w:vAlign w:val="bottom"/>
          </w:tcPr>
          <w:p>
            <w:pPr>
              <w:spacing w:after="0"/>
              <w:rPr>
                <w:sz w:val="20"/>
                <w:szCs w:val="20"/>
                <w:color w:val="auto"/>
              </w:rPr>
            </w:pPr>
            <w:r>
              <w:rPr>
                <w:rFonts w:ascii="Arial" w:cs="Arial" w:eastAsia="Arial" w:hAnsi="Arial"/>
                <w:sz w:val="17"/>
                <w:szCs w:val="17"/>
                <w:color w:val="auto"/>
              </w:rPr>
              <w:t>Net loss attributable to non-controlling interest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(1,169)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(1,311)</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(696)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Adjustment attributable to non-controlling interest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16,689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60" w:type="dxa"/>
            <w:vAlign w:val="bottom"/>
          </w:tcPr>
          <w:p>
            <w:pPr>
              <w:spacing w:after="0"/>
              <w:rPr>
                <w:sz w:val="20"/>
                <w:szCs w:val="20"/>
                <w:color w:val="auto"/>
              </w:rPr>
            </w:pPr>
            <w:r>
              <w:rPr>
                <w:rFonts w:ascii="Arial" w:cs="Arial" w:eastAsia="Arial" w:hAnsi="Arial"/>
                <w:sz w:val="17"/>
                <w:szCs w:val="17"/>
                <w:color w:val="auto"/>
              </w:rPr>
              <w:t>Deemed dividend to ordinary shareholders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4,569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 attributable to WalkMe Ltd.</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(95,813)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(53,770)</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(49,897)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716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22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vMerge w:val="continue"/>
          </w:tcPr>
          <w:p>
            <w:pPr>
              <w:spacing w:after="0"/>
              <w:rPr>
                <w:sz w:val="20"/>
                <w:szCs w:val="20"/>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attributable to WalkMe Ltd. basic and diluted</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(4.07)</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71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8"/>
              </w:rPr>
              <w:t>Weighted-average shares used in computing net loss per share attributable to ordinary shareholders, basic</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and diluted</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51,763,032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13,217,183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12,011,502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7"/>
              </w:rPr>
              <w:t>Year ended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7"/>
                <w:szCs w:val="17"/>
                <w:b w:val="1"/>
                <w:bCs w:val="1"/>
                <w:color w:val="auto"/>
                <w:w w:val="88"/>
              </w:rPr>
              <w:t>December 31,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4"/>
              </w:rPr>
              <w:t>2020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72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82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(80,293)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(45,025)</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(50,118)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Other comprehensive income:</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 adjustments</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Unrealized gain on cash flow hedge</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comprehensive income</w:t>
            </w: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Comprehensive loss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(80,237)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(44,820)</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(50,008)</w:t>
            </w: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restart"/>
          </w:tcPr>
          <w:p>
            <w:pPr>
              <w:spacing w:after="0"/>
              <w:rPr>
                <w:sz w:val="16"/>
                <w:szCs w:val="16"/>
                <w:color w:val="auto"/>
              </w:rPr>
            </w:pPr>
          </w:p>
        </w:tc>
        <w:tc>
          <w:tcPr>
            <w:tcW w:w="67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Less comprehensive loss attributable to redeemable non-controlling interest:</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Net loss attributable to redeemable non-controlling interest</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(1,169)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(1,311)</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(696)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w w:val="97"/>
              </w:rPr>
              <w:t>Foreign currency translation adjustments attributable to redeemable non-controlling interest</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7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Comprehensive loss attributable to redeemable non-controlling interest</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(1,435)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(1,211)</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(671)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Comprehensive loss attributable to WalkMe Ltd.</w:t>
            </w:r>
          </w:p>
        </w:tc>
        <w:tc>
          <w:tcPr>
            <w:tcW w:w="5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(78,802)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(43,609)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(49,337)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6720" w:type="dxa"/>
            <w:vAlign w:val="bottom"/>
          </w:tcPr>
          <w:p>
            <w:pPr>
              <w:ind w:left="5440"/>
              <w:spacing w:after="0"/>
              <w:rPr>
                <w:sz w:val="20"/>
                <w:szCs w:val="20"/>
                <w:color w:val="auto"/>
              </w:rPr>
            </w:pPr>
            <w:r>
              <w:rPr>
                <w:rFonts w:ascii="Arial" w:cs="Arial" w:eastAsia="Arial" w:hAnsi="Arial"/>
                <w:sz w:val="17"/>
                <w:szCs w:val="17"/>
                <w:color w:val="auto"/>
              </w:rPr>
              <w:t>F - 6</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7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151" w:name="page152"/>
    <w:bookmarkEnd w:id="151"/>
    <w:p>
      <w:pPr>
        <w:ind w:left="8120"/>
        <w:spacing w:after="0"/>
        <w:rPr>
          <w:sz w:val="20"/>
          <w:szCs w:val="20"/>
          <w:color w:val="auto"/>
        </w:rPr>
      </w:pPr>
      <w:r>
        <w:rPr>
          <w:rFonts w:ascii="Arial" w:cs="Arial" w:eastAsia="Arial" w:hAnsi="Arial"/>
          <w:sz w:val="16"/>
          <w:szCs w:val="16"/>
          <w:b w:val="1"/>
          <w:bCs w:val="1"/>
          <w:color w:val="auto"/>
        </w:rPr>
        <w:t>WALKME LTD. AND ITS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CONVERTIBLE PREFERRED SHARES AND SHAREHOLDERS’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385"/>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80" w:type="dxa"/>
            <w:vAlign w:val="bottom"/>
            <w:tcBorders>
              <w:right w:val="single" w:sz="8" w:color="auto"/>
            </w:tcBorders>
            <w:gridSpan w:val="5"/>
            <w:vMerge w:val="restart"/>
          </w:tcPr>
          <w:p>
            <w:pPr>
              <w:jc w:val="right"/>
              <w:ind w:right="300"/>
              <w:spacing w:after="0"/>
              <w:rPr>
                <w:sz w:val="20"/>
                <w:szCs w:val="20"/>
                <w:color w:val="auto"/>
              </w:rPr>
            </w:pPr>
            <w:r>
              <w:rPr>
                <w:rFonts w:ascii="Arial" w:cs="Arial" w:eastAsia="Arial" w:hAnsi="Arial"/>
                <w:sz w:val="17"/>
                <w:szCs w:val="17"/>
                <w:b w:val="1"/>
                <w:bCs w:val="1"/>
                <w:color w:val="auto"/>
              </w:rPr>
              <w:t>Convertible preferred</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Accumulated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80" w:type="dxa"/>
            <w:vAlign w:val="bottom"/>
            <w:tcBorders>
              <w:right w:val="single" w:sz="8" w:color="auto"/>
            </w:tcBorders>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3"/>
          </w:tcPr>
          <w:p>
            <w:pPr>
              <w:jc w:val="center"/>
              <w:ind w:right="160"/>
              <w:spacing w:after="0" w:line="176" w:lineRule="exact"/>
              <w:rPr>
                <w:sz w:val="20"/>
                <w:szCs w:val="20"/>
                <w:color w:val="auto"/>
              </w:rPr>
            </w:pPr>
            <w:r>
              <w:rPr>
                <w:rFonts w:ascii="Arial" w:cs="Arial" w:eastAsia="Arial" w:hAnsi="Arial"/>
                <w:sz w:val="17"/>
                <w:szCs w:val="17"/>
                <w:b w:val="1"/>
                <w:bCs w:val="1"/>
                <w:color w:val="auto"/>
                <w:w w:val="91"/>
              </w:rPr>
              <w:t>Additional</w:t>
            </w:r>
          </w:p>
        </w:tc>
        <w:tc>
          <w:tcPr>
            <w:tcW w:w="100" w:type="dxa"/>
            <w:vAlign w:val="bottom"/>
          </w:tcPr>
          <w:p>
            <w:pPr>
              <w:spacing w:after="0"/>
              <w:rPr>
                <w:sz w:val="15"/>
                <w:szCs w:val="15"/>
                <w:color w:val="auto"/>
              </w:rPr>
            </w:pPr>
          </w:p>
        </w:tc>
        <w:tc>
          <w:tcPr>
            <w:tcW w:w="1140" w:type="dxa"/>
            <w:vAlign w:val="bottom"/>
            <w:gridSpan w:val="2"/>
          </w:tcPr>
          <w:p>
            <w:pPr>
              <w:jc w:val="center"/>
              <w:ind w:right="240"/>
              <w:spacing w:after="0" w:line="176" w:lineRule="exact"/>
              <w:rPr>
                <w:sz w:val="20"/>
                <w:szCs w:val="20"/>
                <w:color w:val="auto"/>
              </w:rPr>
            </w:pPr>
            <w:r>
              <w:rPr>
                <w:rFonts w:ascii="Arial" w:cs="Arial" w:eastAsia="Arial" w:hAnsi="Arial"/>
                <w:sz w:val="17"/>
                <w:szCs w:val="17"/>
                <w:b w:val="1"/>
                <w:bCs w:val="1"/>
                <w:color w:val="auto"/>
                <w:w w:val="89"/>
              </w:rPr>
              <w:t>other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340"/>
              <w:spacing w:after="0" w:line="176" w:lineRule="exact"/>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shares</w:t>
            </w:r>
          </w:p>
        </w:tc>
        <w:tc>
          <w:tcPr>
            <w:tcW w:w="74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7"/>
                <w:szCs w:val="17"/>
                <w:b w:val="1"/>
                <w:bCs w:val="1"/>
                <w:color w:val="auto"/>
              </w:rPr>
              <w:t>Ordinary shares</w:t>
            </w:r>
          </w:p>
        </w:tc>
        <w:tc>
          <w:tcPr>
            <w:tcW w:w="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3"/>
              </w:rPr>
              <w:t>paid-in</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4"/>
              </w:rPr>
              <w:t>comprehensive</w:t>
            </w:r>
          </w:p>
        </w:tc>
        <w:tc>
          <w:tcPr>
            <w:tcW w:w="1220" w:type="dxa"/>
            <w:vAlign w:val="bottom"/>
            <w:gridSpan w:val="4"/>
          </w:tcPr>
          <w:p>
            <w:pPr>
              <w:ind w:left="80"/>
              <w:spacing w:after="0"/>
              <w:rPr>
                <w:sz w:val="20"/>
                <w:szCs w:val="20"/>
                <w:color w:val="auto"/>
              </w:rPr>
            </w:pPr>
            <w:r>
              <w:rPr>
                <w:rFonts w:ascii="Arial" w:cs="Arial" w:eastAsia="Arial" w:hAnsi="Arial"/>
                <w:sz w:val="17"/>
                <w:szCs w:val="17"/>
                <w:b w:val="1"/>
                <w:bCs w:val="1"/>
                <w:color w:val="auto"/>
              </w:rPr>
              <w:t>Accumulated</w:t>
            </w:r>
          </w:p>
        </w:tc>
        <w:tc>
          <w:tcPr>
            <w:tcW w:w="1040" w:type="dxa"/>
            <w:vAlign w:val="bottom"/>
            <w:gridSpan w:val="3"/>
          </w:tcPr>
          <w:p>
            <w:pPr>
              <w:spacing w:after="0"/>
              <w:rPr>
                <w:sz w:val="20"/>
                <w:szCs w:val="20"/>
                <w:color w:val="auto"/>
              </w:rPr>
            </w:pPr>
            <w:r>
              <w:rPr>
                <w:rFonts w:ascii="Arial" w:cs="Arial" w:eastAsia="Arial" w:hAnsi="Arial"/>
                <w:sz w:val="17"/>
                <w:szCs w:val="17"/>
                <w:b w:val="1"/>
                <w:bCs w:val="1"/>
                <w:color w:val="auto"/>
                <w:w w:val="92"/>
              </w:rPr>
              <w:t>shareholder's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line="185" w:lineRule="exact"/>
              <w:rPr>
                <w:sz w:val="20"/>
                <w:szCs w:val="20"/>
                <w:color w:val="auto"/>
              </w:rPr>
            </w:pPr>
            <w:r>
              <w:rPr>
                <w:rFonts w:ascii="Arial" w:cs="Arial" w:eastAsia="Arial" w:hAnsi="Arial"/>
                <w:sz w:val="17"/>
                <w:szCs w:val="17"/>
                <w:b w:val="1"/>
                <w:bCs w:val="1"/>
                <w:color w:val="auto"/>
                <w:w w:val="85"/>
              </w:rPr>
              <w:t>Income (loss)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320"/>
              <w:spacing w:after="0" w:line="185" w:lineRule="exact"/>
              <w:rPr>
                <w:sz w:val="20"/>
                <w:szCs w:val="20"/>
                <w:color w:val="auto"/>
              </w:rPr>
            </w:pPr>
            <w:r>
              <w:rPr>
                <w:rFonts w:ascii="Arial" w:cs="Arial" w:eastAsia="Arial" w:hAnsi="Arial"/>
                <w:sz w:val="17"/>
                <w:szCs w:val="17"/>
                <w:b w:val="1"/>
                <w:bCs w:val="1"/>
                <w:color w:val="auto"/>
              </w:rPr>
              <w:t>equity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Number</w:t>
            </w:r>
          </w:p>
        </w:tc>
        <w:tc>
          <w:tcPr>
            <w:tcW w:w="14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b w:val="1"/>
                <w:bCs w:val="1"/>
                <w:color w:val="auto"/>
                <w:w w:val="93"/>
              </w:rPr>
              <w:t>Amount</w:t>
            </w:r>
          </w:p>
        </w:tc>
        <w:tc>
          <w:tcPr>
            <w:tcW w:w="1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Number</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Amount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capital</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deficit</w:t>
            </w:r>
          </w:p>
        </w:tc>
        <w:tc>
          <w:tcPr>
            <w:tcW w:w="1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4"/>
              </w:rPr>
              <w:t>(deficit)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as of December 31,</w:t>
            </w: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51,881,022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179,895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11,645,310</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(155,720)</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(151,260)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00" w:type="dxa"/>
            <w:vAlign w:val="bottom"/>
          </w:tcPr>
          <w:p>
            <w:pPr>
              <w:spacing w:after="0" w:line="189" w:lineRule="exact"/>
              <w:rPr>
                <w:sz w:val="20"/>
                <w:szCs w:val="20"/>
                <w:color w:val="auto"/>
              </w:rPr>
            </w:pPr>
            <w:r>
              <w:rPr>
                <w:rFonts w:ascii="Arial" w:cs="Arial" w:eastAsia="Arial" w:hAnsi="Arial"/>
                <w:sz w:val="17"/>
                <w:szCs w:val="17"/>
                <w:color w:val="auto"/>
              </w:rPr>
              <w:t>Effect of adopting ASU 2014-</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tcPr>
          <w:p>
            <w:pPr>
              <w:ind w:left="140"/>
              <w:spacing w:after="0"/>
              <w:rPr>
                <w:sz w:val="20"/>
                <w:szCs w:val="20"/>
                <w:color w:val="auto"/>
              </w:rPr>
            </w:pPr>
            <w:r>
              <w:rPr>
                <w:rFonts w:ascii="Arial" w:cs="Arial" w:eastAsia="Arial" w:hAnsi="Arial"/>
                <w:sz w:val="17"/>
                <w:szCs w:val="17"/>
                <w:color w:val="auto"/>
              </w:rPr>
              <w:t>09, Revenue from Contracts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tcPr>
          <w:p>
            <w:pPr>
              <w:ind w:left="140"/>
              <w:spacing w:after="0"/>
              <w:rPr>
                <w:sz w:val="20"/>
                <w:szCs w:val="20"/>
                <w:color w:val="auto"/>
              </w:rPr>
            </w:pPr>
            <w:r>
              <w:rPr>
                <w:rFonts w:ascii="Arial" w:cs="Arial" w:eastAsia="Arial" w:hAnsi="Arial"/>
                <w:sz w:val="17"/>
                <w:szCs w:val="17"/>
                <w:color w:val="auto"/>
              </w:rPr>
              <w:t>with Customers (Topic 606),</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ind w:left="140"/>
              <w:spacing w:after="0"/>
              <w:rPr>
                <w:sz w:val="20"/>
                <w:szCs w:val="20"/>
                <w:color w:val="auto"/>
              </w:rPr>
            </w:pPr>
            <w:r>
              <w:rPr>
                <w:rFonts w:ascii="Arial" w:cs="Arial" w:eastAsia="Arial" w:hAnsi="Arial"/>
                <w:sz w:val="17"/>
                <w:szCs w:val="17"/>
                <w:color w:val="auto"/>
              </w:rPr>
              <w:t>net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7,511</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7,511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Issuance of series E-2</w:t>
            </w:r>
          </w:p>
        </w:tc>
        <w:tc>
          <w:tcPr>
            <w:tcW w:w="9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8"/>
              </w:rPr>
              <w:t>convertible preferred shares,</w:t>
            </w: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1,089,549</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11,667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00" w:type="dxa"/>
            <w:vAlign w:val="bottom"/>
          </w:tcPr>
          <w:p>
            <w:pPr>
              <w:spacing w:after="0" w:line="189" w:lineRule="exact"/>
              <w:rPr>
                <w:sz w:val="20"/>
                <w:szCs w:val="20"/>
                <w:color w:val="auto"/>
              </w:rPr>
            </w:pPr>
            <w:r>
              <w:rPr>
                <w:rFonts w:ascii="Arial" w:cs="Arial" w:eastAsia="Arial" w:hAnsi="Arial"/>
                <w:sz w:val="17"/>
                <w:szCs w:val="17"/>
                <w:color w:val="auto"/>
              </w:rPr>
              <w:t>Issuance of series E-3</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tcPr>
          <w:p>
            <w:pPr>
              <w:ind w:left="140"/>
              <w:spacing w:after="0"/>
              <w:rPr>
                <w:sz w:val="20"/>
                <w:szCs w:val="20"/>
                <w:color w:val="auto"/>
              </w:rPr>
            </w:pPr>
            <w:r>
              <w:rPr>
                <w:rFonts w:ascii="Arial" w:cs="Arial" w:eastAsia="Arial" w:hAnsi="Arial"/>
                <w:sz w:val="17"/>
                <w:szCs w:val="17"/>
                <w:color w:val="auto"/>
                <w:w w:val="98"/>
              </w:rPr>
              <w:t>convertible preferred shares,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ind w:left="140"/>
              <w:spacing w:after="0"/>
              <w:rPr>
                <w:sz w:val="20"/>
                <w:szCs w:val="20"/>
                <w:color w:val="auto"/>
              </w:rPr>
            </w:pPr>
            <w:r>
              <w:rPr>
                <w:rFonts w:ascii="Arial" w:cs="Arial" w:eastAsia="Arial" w:hAnsi="Arial"/>
                <w:sz w:val="17"/>
                <w:szCs w:val="17"/>
                <w:color w:val="auto"/>
              </w:rPr>
              <w:t>net</w:t>
            </w:r>
          </w:p>
        </w:tc>
        <w:tc>
          <w:tcPr>
            <w:tcW w:w="900" w:type="dxa"/>
            <w:vAlign w:val="bottom"/>
          </w:tcPr>
          <w:p>
            <w:pPr>
              <w:jc w:val="right"/>
              <w:spacing w:after="0"/>
              <w:rPr>
                <w:sz w:val="20"/>
                <w:szCs w:val="20"/>
                <w:color w:val="auto"/>
              </w:rPr>
            </w:pPr>
            <w:r>
              <w:rPr>
                <w:rFonts w:ascii="Arial" w:cs="Arial" w:eastAsia="Arial" w:hAnsi="Arial"/>
                <w:sz w:val="17"/>
                <w:szCs w:val="17"/>
                <w:color w:val="auto"/>
              </w:rPr>
              <w:t>1,947,126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25,558</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5"/>
              </w:rPr>
              <w:t>Issuance of series F convertible</w:t>
            </w:r>
          </w:p>
        </w:tc>
        <w:tc>
          <w:tcPr>
            <w:tcW w:w="9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preferred shares, net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2,051,744</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44,875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Exercise of share options</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835,743</w:t>
            </w:r>
          </w:p>
        </w:tc>
        <w:tc>
          <w:tcPr>
            <w:tcW w:w="8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512</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512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3,080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3,080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Other comprehensive income</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6"/>
              </w:rPr>
              <w:t>Net loss attributable to WalkMe</w:t>
            </w:r>
          </w:p>
        </w:tc>
        <w:tc>
          <w:tcPr>
            <w:tcW w:w="9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Ltd. Including adjustment to</w:t>
            </w: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redeemable non-controlling</w:t>
            </w: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(49,422)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(49,897)</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3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right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as of December 31,</w:t>
            </w:r>
          </w:p>
        </w:tc>
        <w:tc>
          <w:tcPr>
            <w:tcW w:w="9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56,969,441</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261,995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12,481,053</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7,636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(197,631)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(189,969)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00" w:type="dxa"/>
            <w:vAlign w:val="bottom"/>
          </w:tcPr>
          <w:p>
            <w:pPr>
              <w:spacing w:after="0" w:line="189" w:lineRule="exact"/>
              <w:rPr>
                <w:sz w:val="20"/>
                <w:szCs w:val="20"/>
                <w:color w:val="auto"/>
              </w:rPr>
            </w:pPr>
            <w:r>
              <w:rPr>
                <w:rFonts w:ascii="Arial" w:cs="Arial" w:eastAsia="Arial" w:hAnsi="Arial"/>
                <w:sz w:val="17"/>
                <w:szCs w:val="17"/>
                <w:color w:val="auto"/>
                <w:w w:val="94"/>
              </w:rPr>
              <w:t>Issuance of Series F convertible</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20" w:type="dxa"/>
            <w:vAlign w:val="bottom"/>
            <w:gridSpan w:val="2"/>
          </w:tcPr>
          <w:p>
            <w:pPr>
              <w:spacing w:after="0"/>
              <w:rPr>
                <w:sz w:val="20"/>
                <w:szCs w:val="20"/>
                <w:color w:val="auto"/>
              </w:rPr>
            </w:pPr>
            <w:r>
              <w:rPr>
                <w:rFonts w:ascii="Arial" w:cs="Arial" w:eastAsia="Arial" w:hAnsi="Arial"/>
                <w:sz w:val="17"/>
                <w:szCs w:val="17"/>
                <w:color w:val="auto"/>
              </w:rPr>
              <w:t>preferred shares, net</w:t>
            </w:r>
          </w:p>
        </w:tc>
        <w:tc>
          <w:tcPr>
            <w:tcW w:w="900" w:type="dxa"/>
            <w:vAlign w:val="bottom"/>
          </w:tcPr>
          <w:p>
            <w:pPr>
              <w:jc w:val="right"/>
              <w:spacing w:after="0"/>
              <w:rPr>
                <w:sz w:val="20"/>
                <w:szCs w:val="20"/>
                <w:color w:val="auto"/>
              </w:rPr>
            </w:pPr>
            <w:r>
              <w:rPr>
                <w:rFonts w:ascii="Arial" w:cs="Arial" w:eastAsia="Arial" w:hAnsi="Arial"/>
                <w:sz w:val="17"/>
                <w:szCs w:val="17"/>
                <w:color w:val="auto"/>
              </w:rPr>
              <w:t>1,755,139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38,495</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Exercise of share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1,291,947</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789</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Share-based compensation</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14,017</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14,017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Deemed dividend to ordinary</w:t>
            </w:r>
          </w:p>
        </w:tc>
        <w:tc>
          <w:tcPr>
            <w:tcW w:w="9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shareholders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4,569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(4,569)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Other comprehensive income</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6"/>
              </w:rPr>
              <w:t>Net loss attributable to WalkMe</w:t>
            </w:r>
          </w:p>
        </w:tc>
        <w:tc>
          <w:tcPr>
            <w:tcW w:w="9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Ltd.</w:t>
            </w: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including adjustment to</w:t>
            </w: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7"/>
              </w:rPr>
              <w:t>redeemable non-controlling</w:t>
            </w: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interest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(5,487)</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(43,714)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(49,201)</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3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right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as of December 31,</w:t>
            </w:r>
          </w:p>
        </w:tc>
        <w:tc>
          <w:tcPr>
            <w:tcW w:w="9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58,724,580</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300,490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13,773,000</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21,524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(245,914)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(224,259)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00" w:type="dxa"/>
            <w:vAlign w:val="bottom"/>
          </w:tcPr>
          <w:p>
            <w:pPr>
              <w:spacing w:after="0" w:line="189" w:lineRule="exact"/>
              <w:rPr>
                <w:sz w:val="20"/>
                <w:szCs w:val="20"/>
                <w:color w:val="auto"/>
              </w:rPr>
            </w:pPr>
            <w:r>
              <w:rPr>
                <w:rFonts w:ascii="Arial" w:cs="Arial" w:eastAsia="Arial" w:hAnsi="Arial"/>
                <w:sz w:val="17"/>
                <w:szCs w:val="17"/>
                <w:color w:val="auto"/>
                <w:w w:val="94"/>
              </w:rPr>
              <w:t>Issuance of Series F convertible</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20" w:type="dxa"/>
            <w:vAlign w:val="bottom"/>
            <w:gridSpan w:val="2"/>
          </w:tcPr>
          <w:p>
            <w:pPr>
              <w:spacing w:after="0"/>
              <w:rPr>
                <w:sz w:val="20"/>
                <w:szCs w:val="20"/>
                <w:color w:val="auto"/>
              </w:rPr>
            </w:pPr>
            <w:r>
              <w:rPr>
                <w:rFonts w:ascii="Arial" w:cs="Arial" w:eastAsia="Arial" w:hAnsi="Arial"/>
                <w:sz w:val="17"/>
                <w:szCs w:val="17"/>
                <w:color w:val="auto"/>
              </w:rPr>
              <w:t>preferred shares, net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455,942</w:t>
            </w:r>
          </w:p>
        </w:tc>
        <w:tc>
          <w:tcPr>
            <w:tcW w:w="14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Issuance of ordinary shares in</w:t>
            </w:r>
          </w:p>
        </w:tc>
        <w:tc>
          <w:tcPr>
            <w:tcW w:w="9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connection with asset</w:t>
            </w: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acquisition</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33,150</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776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00" w:type="dxa"/>
            <w:vAlign w:val="bottom"/>
          </w:tcPr>
          <w:p>
            <w:pPr>
              <w:spacing w:after="0" w:line="189" w:lineRule="exact"/>
              <w:rPr>
                <w:sz w:val="20"/>
                <w:szCs w:val="20"/>
                <w:color w:val="auto"/>
              </w:rPr>
            </w:pPr>
            <w:r>
              <w:rPr>
                <w:rFonts w:ascii="Arial" w:cs="Arial" w:eastAsia="Arial" w:hAnsi="Arial"/>
                <w:sz w:val="17"/>
                <w:szCs w:val="17"/>
                <w:color w:val="auto"/>
              </w:rPr>
              <w:t>Conversion of convertible</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tcPr>
          <w:p>
            <w:pPr>
              <w:ind w:left="140"/>
              <w:spacing w:after="0"/>
              <w:rPr>
                <w:sz w:val="20"/>
                <w:szCs w:val="20"/>
                <w:color w:val="auto"/>
              </w:rPr>
            </w:pPr>
            <w:r>
              <w:rPr>
                <w:rFonts w:ascii="Arial" w:cs="Arial" w:eastAsia="Arial" w:hAnsi="Arial"/>
                <w:sz w:val="17"/>
                <w:szCs w:val="17"/>
                <w:color w:val="auto"/>
              </w:rPr>
              <w:t>preferred shares to ordinary</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tcPr>
          <w:p>
            <w:pPr>
              <w:ind w:left="140"/>
              <w:spacing w:after="0"/>
              <w:rPr>
                <w:sz w:val="20"/>
                <w:szCs w:val="20"/>
                <w:color w:val="auto"/>
              </w:rPr>
            </w:pPr>
            <w:r>
              <w:rPr>
                <w:rFonts w:ascii="Arial" w:cs="Arial" w:eastAsia="Arial" w:hAnsi="Arial"/>
                <w:sz w:val="17"/>
                <w:szCs w:val="17"/>
                <w:color w:val="auto"/>
              </w:rPr>
              <w:t>shares upon initial public</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Pr>
          <w:p>
            <w:pPr>
              <w:ind w:left="140"/>
              <w:spacing w:after="0"/>
              <w:rPr>
                <w:sz w:val="20"/>
                <w:szCs w:val="20"/>
                <w:color w:val="auto"/>
              </w:rPr>
            </w:pPr>
            <w:r>
              <w:rPr>
                <w:rFonts w:ascii="Arial" w:cs="Arial" w:eastAsia="Arial" w:hAnsi="Arial"/>
                <w:sz w:val="17"/>
                <w:szCs w:val="17"/>
                <w:color w:val="auto"/>
              </w:rPr>
              <w:t>offering</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(59,180,522)</w:t>
            </w:r>
          </w:p>
        </w:tc>
        <w:tc>
          <w:tcPr>
            <w:tcW w:w="14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(310,490)</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59,180,522</w:t>
            </w:r>
          </w:p>
        </w:tc>
        <w:tc>
          <w:tcPr>
            <w:tcW w:w="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310,490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310,490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0"/>
              </w:rPr>
              <w:t>Issuance of ordinary shares upon</w:t>
            </w:r>
          </w:p>
        </w:tc>
        <w:tc>
          <w:tcPr>
            <w:tcW w:w="9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initial public offering, net of</w:t>
            </w: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underwriting discounts and</w:t>
            </w: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commissions and other</w:t>
            </w: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issuance costs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9,250,000</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263,911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263,911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00" w:type="dxa"/>
            <w:vAlign w:val="bottom"/>
          </w:tcPr>
          <w:p>
            <w:pPr>
              <w:spacing w:after="0" w:line="189" w:lineRule="exact"/>
              <w:rPr>
                <w:sz w:val="20"/>
                <w:szCs w:val="20"/>
                <w:color w:val="auto"/>
              </w:rPr>
            </w:pPr>
            <w:r>
              <w:rPr>
                <w:rFonts w:ascii="Arial" w:cs="Arial" w:eastAsia="Arial" w:hAnsi="Arial"/>
                <w:sz w:val="17"/>
                <w:szCs w:val="17"/>
                <w:color w:val="auto"/>
              </w:rPr>
              <w:t>Exercise of share options and</w:t>
            </w: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20" w:type="dxa"/>
            <w:vAlign w:val="bottom"/>
            <w:gridSpan w:val="2"/>
          </w:tcPr>
          <w:p>
            <w:pPr>
              <w:spacing w:after="0"/>
              <w:rPr>
                <w:sz w:val="20"/>
                <w:szCs w:val="20"/>
                <w:color w:val="auto"/>
              </w:rPr>
            </w:pPr>
            <w:r>
              <w:rPr>
                <w:rFonts w:ascii="Arial" w:cs="Arial" w:eastAsia="Arial" w:hAnsi="Arial"/>
                <w:sz w:val="17"/>
                <w:szCs w:val="17"/>
                <w:color w:val="auto"/>
              </w:rPr>
              <w:t>vested RSUs</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1,517,334</w:t>
            </w:r>
          </w:p>
        </w:tc>
        <w:tc>
          <w:tcPr>
            <w:tcW w:w="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2,849</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2,849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27,332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27,332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Other comprehensive income</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6"/>
              </w:rPr>
              <w:t>Net loss attributable to WalkMe</w:t>
            </w:r>
          </w:p>
        </w:tc>
        <w:tc>
          <w:tcPr>
            <w:tcW w:w="9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Ltd. including adjustment to</w:t>
            </w: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redeemable non-controlling</w:t>
            </w:r>
          </w:p>
        </w:tc>
        <w:tc>
          <w:tcPr>
            <w:tcW w:w="9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(16,689)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(79,124)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(95,813)</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3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right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as of December 31,</w:t>
            </w:r>
          </w:p>
        </w:tc>
        <w:tc>
          <w:tcPr>
            <w:tcW w:w="9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83,754,006</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610,193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(325,038)</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285,610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ectPr>
          <w:pgSz w:w="11900" w:h="16838" w:orient="portrait"/>
          <w:cols w:equalWidth="0" w:num="1">
            <w:col w:w="11240"/>
          </w:cols>
          <w:pgMar w:left="320" w:top="123" w:right="339" w:bottom="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7141845" cy="158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0" w:gutter="0" w:footer="0" w:header="0"/>
          <w:type w:val="continuous"/>
        </w:sectPr>
      </w:pPr>
    </w:p>
    <w:bookmarkStart w:id="152" w:name="page153"/>
    <w:bookmarkEnd w:id="152"/>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7"/>
              </w:rPr>
              <w:t>Year ended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7"/>
                <w:szCs w:val="17"/>
                <w:b w:val="1"/>
                <w:bCs w:val="1"/>
                <w:color w:val="auto"/>
                <w:w w:val="88"/>
              </w:rPr>
              <w:t>December 31,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4"/>
              </w:rPr>
              <w:t>2020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7140" w:type="dxa"/>
            <w:vAlign w:val="bottom"/>
            <w:gridSpan w:val="9"/>
            <w:shd w:val="clear" w:color="auto" w:fill="CCEEFF"/>
          </w:tcPr>
          <w:p>
            <w:pPr>
              <w:spacing w:after="0" w:line="163" w:lineRule="exact"/>
              <w:rPr>
                <w:sz w:val="20"/>
                <w:szCs w:val="20"/>
                <w:color w:val="auto"/>
              </w:rPr>
            </w:pPr>
            <w:r>
              <w:rPr>
                <w:rFonts w:ascii="Arial" w:cs="Arial" w:eastAsia="Arial" w:hAnsi="Arial"/>
                <w:sz w:val="17"/>
                <w:szCs w:val="17"/>
                <w:color w:val="auto"/>
              </w:rPr>
              <w:t>Cash flows from operating activities:</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gridSpan w:val="2"/>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gridSpan w:val="2"/>
          </w:tcPr>
          <w:p>
            <w:pPr>
              <w:spacing w:after="0"/>
              <w:rPr>
                <w:sz w:val="17"/>
                <w:szCs w:val="17"/>
                <w:color w:val="auto"/>
              </w:rPr>
            </w:pPr>
          </w:p>
        </w:tc>
        <w:tc>
          <w:tcPr>
            <w:tcW w:w="1220" w:type="dxa"/>
            <w:vAlign w:val="bottom"/>
            <w:tcBorders>
              <w:top w:val="single" w:sz="8" w:color="CCEEFF"/>
            </w:tcBorders>
            <w:gridSpan w:val="2"/>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gridSpan w:val="2"/>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20" w:type="dxa"/>
            <w:vAlign w:val="bottom"/>
            <w:gridSpan w:val="8"/>
            <w:shd w:val="clear" w:color="auto" w:fill="CCEEFF"/>
          </w:tcPr>
          <w:p>
            <w:pPr>
              <w:ind w:left="200"/>
              <w:spacing w:after="0"/>
              <w:rPr>
                <w:sz w:val="20"/>
                <w:szCs w:val="20"/>
                <w:color w:val="auto"/>
              </w:rPr>
            </w:pPr>
            <w:r>
              <w:rPr>
                <w:rFonts w:ascii="Arial" w:cs="Arial" w:eastAsia="Arial" w:hAnsi="Arial"/>
                <w:sz w:val="17"/>
                <w:szCs w:val="17"/>
                <w:color w:val="auto"/>
              </w:rPr>
              <w:t>Net loss</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(80,293)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(45,025)</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(50,118)</w:t>
            </w: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20" w:type="dxa"/>
            <w:vAlign w:val="bottom"/>
            <w:gridSpan w:val="8"/>
            <w:shd w:val="clear" w:color="auto" w:fill="CCEEFF"/>
          </w:tcPr>
          <w:p>
            <w:pPr>
              <w:ind w:left="20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20" w:type="dxa"/>
            <w:vAlign w:val="bottom"/>
            <w:gridSpan w:val="8"/>
          </w:tcPr>
          <w:p>
            <w:pPr>
              <w:ind w:left="340"/>
              <w:spacing w:after="0"/>
              <w:rPr>
                <w:sz w:val="20"/>
                <w:szCs w:val="20"/>
                <w:color w:val="auto"/>
              </w:rPr>
            </w:pPr>
            <w:r>
              <w:rPr>
                <w:rFonts w:ascii="Arial" w:cs="Arial" w:eastAsia="Arial" w:hAnsi="Arial"/>
                <w:sz w:val="17"/>
                <w:szCs w:val="17"/>
                <w:color w:val="auto"/>
              </w:rPr>
              <w:t>Share-based compensation</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27,332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14,017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3,080</w:t>
            </w:r>
          </w:p>
        </w:tc>
      </w:tr>
      <w:tr>
        <w:trPr>
          <w:trHeight w:val="201"/>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20" w:type="dxa"/>
            <w:vAlign w:val="bottom"/>
            <w:gridSpan w:val="8"/>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3,509</w:t>
            </w: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20" w:type="dxa"/>
            <w:vAlign w:val="bottom"/>
            <w:gridSpan w:val="8"/>
          </w:tcPr>
          <w:p>
            <w:pPr>
              <w:ind w:left="340"/>
              <w:spacing w:after="0"/>
              <w:rPr>
                <w:sz w:val="20"/>
                <w:szCs w:val="20"/>
                <w:color w:val="auto"/>
              </w:rPr>
            </w:pPr>
            <w:r>
              <w:rPr>
                <w:rFonts w:ascii="Arial" w:cs="Arial" w:eastAsia="Arial" w:hAnsi="Arial"/>
                <w:sz w:val="17"/>
                <w:szCs w:val="17"/>
                <w:color w:val="auto"/>
              </w:rPr>
              <w:t>Increase in accrued interest on short-term and long-term deposits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(189)</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(886)</w:t>
            </w:r>
          </w:p>
        </w:tc>
      </w:tr>
      <w:tr>
        <w:trPr>
          <w:trHeight w:val="201"/>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20" w:type="dxa"/>
            <w:vAlign w:val="bottom"/>
            <w:gridSpan w:val="8"/>
            <w:shd w:val="clear" w:color="auto" w:fill="CCEEFF"/>
          </w:tcPr>
          <w:p>
            <w:pPr>
              <w:ind w:left="340"/>
              <w:spacing w:after="0"/>
              <w:rPr>
                <w:sz w:val="20"/>
                <w:szCs w:val="20"/>
                <w:color w:val="auto"/>
              </w:rPr>
            </w:pPr>
            <w:r>
              <w:rPr>
                <w:rFonts w:ascii="Arial" w:cs="Arial" w:eastAsia="Arial" w:hAnsi="Arial"/>
                <w:sz w:val="17"/>
                <w:szCs w:val="17"/>
                <w:color w:val="auto"/>
              </w:rPr>
              <w:t>Decrease (increase) in trade receivables, net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(6,976)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(14,274)</w:t>
            </w: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20" w:type="dxa"/>
            <w:vAlign w:val="bottom"/>
            <w:gridSpan w:val="8"/>
          </w:tcPr>
          <w:p>
            <w:pPr>
              <w:ind w:left="340"/>
              <w:spacing w:after="0"/>
              <w:rPr>
                <w:sz w:val="20"/>
                <w:szCs w:val="20"/>
                <w:color w:val="auto"/>
              </w:rPr>
            </w:pPr>
            <w:r>
              <w:rPr>
                <w:rFonts w:ascii="Arial" w:cs="Arial" w:eastAsia="Arial" w:hAnsi="Arial"/>
                <w:sz w:val="17"/>
                <w:szCs w:val="17"/>
                <w:color w:val="auto"/>
              </w:rPr>
              <w:t>Increase in prepaid expenses and other assets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(29,763)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(6,981)</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(13,918)</w:t>
            </w:r>
          </w:p>
        </w:tc>
      </w:tr>
      <w:tr>
        <w:trPr>
          <w:trHeight w:val="201"/>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20" w:type="dxa"/>
            <w:vAlign w:val="bottom"/>
            <w:gridSpan w:val="8"/>
            <w:shd w:val="clear" w:color="auto" w:fill="CCEEFF"/>
          </w:tcPr>
          <w:p>
            <w:pPr>
              <w:ind w:left="340"/>
              <w:spacing w:after="0"/>
              <w:rPr>
                <w:sz w:val="20"/>
                <w:szCs w:val="20"/>
                <w:color w:val="auto"/>
              </w:rPr>
            </w:pPr>
            <w:r>
              <w:rPr>
                <w:rFonts w:ascii="Arial" w:cs="Arial" w:eastAsia="Arial" w:hAnsi="Arial"/>
                <w:sz w:val="17"/>
                <w:szCs w:val="17"/>
                <w:color w:val="auto"/>
              </w:rPr>
              <w:t>Increase in trade payables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336</w:t>
            </w: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20" w:type="dxa"/>
            <w:vAlign w:val="bottom"/>
            <w:gridSpan w:val="8"/>
          </w:tcPr>
          <w:p>
            <w:pPr>
              <w:ind w:left="340"/>
              <w:spacing w:after="0"/>
              <w:rPr>
                <w:sz w:val="20"/>
                <w:szCs w:val="20"/>
                <w:color w:val="auto"/>
              </w:rPr>
            </w:pPr>
            <w:r>
              <w:rPr>
                <w:rFonts w:ascii="Arial" w:cs="Arial" w:eastAsia="Arial" w:hAnsi="Arial"/>
                <w:sz w:val="17"/>
                <w:szCs w:val="17"/>
                <w:color w:val="auto"/>
              </w:rPr>
              <w:t>Increase in employees and payroll accruals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15,010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5,003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4,417</w:t>
            </w:r>
          </w:p>
        </w:tc>
      </w:tr>
      <w:tr>
        <w:trPr>
          <w:trHeight w:val="201"/>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20" w:type="dxa"/>
            <w:vAlign w:val="bottom"/>
            <w:gridSpan w:val="8"/>
            <w:shd w:val="clear" w:color="auto" w:fill="CCEEFF"/>
          </w:tcPr>
          <w:p>
            <w:pPr>
              <w:ind w:left="340"/>
              <w:spacing w:after="0"/>
              <w:rPr>
                <w:sz w:val="20"/>
                <w:szCs w:val="20"/>
                <w:color w:val="auto"/>
              </w:rPr>
            </w:pPr>
            <w:r>
              <w:rPr>
                <w:rFonts w:ascii="Arial" w:cs="Arial" w:eastAsia="Arial" w:hAnsi="Arial"/>
                <w:sz w:val="17"/>
                <w:szCs w:val="17"/>
                <w:color w:val="auto"/>
              </w:rPr>
              <w:t>Increase (decrease) in accrued expenses and other liabilities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(1,563)</w:t>
            </w: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20" w:type="dxa"/>
            <w:vAlign w:val="bottom"/>
            <w:gridSpan w:val="8"/>
          </w:tcPr>
          <w:p>
            <w:pPr>
              <w:ind w:left="340"/>
              <w:spacing w:after="0"/>
              <w:rPr>
                <w:sz w:val="20"/>
                <w:szCs w:val="20"/>
                <w:color w:val="auto"/>
              </w:rPr>
            </w:pPr>
            <w:r>
              <w:rPr>
                <w:rFonts w:ascii="Arial" w:cs="Arial" w:eastAsia="Arial" w:hAnsi="Arial"/>
                <w:sz w:val="17"/>
                <w:szCs w:val="17"/>
                <w:color w:val="auto"/>
              </w:rPr>
              <w:t>Increase in deferred revenues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28,577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5,220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20,139</w:t>
            </w:r>
          </w:p>
        </w:tc>
      </w:tr>
      <w:tr>
        <w:trPr>
          <w:trHeight w:val="206"/>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20" w:type="dxa"/>
            <w:vAlign w:val="bottom"/>
            <w:gridSpan w:val="8"/>
            <w:shd w:val="clear" w:color="auto" w:fill="CCEEFF"/>
          </w:tcPr>
          <w:p>
            <w:pPr>
              <w:ind w:left="340"/>
              <w:spacing w:after="0"/>
              <w:rPr>
                <w:sz w:val="20"/>
                <w:szCs w:val="20"/>
                <w:color w:val="auto"/>
              </w:rPr>
            </w:pPr>
            <w:r>
              <w:rPr>
                <w:rFonts w:ascii="Arial" w:cs="Arial" w:eastAsia="Arial" w:hAnsi="Arial"/>
                <w:sz w:val="17"/>
                <w:szCs w:val="17"/>
                <w:color w:val="auto"/>
              </w:rPr>
              <w:t>Deferred taxes, net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544</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734</w:t>
            </w:r>
          </w:p>
        </w:tc>
      </w:tr>
      <w:tr>
        <w:trPr>
          <w:trHeight w:val="201"/>
        </w:trPr>
        <w:tc>
          <w:tcPr>
            <w:tcW w:w="20" w:type="dxa"/>
            <w:vAlign w:val="bottom"/>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140" w:type="dxa"/>
            <w:vAlign w:val="bottom"/>
            <w:gridSpan w:val="9"/>
            <w:shd w:val="clear" w:color="auto" w:fill="CCEEFF"/>
          </w:tcPr>
          <w:p>
            <w:pPr>
              <w:ind w:left="120"/>
              <w:spacing w:after="0"/>
              <w:rPr>
                <w:sz w:val="20"/>
                <w:szCs w:val="20"/>
                <w:color w:val="auto"/>
              </w:rPr>
            </w:pPr>
            <w:r>
              <w:rPr>
                <w:rFonts w:ascii="Arial" w:cs="Arial" w:eastAsia="Arial" w:hAnsi="Arial"/>
                <w:sz w:val="17"/>
                <w:szCs w:val="17"/>
                <w:color w:val="auto"/>
              </w:rPr>
              <w:t>Net cash used in operating activities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(34,225)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(8,653)</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(48,544)</w:t>
            </w:r>
          </w:p>
        </w:tc>
      </w:tr>
      <w:tr>
        <w:trPr>
          <w:trHeight w:val="201"/>
        </w:trPr>
        <w:tc>
          <w:tcPr>
            <w:tcW w:w="20" w:type="dxa"/>
            <w:vAlign w:val="bottom"/>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7140" w:type="dxa"/>
            <w:vAlign w:val="bottom"/>
            <w:gridSpan w:val="9"/>
            <w:shd w:val="clear" w:color="auto" w:fill="CCEEFF"/>
          </w:tcPr>
          <w:p>
            <w:pPr>
              <w:ind w:left="120"/>
              <w:spacing w:after="0" w:line="163" w:lineRule="exact"/>
              <w:rPr>
                <w:sz w:val="20"/>
                <w:szCs w:val="20"/>
                <w:color w:val="auto"/>
              </w:rPr>
            </w:pPr>
            <w:r>
              <w:rPr>
                <w:rFonts w:ascii="Arial" w:cs="Arial" w:eastAsia="Arial" w:hAnsi="Arial"/>
                <w:sz w:val="17"/>
                <w:szCs w:val="17"/>
                <w:color w:val="auto"/>
              </w:rPr>
              <w:t>Cash flows from investing activities:</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gridSpan w:val="2"/>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20" w:type="dxa"/>
            <w:vAlign w:val="bottom"/>
            <w:gridSpan w:val="8"/>
            <w:shd w:val="clear" w:color="auto" w:fill="CCEEFF"/>
          </w:tcPr>
          <w:p>
            <w:pPr>
              <w:ind w:left="340"/>
              <w:spacing w:after="0"/>
              <w:rPr>
                <w:sz w:val="20"/>
                <w:szCs w:val="20"/>
                <w:color w:val="auto"/>
              </w:rPr>
            </w:pPr>
            <w:r>
              <w:rPr>
                <w:rFonts w:ascii="Arial" w:cs="Arial" w:eastAsia="Arial" w:hAnsi="Arial"/>
                <w:sz w:val="17"/>
                <w:szCs w:val="17"/>
                <w:color w:val="auto"/>
              </w:rPr>
              <w:t>Purchase of intangible assets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20" w:type="dxa"/>
            <w:vAlign w:val="bottom"/>
            <w:gridSpan w:val="8"/>
          </w:tcPr>
          <w:p>
            <w:pPr>
              <w:ind w:left="340"/>
              <w:spacing w:after="0"/>
              <w:rPr>
                <w:sz w:val="20"/>
                <w:szCs w:val="20"/>
                <w:color w:val="auto"/>
              </w:rPr>
            </w:pPr>
            <w:r>
              <w:rPr>
                <w:rFonts w:ascii="Arial" w:cs="Arial" w:eastAsia="Arial" w:hAnsi="Arial"/>
                <w:sz w:val="17"/>
                <w:szCs w:val="17"/>
                <w:color w:val="auto"/>
              </w:rPr>
              <w:t>Capitalization of software development costs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(3,912)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(1,530)</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(2,015)</w:t>
            </w:r>
          </w:p>
        </w:tc>
      </w:tr>
      <w:tr>
        <w:trPr>
          <w:trHeight w:val="201"/>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20" w:type="dxa"/>
            <w:vAlign w:val="bottom"/>
            <w:gridSpan w:val="8"/>
            <w:shd w:val="clear" w:color="auto" w:fill="CCEEFF"/>
          </w:tcPr>
          <w:p>
            <w:pPr>
              <w:ind w:left="340"/>
              <w:spacing w:after="0"/>
              <w:rPr>
                <w:sz w:val="20"/>
                <w:szCs w:val="20"/>
                <w:color w:val="auto"/>
              </w:rPr>
            </w:pPr>
            <w:r>
              <w:rPr>
                <w:rFonts w:ascii="Arial" w:cs="Arial" w:eastAsia="Arial" w:hAnsi="Arial"/>
                <w:sz w:val="17"/>
                <w:szCs w:val="17"/>
                <w:color w:val="auto"/>
              </w:rPr>
              <w:t>Purchase of property and equipment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(822)</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(2,463)</w:t>
            </w: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20" w:type="dxa"/>
            <w:vAlign w:val="bottom"/>
            <w:gridSpan w:val="8"/>
          </w:tcPr>
          <w:p>
            <w:pPr>
              <w:ind w:left="340"/>
              <w:spacing w:after="0"/>
              <w:rPr>
                <w:sz w:val="20"/>
                <w:szCs w:val="20"/>
                <w:color w:val="auto"/>
              </w:rPr>
            </w:pPr>
            <w:r>
              <w:rPr>
                <w:rFonts w:ascii="Arial" w:cs="Arial" w:eastAsia="Arial" w:hAnsi="Arial"/>
                <w:sz w:val="17"/>
                <w:szCs w:val="17"/>
                <w:color w:val="auto"/>
              </w:rPr>
              <w:t>Investment in short-term deposits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(66,260)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(44,000)</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(14,535)</w:t>
            </w:r>
          </w:p>
        </w:tc>
      </w:tr>
      <w:tr>
        <w:trPr>
          <w:trHeight w:val="201"/>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20" w:type="dxa"/>
            <w:vAlign w:val="bottom"/>
            <w:gridSpan w:val="8"/>
            <w:shd w:val="clear" w:color="auto" w:fill="CCEEFF"/>
          </w:tcPr>
          <w:p>
            <w:pPr>
              <w:ind w:left="340"/>
              <w:spacing w:after="0"/>
              <w:rPr>
                <w:sz w:val="20"/>
                <w:szCs w:val="20"/>
                <w:color w:val="auto"/>
              </w:rPr>
            </w:pPr>
            <w:r>
              <w:rPr>
                <w:rFonts w:ascii="Arial" w:cs="Arial" w:eastAsia="Arial" w:hAnsi="Arial"/>
                <w:sz w:val="17"/>
                <w:szCs w:val="17"/>
                <w:color w:val="auto"/>
              </w:rPr>
              <w:t>Proceeds from short-term deposits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45,003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23,814</w:t>
            </w: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20" w:type="dxa"/>
            <w:vAlign w:val="bottom"/>
            <w:gridSpan w:val="8"/>
          </w:tcPr>
          <w:p>
            <w:pPr>
              <w:ind w:left="340"/>
              <w:spacing w:after="0"/>
              <w:rPr>
                <w:sz w:val="20"/>
                <w:szCs w:val="20"/>
                <w:color w:val="auto"/>
              </w:rPr>
            </w:pPr>
            <w:r>
              <w:rPr>
                <w:rFonts w:ascii="Arial" w:cs="Arial" w:eastAsia="Arial" w:hAnsi="Arial"/>
                <w:sz w:val="17"/>
                <w:szCs w:val="17"/>
                <w:color w:val="auto"/>
              </w:rPr>
              <w:t>Investment in restricted deposits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(1,298)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(1,818)</w:t>
            </w:r>
          </w:p>
        </w:tc>
      </w:tr>
      <w:tr>
        <w:trPr>
          <w:trHeight w:val="206"/>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20" w:type="dxa"/>
            <w:vAlign w:val="bottom"/>
            <w:gridSpan w:val="8"/>
            <w:shd w:val="clear" w:color="auto" w:fill="CCEEFF"/>
          </w:tcPr>
          <w:p>
            <w:pPr>
              <w:ind w:left="340"/>
              <w:spacing w:after="0"/>
              <w:rPr>
                <w:sz w:val="20"/>
                <w:szCs w:val="20"/>
                <w:color w:val="auto"/>
              </w:rPr>
            </w:pPr>
            <w:r>
              <w:rPr>
                <w:rFonts w:ascii="Arial" w:cs="Arial" w:eastAsia="Arial" w:hAnsi="Arial"/>
                <w:sz w:val="17"/>
                <w:szCs w:val="17"/>
                <w:color w:val="auto"/>
              </w:rPr>
              <w:t>Proceeds from restricted deposits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623</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539</w:t>
            </w:r>
          </w:p>
        </w:tc>
      </w:tr>
      <w:tr>
        <w:trPr>
          <w:trHeight w:val="201"/>
        </w:trPr>
        <w:tc>
          <w:tcPr>
            <w:tcW w:w="20" w:type="dxa"/>
            <w:vAlign w:val="bottom"/>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140" w:type="dxa"/>
            <w:vAlign w:val="bottom"/>
            <w:gridSpan w:val="9"/>
            <w:shd w:val="clear" w:color="auto" w:fill="CCEEFF"/>
          </w:tcPr>
          <w:p>
            <w:pPr>
              <w:ind w:left="1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(27,523)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(45,729)</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3,522</w:t>
            </w:r>
          </w:p>
        </w:tc>
      </w:tr>
      <w:tr>
        <w:trPr>
          <w:trHeight w:val="201"/>
        </w:trPr>
        <w:tc>
          <w:tcPr>
            <w:tcW w:w="20" w:type="dxa"/>
            <w:vAlign w:val="bottom"/>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7140" w:type="dxa"/>
            <w:vAlign w:val="bottom"/>
            <w:gridSpan w:val="9"/>
            <w:shd w:val="clear" w:color="auto" w:fill="CCEEFF"/>
          </w:tcPr>
          <w:p>
            <w:pPr>
              <w:ind w:left="120"/>
              <w:spacing w:after="0" w:line="163" w:lineRule="exact"/>
              <w:rPr>
                <w:sz w:val="20"/>
                <w:szCs w:val="20"/>
                <w:color w:val="auto"/>
              </w:rPr>
            </w:pPr>
            <w:r>
              <w:rPr>
                <w:rFonts w:ascii="Arial" w:cs="Arial" w:eastAsia="Arial" w:hAnsi="Arial"/>
                <w:sz w:val="17"/>
                <w:szCs w:val="17"/>
                <w:color w:val="auto"/>
              </w:rPr>
              <w:t>Cash flows from financing activities:</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20" w:type="dxa"/>
            <w:vAlign w:val="bottom"/>
            <w:gridSpan w:val="8"/>
            <w:shd w:val="clear" w:color="auto" w:fill="CCEEFF"/>
          </w:tcPr>
          <w:p>
            <w:pPr>
              <w:ind w:left="340"/>
              <w:spacing w:after="0" w:line="189" w:lineRule="exact"/>
              <w:rPr>
                <w:sz w:val="20"/>
                <w:szCs w:val="20"/>
                <w:color w:val="auto"/>
              </w:rPr>
            </w:pPr>
            <w:r>
              <w:rPr>
                <w:rFonts w:ascii="Arial" w:cs="Arial" w:eastAsia="Arial" w:hAnsi="Arial"/>
                <w:sz w:val="17"/>
                <w:szCs w:val="17"/>
                <w:color w:val="auto"/>
                <w:w w:val="94"/>
              </w:rPr>
              <w:t>Proceeds from initial public offering, net of underwriting discounts and commissions and other</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20" w:type="dxa"/>
            <w:vAlign w:val="bottom"/>
            <w:gridSpan w:val="8"/>
            <w:shd w:val="clear" w:color="auto" w:fill="CCEEFF"/>
          </w:tcPr>
          <w:p>
            <w:pPr>
              <w:ind w:left="340"/>
              <w:spacing w:after="0"/>
              <w:rPr>
                <w:sz w:val="20"/>
                <w:szCs w:val="20"/>
                <w:color w:val="auto"/>
              </w:rPr>
            </w:pPr>
            <w:r>
              <w:rPr>
                <w:rFonts w:ascii="Arial" w:cs="Arial" w:eastAsia="Arial" w:hAnsi="Arial"/>
                <w:sz w:val="17"/>
                <w:szCs w:val="17"/>
                <w:color w:val="auto"/>
              </w:rPr>
              <w:t>issuance costs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263,922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20" w:type="dxa"/>
            <w:vAlign w:val="bottom"/>
            <w:gridSpan w:val="8"/>
          </w:tcPr>
          <w:p>
            <w:pPr>
              <w:ind w:left="340"/>
              <w:spacing w:after="0"/>
              <w:rPr>
                <w:sz w:val="20"/>
                <w:szCs w:val="20"/>
                <w:color w:val="auto"/>
              </w:rPr>
            </w:pPr>
            <w:r>
              <w:rPr>
                <w:rFonts w:ascii="Arial" w:cs="Arial" w:eastAsia="Arial" w:hAnsi="Arial"/>
                <w:sz w:val="17"/>
                <w:szCs w:val="17"/>
                <w:color w:val="auto"/>
              </w:rPr>
              <w:t>Proceeds from exercise of options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2,867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789</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512</w:t>
            </w:r>
          </w:p>
        </w:tc>
      </w:tr>
      <w:tr>
        <w:trPr>
          <w:trHeight w:val="201"/>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20" w:type="dxa"/>
            <w:vAlign w:val="bottom"/>
            <w:gridSpan w:val="8"/>
            <w:shd w:val="clear" w:color="auto" w:fill="CCEEFF"/>
          </w:tcPr>
          <w:p>
            <w:pPr>
              <w:ind w:left="340"/>
              <w:spacing w:after="0"/>
              <w:rPr>
                <w:sz w:val="20"/>
                <w:szCs w:val="20"/>
                <w:color w:val="auto"/>
              </w:rPr>
            </w:pPr>
            <w:r>
              <w:rPr>
                <w:rFonts w:ascii="Arial" w:cs="Arial" w:eastAsia="Arial" w:hAnsi="Arial"/>
                <w:sz w:val="17"/>
                <w:szCs w:val="17"/>
                <w:color w:val="auto"/>
              </w:rPr>
              <w:t>Investment from redeemable non-controlling interest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2,237</w:t>
            </w:r>
          </w:p>
        </w:tc>
      </w:tr>
      <w:tr>
        <w:trPr>
          <w:trHeight w:val="20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20" w:type="dxa"/>
            <w:vAlign w:val="bottom"/>
            <w:gridSpan w:val="8"/>
          </w:tcPr>
          <w:p>
            <w:pPr>
              <w:ind w:left="340"/>
              <w:spacing w:after="0"/>
              <w:rPr>
                <w:sz w:val="20"/>
                <w:szCs w:val="20"/>
                <w:color w:val="auto"/>
              </w:rPr>
            </w:pPr>
            <w:r>
              <w:rPr>
                <w:rFonts w:ascii="Arial" w:cs="Arial" w:eastAsia="Arial" w:hAnsi="Arial"/>
                <w:sz w:val="17"/>
                <w:szCs w:val="17"/>
                <w:color w:val="auto"/>
              </w:rPr>
              <w:t>Issuance of preferred shares, net of issuance costs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38,495</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82,100</w:t>
            </w:r>
          </w:p>
        </w:tc>
      </w:tr>
      <w:tr>
        <w:trPr>
          <w:trHeight w:val="201"/>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140" w:type="dxa"/>
            <w:vAlign w:val="bottom"/>
            <w:gridSpan w:val="9"/>
          </w:tcPr>
          <w:p>
            <w:pPr>
              <w:ind w:left="120"/>
              <w:spacing w:after="0"/>
              <w:rPr>
                <w:sz w:val="20"/>
                <w:szCs w:val="20"/>
                <w:color w:val="auto"/>
              </w:rPr>
            </w:pPr>
            <w:r>
              <w:rPr>
                <w:rFonts w:ascii="Arial" w:cs="Arial" w:eastAsia="Arial" w:hAnsi="Arial"/>
                <w:sz w:val="17"/>
                <w:szCs w:val="17"/>
                <w:color w:val="auto"/>
              </w:rPr>
              <w:t>Net cash provided by financing activities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276,789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41,614</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84,849</w:t>
            </w:r>
          </w:p>
        </w:tc>
      </w:tr>
      <w:tr>
        <w:trPr>
          <w:trHeight w:val="206"/>
        </w:trPr>
        <w:tc>
          <w:tcPr>
            <w:tcW w:w="20" w:type="dxa"/>
            <w:vAlign w:val="bottom"/>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CCEEFF"/>
            </w:tcBorders>
            <w:gridSpan w:val="8"/>
            <w:shd w:val="clear" w:color="auto" w:fill="CCEEFF"/>
          </w:tcPr>
          <w:p>
            <w:pPr>
              <w:ind w:left="60"/>
              <w:spacing w:after="0"/>
              <w:rPr>
                <w:sz w:val="20"/>
                <w:szCs w:val="20"/>
                <w:color w:val="auto"/>
              </w:rPr>
            </w:pPr>
            <w:r>
              <w:rPr>
                <w:rFonts w:ascii="Arial" w:cs="Arial" w:eastAsia="Arial" w:hAnsi="Arial"/>
                <w:sz w:val="17"/>
                <w:szCs w:val="17"/>
                <w:color w:val="auto"/>
                <w:w w:val="95"/>
              </w:rPr>
              <w:t>Effect of foreign currency exchange rate changes on cash, cash equivalents, and restricted cash</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(685)</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7140" w:type="dxa"/>
            <w:vAlign w:val="bottom"/>
            <w:gridSpan w:val="9"/>
          </w:tcPr>
          <w:p>
            <w:pPr>
              <w:ind w:left="120"/>
              <w:spacing w:after="0"/>
              <w:rPr>
                <w:sz w:val="20"/>
                <w:szCs w:val="20"/>
                <w:color w:val="auto"/>
              </w:rPr>
            </w:pPr>
            <w:r>
              <w:rPr>
                <w:rFonts w:ascii="Arial" w:cs="Arial" w:eastAsia="Arial" w:hAnsi="Arial"/>
                <w:sz w:val="17"/>
                <w:szCs w:val="17"/>
                <w:color w:val="auto"/>
              </w:rPr>
              <w:t>Increase (decrease) in cash, cash equivalents and restricted cash</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214,356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(12,520)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39,878</w:t>
            </w:r>
          </w:p>
        </w:tc>
      </w:tr>
      <w:tr>
        <w:trPr>
          <w:trHeight w:val="206"/>
        </w:trPr>
        <w:tc>
          <w:tcPr>
            <w:tcW w:w="20" w:type="dxa"/>
            <w:vAlign w:val="bottom"/>
          </w:tcPr>
          <w:p>
            <w:pPr>
              <w:spacing w:after="0"/>
              <w:rPr>
                <w:sz w:val="17"/>
                <w:szCs w:val="17"/>
                <w:color w:val="auto"/>
              </w:rPr>
            </w:pPr>
          </w:p>
        </w:tc>
        <w:tc>
          <w:tcPr>
            <w:tcW w:w="7140" w:type="dxa"/>
            <w:vAlign w:val="bottom"/>
            <w:gridSpan w:val="9"/>
            <w:shd w:val="clear" w:color="auto" w:fill="CCEEFF"/>
          </w:tcPr>
          <w:p>
            <w:pPr>
              <w:ind w:left="120"/>
              <w:spacing w:after="0"/>
              <w:rPr>
                <w:sz w:val="20"/>
                <w:szCs w:val="20"/>
                <w:color w:val="auto"/>
              </w:rPr>
            </w:pPr>
            <w:r>
              <w:rPr>
                <w:rFonts w:ascii="Arial" w:cs="Arial" w:eastAsia="Arial" w:hAnsi="Arial"/>
                <w:sz w:val="17"/>
                <w:szCs w:val="17"/>
                <w:color w:val="auto"/>
              </w:rPr>
              <w:t>Cash, cash equivalents and restricted cash - beginning of year</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62,895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75,415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35,537</w:t>
            </w:r>
          </w:p>
        </w:tc>
      </w:tr>
      <w:tr>
        <w:trPr>
          <w:trHeight w:val="201"/>
        </w:trPr>
        <w:tc>
          <w:tcPr>
            <w:tcW w:w="20" w:type="dxa"/>
            <w:vAlign w:val="bottom"/>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7140" w:type="dxa"/>
            <w:vAlign w:val="bottom"/>
            <w:gridSpan w:val="9"/>
            <w:shd w:val="clear" w:color="auto" w:fill="CCEEFF"/>
          </w:tcPr>
          <w:p>
            <w:pPr>
              <w:ind w:left="120"/>
              <w:spacing w:after="0"/>
              <w:rPr>
                <w:sz w:val="20"/>
                <w:szCs w:val="20"/>
                <w:color w:val="auto"/>
              </w:rPr>
            </w:pPr>
            <w:r>
              <w:rPr>
                <w:rFonts w:ascii="Arial" w:cs="Arial" w:eastAsia="Arial" w:hAnsi="Arial"/>
                <w:sz w:val="17"/>
                <w:szCs w:val="17"/>
                <w:color w:val="auto"/>
              </w:rPr>
              <w:t>Cash, cash equivalents and restricted cash - end of year</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277,251</w:t>
            </w: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62,895</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75,415</w:t>
            </w:r>
          </w:p>
        </w:tc>
      </w:tr>
      <w:tr>
        <w:trPr>
          <w:trHeight w:val="162"/>
        </w:trPr>
        <w:tc>
          <w:tcPr>
            <w:tcW w:w="20" w:type="dxa"/>
            <w:vAlign w:val="bottom"/>
          </w:tcPr>
          <w:p>
            <w:pPr>
              <w:spacing w:after="0"/>
              <w:rPr>
                <w:sz w:val="14"/>
                <w:szCs w:val="14"/>
                <w:color w:val="auto"/>
              </w:rPr>
            </w:pPr>
          </w:p>
        </w:tc>
        <w:tc>
          <w:tcPr>
            <w:tcW w:w="3440" w:type="dxa"/>
            <w:vAlign w:val="bottom"/>
            <w:tcBorders>
              <w:top w:val="single" w:sz="8" w:color="CCEEFF"/>
              <w:bottom w:val="single" w:sz="8" w:color="auto"/>
            </w:tcBorders>
            <w:gridSpan w:val="5"/>
          </w:tcPr>
          <w:p>
            <w:pPr>
              <w:spacing w:after="0" w:line="154" w:lineRule="exact"/>
              <w:rPr>
                <w:sz w:val="20"/>
                <w:szCs w:val="20"/>
                <w:color w:val="auto"/>
              </w:rPr>
            </w:pPr>
            <w:r>
              <w:rPr>
                <w:rFonts w:ascii="Arial" w:cs="Arial" w:eastAsia="Arial" w:hAnsi="Arial"/>
                <w:sz w:val="17"/>
                <w:szCs w:val="17"/>
                <w:color w:val="auto"/>
                <w:w w:val="89"/>
              </w:rPr>
              <w:t>Supplemental disclosures of cash flow information:</w:t>
            </w:r>
          </w:p>
        </w:tc>
        <w:tc>
          <w:tcPr>
            <w:tcW w:w="3700" w:type="dxa"/>
            <w:vAlign w:val="bottom"/>
            <w:tcBorders>
              <w:top w:val="single" w:sz="8" w:color="CCEEFF"/>
            </w:tcBorders>
            <w:gridSpan w:val="4"/>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140" w:type="dxa"/>
            <w:vAlign w:val="bottom"/>
            <w:gridSpan w:val="9"/>
            <w:shd w:val="clear" w:color="auto" w:fill="CCEEFF"/>
          </w:tcPr>
          <w:p>
            <w:pPr>
              <w:ind w:left="120"/>
              <w:spacing w:after="0"/>
              <w:rPr>
                <w:sz w:val="20"/>
                <w:szCs w:val="20"/>
                <w:color w:val="auto"/>
              </w:rPr>
            </w:pPr>
            <w:r>
              <w:rPr>
                <w:rFonts w:ascii="Arial" w:cs="Arial" w:eastAsia="Arial" w:hAnsi="Arial"/>
                <w:sz w:val="17"/>
                <w:szCs w:val="17"/>
                <w:color w:val="auto"/>
              </w:rPr>
              <w:t>Cash paid for income taxes</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1,260</w:t>
            </w:r>
          </w:p>
        </w:tc>
      </w:tr>
      <w:tr>
        <w:trPr>
          <w:trHeight w:val="172"/>
        </w:trPr>
        <w:tc>
          <w:tcPr>
            <w:tcW w:w="20" w:type="dxa"/>
            <w:vAlign w:val="bottom"/>
          </w:tcPr>
          <w:p>
            <w:pPr>
              <w:spacing w:after="0"/>
              <w:rPr>
                <w:sz w:val="14"/>
                <w:szCs w:val="14"/>
                <w:color w:val="auto"/>
              </w:rPr>
            </w:pPr>
          </w:p>
        </w:tc>
        <w:tc>
          <w:tcPr>
            <w:tcW w:w="7140" w:type="dxa"/>
            <w:vAlign w:val="bottom"/>
            <w:gridSpan w:val="9"/>
          </w:tcPr>
          <w:p>
            <w:pPr>
              <w:spacing w:after="0" w:line="163" w:lineRule="exact"/>
              <w:rPr>
                <w:sz w:val="20"/>
                <w:szCs w:val="20"/>
                <w:color w:val="auto"/>
              </w:rPr>
            </w:pPr>
            <w:r>
              <w:rPr>
                <w:rFonts w:ascii="Arial" w:cs="Arial" w:eastAsia="Arial" w:hAnsi="Arial"/>
                <w:sz w:val="17"/>
                <w:szCs w:val="17"/>
                <w:color w:val="auto"/>
              </w:rPr>
              <w:t>Supplemental disclosures of noncash investing and financing activities: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auto"/>
            </w:tcBorders>
            <w:gridSpan w:val="7"/>
            <w:shd w:val="clear" w:color="auto" w:fill="CCEEFF"/>
          </w:tcPr>
          <w:p>
            <w:pPr>
              <w:ind w:left="120"/>
              <w:spacing w:after="0"/>
              <w:rPr>
                <w:sz w:val="20"/>
                <w:szCs w:val="20"/>
                <w:color w:val="auto"/>
              </w:rPr>
            </w:pPr>
            <w:r>
              <w:rPr>
                <w:rFonts w:ascii="Arial" w:cs="Arial" w:eastAsia="Arial" w:hAnsi="Arial"/>
                <w:sz w:val="17"/>
                <w:szCs w:val="17"/>
                <w:color w:val="auto"/>
              </w:rPr>
              <w:t>Purchase of property and equipment, accrued but not paid</w:t>
            </w:r>
          </w:p>
        </w:tc>
        <w:tc>
          <w:tcPr>
            <w:tcW w:w="2380" w:type="dxa"/>
            <w:vAlign w:val="bottom"/>
            <w:gridSpan w:val="2"/>
            <w:shd w:val="clear" w:color="auto" w:fill="CCEEFF"/>
          </w:tcPr>
          <w:p>
            <w:pPr>
              <w:spacing w:after="0"/>
              <w:rPr>
                <w:sz w:val="18"/>
                <w:szCs w:val="18"/>
                <w:color w:val="auto"/>
              </w:rPr>
            </w:pP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191</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20" w:type="dxa"/>
            <w:vAlign w:val="bottom"/>
          </w:tcPr>
          <w:p>
            <w:pPr>
              <w:spacing w:after="0"/>
              <w:rPr>
                <w:sz w:val="17"/>
                <w:szCs w:val="17"/>
                <w:color w:val="auto"/>
              </w:rPr>
            </w:pPr>
          </w:p>
        </w:tc>
        <w:tc>
          <w:tcPr>
            <w:tcW w:w="7140" w:type="dxa"/>
            <w:vAlign w:val="bottom"/>
            <w:gridSpan w:val="9"/>
          </w:tcPr>
          <w:p>
            <w:pPr>
              <w:ind w:left="120"/>
              <w:spacing w:after="0"/>
              <w:rPr>
                <w:sz w:val="20"/>
                <w:szCs w:val="20"/>
                <w:color w:val="auto"/>
              </w:rPr>
            </w:pPr>
            <w:r>
              <w:rPr>
                <w:rFonts w:ascii="Arial" w:cs="Arial" w:eastAsia="Arial" w:hAnsi="Arial"/>
                <w:sz w:val="17"/>
                <w:szCs w:val="17"/>
                <w:color w:val="auto"/>
              </w:rPr>
              <w:t>Issuance of ordinary shares in connection with asset acquisition</w:t>
            </w:r>
          </w:p>
        </w:tc>
        <w:tc>
          <w:tcPr>
            <w:tcW w:w="400" w:type="dxa"/>
            <w:vAlign w:val="bottom"/>
            <w:gridSpan w:val="2"/>
          </w:tcPr>
          <w:p>
            <w:pPr>
              <w:jc w:val="right"/>
              <w:ind w:right="87"/>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776</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20" w:type="dxa"/>
            <w:vAlign w:val="bottom"/>
          </w:tcPr>
          <w:p>
            <w:pPr>
              <w:spacing w:after="0"/>
              <w:rPr>
                <w:sz w:val="17"/>
                <w:szCs w:val="17"/>
                <w:color w:val="auto"/>
              </w:rPr>
            </w:pPr>
          </w:p>
        </w:tc>
        <w:tc>
          <w:tcPr>
            <w:tcW w:w="7140" w:type="dxa"/>
            <w:vAlign w:val="bottom"/>
            <w:gridSpan w:val="9"/>
            <w:shd w:val="clear" w:color="auto" w:fill="CCEEFF"/>
          </w:tcPr>
          <w:p>
            <w:pPr>
              <w:ind w:left="120"/>
              <w:spacing w:after="0"/>
              <w:rPr>
                <w:sz w:val="20"/>
                <w:szCs w:val="20"/>
                <w:color w:val="auto"/>
              </w:rPr>
            </w:pPr>
            <w:r>
              <w:rPr>
                <w:rFonts w:ascii="Arial" w:cs="Arial" w:eastAsia="Arial" w:hAnsi="Arial"/>
                <w:sz w:val="17"/>
                <w:szCs w:val="17"/>
                <w:color w:val="auto"/>
              </w:rPr>
              <w:t>Conversion of convertible preferred shares</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310,490</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63"/>
        </w:trPr>
        <w:tc>
          <w:tcPr>
            <w:tcW w:w="20" w:type="dxa"/>
            <w:vAlign w:val="bottom"/>
            <w:tcBorders>
              <w:bottom w:val="single" w:sz="8" w:color="auto"/>
            </w:tcBorders>
          </w:tcPr>
          <w:p>
            <w:pPr>
              <w:spacing w:after="0"/>
              <w:rPr>
                <w:sz w:val="14"/>
                <w:szCs w:val="14"/>
                <w:color w:val="auto"/>
              </w:rPr>
            </w:pPr>
          </w:p>
        </w:tc>
        <w:tc>
          <w:tcPr>
            <w:tcW w:w="6980" w:type="dxa"/>
            <w:vAlign w:val="bottom"/>
            <w:tcBorders>
              <w:bottom w:val="single" w:sz="8" w:color="auto"/>
            </w:tcBorders>
            <w:gridSpan w:val="8"/>
          </w:tcPr>
          <w:p>
            <w:pPr>
              <w:spacing w:after="0" w:line="163" w:lineRule="exact"/>
              <w:rPr>
                <w:sz w:val="20"/>
                <w:szCs w:val="20"/>
                <w:color w:val="auto"/>
              </w:rPr>
            </w:pPr>
            <w:r>
              <w:rPr>
                <w:rFonts w:ascii="Arial" w:cs="Arial" w:eastAsia="Arial" w:hAnsi="Arial"/>
                <w:sz w:val="17"/>
                <w:szCs w:val="17"/>
                <w:color w:val="auto"/>
                <w:w w:val="87"/>
              </w:rPr>
              <w:t>Reconciliation of cash, cash equivalents and restricted cash within the consolidated balance sheets to the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0"/>
        </w:trPr>
        <w:tc>
          <w:tcPr>
            <w:tcW w:w="7160" w:type="dxa"/>
            <w:vAlign w:val="bottom"/>
            <w:gridSpan w:val="10"/>
          </w:tcPr>
          <w:p>
            <w:pPr>
              <w:spacing w:after="0" w:line="181" w:lineRule="exact"/>
              <w:rPr>
                <w:sz w:val="20"/>
                <w:szCs w:val="20"/>
                <w:color w:val="auto"/>
              </w:rPr>
            </w:pPr>
            <w:r>
              <w:rPr>
                <w:rFonts w:ascii="Arial" w:cs="Arial" w:eastAsia="Arial" w:hAnsi="Arial"/>
                <w:sz w:val="17"/>
                <w:szCs w:val="17"/>
                <w:color w:val="auto"/>
              </w:rPr>
              <w:t>amounts shown in the consolidated statements of cash flows above:</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tcBorders>
            <w:gridSpan w:val="6"/>
            <w:shd w:val="clear" w:color="auto" w:fill="CCEEFF"/>
          </w:tcPr>
          <w:p>
            <w:pPr>
              <w:ind w:left="120"/>
              <w:spacing w:after="0"/>
              <w:rPr>
                <w:sz w:val="20"/>
                <w:szCs w:val="20"/>
                <w:color w:val="auto"/>
              </w:rPr>
            </w:pPr>
            <w:r>
              <w:rPr>
                <w:rFonts w:ascii="Arial" w:cs="Arial" w:eastAsia="Arial" w:hAnsi="Arial"/>
                <w:sz w:val="17"/>
                <w:szCs w:val="17"/>
                <w:color w:val="auto"/>
              </w:rPr>
              <w:t>Cash and cash equivalents</w:t>
            </w:r>
          </w:p>
        </w:tc>
        <w:tc>
          <w:tcPr>
            <w:tcW w:w="2640" w:type="dxa"/>
            <w:vAlign w:val="bottom"/>
            <w:gridSpan w:val="3"/>
            <w:shd w:val="clear" w:color="auto" w:fill="CCEEFF"/>
          </w:tcPr>
          <w:p>
            <w:pPr>
              <w:spacing w:after="0"/>
              <w:rPr>
                <w:sz w:val="18"/>
                <w:szCs w:val="18"/>
                <w:color w:val="auto"/>
              </w:rPr>
            </w:pP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276,889</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62,328</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74,184</w:t>
            </w:r>
          </w:p>
        </w:tc>
      </w:tr>
      <w:tr>
        <w:trPr>
          <w:trHeight w:val="206"/>
        </w:trPr>
        <w:tc>
          <w:tcPr>
            <w:tcW w:w="20" w:type="dxa"/>
            <w:vAlign w:val="bottom"/>
          </w:tcPr>
          <w:p>
            <w:pPr>
              <w:spacing w:after="0"/>
              <w:rPr>
                <w:sz w:val="17"/>
                <w:szCs w:val="17"/>
                <w:color w:val="auto"/>
              </w:rPr>
            </w:pPr>
          </w:p>
        </w:tc>
        <w:tc>
          <w:tcPr>
            <w:tcW w:w="7140" w:type="dxa"/>
            <w:vAlign w:val="bottom"/>
            <w:gridSpan w:val="9"/>
          </w:tcPr>
          <w:p>
            <w:pPr>
              <w:ind w:left="120"/>
              <w:spacing w:after="0"/>
              <w:rPr>
                <w:sz w:val="20"/>
                <w:szCs w:val="20"/>
                <w:color w:val="auto"/>
              </w:rPr>
            </w:pPr>
            <w:r>
              <w:rPr>
                <w:rFonts w:ascii="Arial" w:cs="Arial" w:eastAsia="Arial" w:hAnsi="Arial"/>
                <w:sz w:val="17"/>
                <w:szCs w:val="17"/>
                <w:color w:val="auto"/>
              </w:rPr>
              <w:t>Restricted cash – included in short-term and long-term restricted deposits.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567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1,231</w:t>
            </w:r>
          </w:p>
        </w:tc>
      </w:tr>
      <w:tr>
        <w:trPr>
          <w:trHeight w:val="201"/>
        </w:trPr>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277,251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62,895</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75,415</w:t>
            </w:r>
          </w:p>
        </w:tc>
        <w:tc>
          <w:tcPr>
            <w:tcW w:w="10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consolidated financial statements.</w:t>
      </w:r>
    </w:p>
    <w:p>
      <w:pPr>
        <w:sectPr>
          <w:pgSz w:w="11900" w:h="16838" w:orient="portrait"/>
          <w:cols w:equalWidth="0" w:num="1">
            <w:col w:w="11240"/>
          </w:cols>
          <w:pgMar w:left="320" w:top="123" w:right="3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7141845" cy="158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53" w:name="page154"/>
    <w:bookmarkEnd w:id="153"/>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1:-</w:t>
      </w:r>
      <w:r>
        <w:rPr>
          <w:sz w:val="20"/>
          <w:szCs w:val="20"/>
          <w:color w:val="auto"/>
        </w:rPr>
        <w:tab/>
      </w:r>
      <w:r>
        <w:rPr>
          <w:rFonts w:ascii="Arial" w:cs="Arial" w:eastAsia="Arial" w:hAnsi="Arial"/>
          <w:sz w:val="16"/>
          <w:szCs w:val="16"/>
          <w:b w:val="1"/>
          <w:bCs w:val="1"/>
          <w:color w:val="auto"/>
        </w:rPr>
        <w:t>GENERAL</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WalkMe Ltd. (The "Company") was incorporated under the laws of Israel and commenced its operations on October 26, 2011. The Company provides a cloud-based Digital Adoption Platform that enables organizations to better realize the value of their software investments. The Digital Adoption Platform drives the success of digital transformation initiatives by empowering the Company’s customers with critical business insights to increase software adoption and improve user experiences for their employees and customers.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WalkMe Ltd has subsidiaries in the US, Australia, United Kingdom, Singapore, Canada and Japan. Together, WalkMe Ltd., and its subsidiaries, are referred to as the "Company".</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June 16, 2021, the Company completed its initial public offering (“IPO”), in which the Company issued and sold 9,250,000 shares of its ordinary shares at an offering price of $31.00 per share. The Company received net proceeds of $263,911 after deducting underwriting discounts and commissions of $18,639, and other issuance costs of $4,200. Immediately prior to the closing of the IPO, all convertible preferred shares then outstanding automatically converted into 59,180,522 ordinary shares.</w:t>
      </w:r>
    </w:p>
    <w:p>
      <w:pPr>
        <w:spacing w:after="0" w:line="17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2:-</w:t>
        <w:tab/>
        <w:t>SUMMARY OF SIGNIFICANT ACCOUNTING POLICIES</w:t>
      </w:r>
    </w:p>
    <w:p>
      <w:pPr>
        <w:spacing w:after="0" w:line="210"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The consolidated financial statements are prepared in accordance with generally accepted accounting principles in the United States ("U.S. GAAP") as set forth in the Financial Accounting Standards Board (FASB) Accounting Standards Codification (ASC).</w:t>
      </w:r>
    </w:p>
    <w:p>
      <w:pPr>
        <w:spacing w:after="0" w:line="166" w:lineRule="exact"/>
        <w:rPr>
          <w:sz w:val="20"/>
          <w:szCs w:val="20"/>
          <w:color w:val="auto"/>
        </w:rPr>
      </w:pPr>
    </w:p>
    <w:p>
      <w:pPr>
        <w:ind w:left="360" w:hanging="360"/>
        <w:spacing w:after="0"/>
        <w:tabs>
          <w:tab w:leader="none" w:pos="3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Principles of consolidation:</w:t>
      </w:r>
    </w:p>
    <w:p>
      <w:pPr>
        <w:spacing w:after="0" w:line="206" w:lineRule="exact"/>
        <w:rPr>
          <w:rFonts w:ascii="Arial" w:cs="Arial" w:eastAsia="Arial" w:hAnsi="Arial"/>
          <w:sz w:val="17"/>
          <w:szCs w:val="17"/>
          <w:color w:val="auto"/>
        </w:rPr>
      </w:pPr>
    </w:p>
    <w:p>
      <w:pPr>
        <w:ind w:left="360"/>
        <w:spacing w:after="0" w:line="268" w:lineRule="auto"/>
        <w:rPr>
          <w:rFonts w:ascii="Arial" w:cs="Arial" w:eastAsia="Arial" w:hAnsi="Arial"/>
          <w:sz w:val="17"/>
          <w:szCs w:val="17"/>
          <w:color w:val="auto"/>
        </w:rPr>
      </w:pPr>
      <w:r>
        <w:rPr>
          <w:rFonts w:ascii="Arial" w:cs="Arial" w:eastAsia="Arial" w:hAnsi="Arial"/>
          <w:sz w:val="17"/>
          <w:szCs w:val="17"/>
          <w:color w:val="auto"/>
        </w:rPr>
        <w:t>The consolidated financial statements include accounts of the Company’s wholly-owned subsidiaries as well as the Japanese subsidiary in which the Company controls a majority stake. All intercompany accounts and transactions are eliminated.</w:t>
      </w:r>
    </w:p>
    <w:p>
      <w:pPr>
        <w:spacing w:after="0" w:line="165" w:lineRule="exact"/>
        <w:rPr>
          <w:rFonts w:ascii="Arial" w:cs="Arial" w:eastAsia="Arial" w:hAnsi="Arial"/>
          <w:sz w:val="17"/>
          <w:szCs w:val="17"/>
          <w:color w:val="auto"/>
        </w:rPr>
      </w:pPr>
    </w:p>
    <w:p>
      <w:pPr>
        <w:ind w:left="360" w:hanging="360"/>
        <w:spacing w:after="0"/>
        <w:tabs>
          <w:tab w:leader="none" w:pos="3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Use of estimates:</w:t>
      </w:r>
    </w:p>
    <w:p>
      <w:pPr>
        <w:spacing w:after="0" w:line="206" w:lineRule="exact"/>
        <w:rPr>
          <w:rFonts w:ascii="Arial" w:cs="Arial" w:eastAsia="Arial" w:hAnsi="Arial"/>
          <w:sz w:val="17"/>
          <w:szCs w:val="17"/>
          <w:color w:val="auto"/>
        </w:rPr>
      </w:pPr>
    </w:p>
    <w:p>
      <w:pPr>
        <w:jc w:val="both"/>
        <w:ind w:left="360"/>
        <w:spacing w:after="0" w:line="250" w:lineRule="auto"/>
        <w:rPr>
          <w:rFonts w:ascii="Arial" w:cs="Arial" w:eastAsia="Arial" w:hAnsi="Arial"/>
          <w:sz w:val="17"/>
          <w:szCs w:val="17"/>
          <w:color w:val="auto"/>
        </w:rPr>
      </w:pPr>
      <w:r>
        <w:rPr>
          <w:rFonts w:ascii="Arial" w:cs="Arial" w:eastAsia="Arial" w:hAnsi="Arial"/>
          <w:sz w:val="17"/>
          <w:szCs w:val="17"/>
          <w:color w:val="auto"/>
        </w:rPr>
        <w:t>The preparation of financial statements in conformity with U.S. GAAP requires management to make estimates, judgments and assumptions that affect the amounts reported in the consolidated financial statements and accompanying notes. Significant items subject to such estimates and assumptions include, but are not limited to income taxes, share-based compensation, deferred contract acquisition costs, capitalized software development costs, as well as in estimates used in applying the revenue recognition policy. The Company's management believes that the estimates, judgment and assumptions used are reasonable based upon information available at the time they are made. These estimates, judgments and assumptions can affect the reported amounts of assets and liabilities at the dates of the consolidated financial statements, and the reported amounts of revenue and expenses during the reporting period. Actual results could differ from those estimates.</w:t>
      </w:r>
    </w:p>
    <w:p>
      <w:pPr>
        <w:spacing w:after="0" w:line="181" w:lineRule="exact"/>
        <w:rPr>
          <w:rFonts w:ascii="Arial" w:cs="Arial" w:eastAsia="Arial" w:hAnsi="Arial"/>
          <w:sz w:val="17"/>
          <w:szCs w:val="17"/>
          <w:color w:val="auto"/>
        </w:rPr>
      </w:pPr>
    </w:p>
    <w:p>
      <w:pPr>
        <w:ind w:left="360" w:hanging="360"/>
        <w:spacing w:after="0"/>
        <w:tabs>
          <w:tab w:leader="none" w:pos="3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Foreign currency:</w:t>
      </w:r>
    </w:p>
    <w:p>
      <w:pPr>
        <w:spacing w:after="0" w:line="206" w:lineRule="exact"/>
        <w:rPr>
          <w:rFonts w:ascii="Arial" w:cs="Arial" w:eastAsia="Arial" w:hAnsi="Arial"/>
          <w:sz w:val="17"/>
          <w:szCs w:val="17"/>
          <w:color w:val="auto"/>
        </w:rPr>
      </w:pPr>
    </w:p>
    <w:p>
      <w:pPr>
        <w:jc w:val="both"/>
        <w:ind w:left="360"/>
        <w:spacing w:after="0" w:line="274" w:lineRule="auto"/>
        <w:rPr>
          <w:rFonts w:ascii="Arial" w:cs="Arial" w:eastAsia="Arial" w:hAnsi="Arial"/>
          <w:sz w:val="17"/>
          <w:szCs w:val="17"/>
          <w:color w:val="auto"/>
        </w:rPr>
      </w:pPr>
      <w:r>
        <w:rPr>
          <w:rFonts w:ascii="Arial" w:cs="Arial" w:eastAsia="Arial" w:hAnsi="Arial"/>
          <w:sz w:val="16"/>
          <w:szCs w:val="16"/>
          <w:color w:val="auto"/>
        </w:rPr>
        <w:t>The functional currency of the Company is the U.S. dollar, with the exception of its Japanese subsidiary, for which the Japanese Yen is the functional currency. Accordingly, monetary accounts maintained in currencies other than the U.S. dollar are re-measured into U.S. dollars in accordance with Accounting Standard Codification ("ASC") No. 830 "Foreign Currency Matters." All transaction gains and losses of the re-measured monetary balance sheet items are reflected in the consolidated statements of operations as financial income or expenses, as appropriate.</w:t>
      </w:r>
    </w:p>
    <w:p>
      <w:pPr>
        <w:spacing w:after="0" w:line="164" w:lineRule="exact"/>
        <w:rPr>
          <w:rFonts w:ascii="Arial" w:cs="Arial" w:eastAsia="Arial" w:hAnsi="Arial"/>
          <w:sz w:val="17"/>
          <w:szCs w:val="17"/>
          <w:color w:val="auto"/>
        </w:rPr>
      </w:pPr>
    </w:p>
    <w:p>
      <w:pPr>
        <w:jc w:val="both"/>
        <w:ind w:left="360"/>
        <w:spacing w:after="0" w:line="307" w:lineRule="auto"/>
        <w:rPr>
          <w:rFonts w:ascii="Arial" w:cs="Arial" w:eastAsia="Arial" w:hAnsi="Arial"/>
          <w:sz w:val="17"/>
          <w:szCs w:val="17"/>
          <w:color w:val="auto"/>
        </w:rPr>
      </w:pPr>
      <w:r>
        <w:rPr>
          <w:rFonts w:ascii="Arial" w:cs="Arial" w:eastAsia="Arial" w:hAnsi="Arial"/>
          <w:sz w:val="15"/>
          <w:szCs w:val="15"/>
          <w:color w:val="auto"/>
        </w:rPr>
        <w:t>The financial statements of the Japanese subsidiary are translated to U.S. dollars using the balance sheet date exchange rates for assets and liabilities, historical rates of exchange for equity, and average exchange rates in the period for revenues and expenses. The effects of foreign currency translation adjustments are included in shareholders’ equity (deficit) as a component of accumulated other comprehensive income (loss) in the accompanying consolidated balance sheets.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10" w:lineRule="exact"/>
        <w:rPr>
          <w:sz w:val="20"/>
          <w:szCs w:val="20"/>
          <w:color w:val="auto"/>
        </w:rPr>
      </w:pPr>
    </w:p>
    <w:p>
      <w:pPr>
        <w:ind w:left="360" w:hanging="360"/>
        <w:spacing w:after="0"/>
        <w:tabs>
          <w:tab w:leader="none" w:pos="3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Cash and cash equivalents:</w:t>
      </w:r>
    </w:p>
    <w:p>
      <w:pPr>
        <w:spacing w:after="0" w:line="206" w:lineRule="exact"/>
        <w:rPr>
          <w:rFonts w:ascii="Arial" w:cs="Arial" w:eastAsia="Arial" w:hAnsi="Arial"/>
          <w:sz w:val="17"/>
          <w:szCs w:val="17"/>
          <w:color w:val="auto"/>
        </w:rPr>
      </w:pPr>
    </w:p>
    <w:p>
      <w:pPr>
        <w:jc w:val="both"/>
        <w:ind w:left="360"/>
        <w:spacing w:after="0" w:line="257" w:lineRule="auto"/>
        <w:rPr>
          <w:rFonts w:ascii="Arial" w:cs="Arial" w:eastAsia="Arial" w:hAnsi="Arial"/>
          <w:sz w:val="17"/>
          <w:szCs w:val="17"/>
          <w:color w:val="auto"/>
        </w:rPr>
      </w:pPr>
      <w:r>
        <w:rPr>
          <w:rFonts w:ascii="Arial" w:cs="Arial" w:eastAsia="Arial" w:hAnsi="Arial"/>
          <w:sz w:val="17"/>
          <w:szCs w:val="17"/>
          <w:color w:val="auto"/>
        </w:rPr>
        <w:t>Cash equivalents are short-term, highly liquid investments that are readily convertible to cash with original maturities of three months or less, at the date acquired. As of December 31, 2021 and 2020, the Company’s cash and cash equivalents consisted of $59,770 and $38,824 of cash held in the Company’s checking accounts and $217,119 and $23,504 bank deposits with maturities of three months or less, respectively.</w:t>
      </w:r>
    </w:p>
    <w:p>
      <w:pPr>
        <w:spacing w:after="0" w:line="175" w:lineRule="exact"/>
        <w:rPr>
          <w:rFonts w:ascii="Arial" w:cs="Arial" w:eastAsia="Arial" w:hAnsi="Arial"/>
          <w:sz w:val="17"/>
          <w:szCs w:val="17"/>
          <w:color w:val="auto"/>
        </w:rPr>
      </w:pPr>
    </w:p>
    <w:p>
      <w:pPr>
        <w:ind w:left="360" w:hanging="360"/>
        <w:spacing w:after="0"/>
        <w:tabs>
          <w:tab w:leader="none" w:pos="3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Short-term bank deposits:</w:t>
      </w:r>
    </w:p>
    <w:p>
      <w:pPr>
        <w:spacing w:after="0" w:line="206" w:lineRule="exact"/>
        <w:rPr>
          <w:rFonts w:ascii="Arial" w:cs="Arial" w:eastAsia="Arial" w:hAnsi="Arial"/>
          <w:sz w:val="17"/>
          <w:szCs w:val="17"/>
          <w:color w:val="auto"/>
        </w:rPr>
      </w:pPr>
    </w:p>
    <w:p>
      <w:pPr>
        <w:jc w:val="both"/>
        <w:ind w:left="360"/>
        <w:spacing w:after="0" w:line="257" w:lineRule="auto"/>
        <w:rPr>
          <w:rFonts w:ascii="Arial" w:cs="Arial" w:eastAsia="Arial" w:hAnsi="Arial"/>
          <w:sz w:val="17"/>
          <w:szCs w:val="17"/>
          <w:color w:val="auto"/>
        </w:rPr>
      </w:pPr>
      <w:r>
        <w:rPr>
          <w:rFonts w:ascii="Arial" w:cs="Arial" w:eastAsia="Arial" w:hAnsi="Arial"/>
          <w:sz w:val="17"/>
          <w:szCs w:val="17"/>
          <w:color w:val="auto"/>
        </w:rPr>
        <w:t>Short-term bank deposits are deposits with maturities of more than three months and less than one year. As of December 31, 2021 and 2020, the Company’s bank deposits are denominated mainly in U.S. dollars and bears yearly interest at weighted average rates of 0.74% and 0.87%. Short-term bank deposits are presented at their cost, including accrued interest.</w:t>
      </w:r>
    </w:p>
    <w:p>
      <w:pPr>
        <w:spacing w:after="0" w:line="175" w:lineRule="exact"/>
        <w:rPr>
          <w:rFonts w:ascii="Arial" w:cs="Arial" w:eastAsia="Arial" w:hAnsi="Arial"/>
          <w:sz w:val="17"/>
          <w:szCs w:val="17"/>
          <w:color w:val="auto"/>
        </w:rPr>
      </w:pPr>
    </w:p>
    <w:p>
      <w:pPr>
        <w:ind w:left="360" w:hanging="360"/>
        <w:spacing w:after="0"/>
        <w:tabs>
          <w:tab w:leader="none" w:pos="3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Restricted deposits:</w:t>
      </w:r>
    </w:p>
    <w:p>
      <w:pPr>
        <w:spacing w:after="0" w:line="206" w:lineRule="exact"/>
        <w:rPr>
          <w:rFonts w:ascii="Arial" w:cs="Arial" w:eastAsia="Arial" w:hAnsi="Arial"/>
          <w:sz w:val="17"/>
          <w:szCs w:val="17"/>
          <w:color w:val="auto"/>
        </w:rPr>
      </w:pPr>
    </w:p>
    <w:p>
      <w:pPr>
        <w:ind w:left="360"/>
        <w:spacing w:after="0" w:line="268" w:lineRule="auto"/>
        <w:rPr>
          <w:rFonts w:ascii="Arial" w:cs="Arial" w:eastAsia="Arial" w:hAnsi="Arial"/>
          <w:sz w:val="17"/>
          <w:szCs w:val="17"/>
          <w:color w:val="auto"/>
        </w:rPr>
      </w:pPr>
      <w:r>
        <w:rPr>
          <w:rFonts w:ascii="Arial" w:cs="Arial" w:eastAsia="Arial" w:hAnsi="Arial"/>
          <w:sz w:val="17"/>
          <w:szCs w:val="17"/>
          <w:color w:val="auto"/>
        </w:rPr>
        <w:t>These deposits are used as security for credit cards, rental of premises and hedging transactions credit line. The Company classifies as long-term, deposits that are in favor of rent agreements, according to the lease agreements’ term.</w:t>
      </w:r>
    </w:p>
    <w:p>
      <w:pPr>
        <w:spacing w:after="0" w:line="165" w:lineRule="exact"/>
        <w:rPr>
          <w:rFonts w:ascii="Arial" w:cs="Arial" w:eastAsia="Arial" w:hAnsi="Arial"/>
          <w:sz w:val="17"/>
          <w:szCs w:val="17"/>
          <w:color w:val="auto"/>
        </w:rPr>
      </w:pPr>
    </w:p>
    <w:p>
      <w:pPr>
        <w:ind w:left="360" w:hanging="360"/>
        <w:spacing w:after="0"/>
        <w:tabs>
          <w:tab w:leader="none" w:pos="3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Fair value of financial instruments:</w:t>
      </w:r>
    </w:p>
    <w:p>
      <w:pPr>
        <w:spacing w:after="0" w:line="206" w:lineRule="exact"/>
        <w:rPr>
          <w:rFonts w:ascii="Arial" w:cs="Arial" w:eastAsia="Arial" w:hAnsi="Arial"/>
          <w:sz w:val="17"/>
          <w:szCs w:val="17"/>
          <w:color w:val="auto"/>
        </w:rPr>
      </w:pPr>
    </w:p>
    <w:p>
      <w:pPr>
        <w:jc w:val="both"/>
        <w:ind w:left="360"/>
        <w:spacing w:after="0" w:line="257" w:lineRule="auto"/>
        <w:rPr>
          <w:rFonts w:ascii="Arial" w:cs="Arial" w:eastAsia="Arial" w:hAnsi="Arial"/>
          <w:sz w:val="17"/>
          <w:szCs w:val="17"/>
          <w:color w:val="auto"/>
        </w:rPr>
      </w:pPr>
      <w:r>
        <w:rPr>
          <w:rFonts w:ascii="Arial" w:cs="Arial" w:eastAsia="Arial" w:hAnsi="Arial"/>
          <w:sz w:val="17"/>
          <w:szCs w:val="17"/>
          <w:color w:val="auto"/>
        </w:rPr>
        <w:t>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w:t>
      </w:r>
    </w:p>
    <w:p>
      <w:pPr>
        <w:spacing w:after="0" w:line="175" w:lineRule="exact"/>
        <w:rPr>
          <w:rFonts w:ascii="Arial" w:cs="Arial" w:eastAsia="Arial" w:hAnsi="Arial"/>
          <w:sz w:val="17"/>
          <w:szCs w:val="17"/>
          <w:color w:val="auto"/>
        </w:rPr>
      </w:pPr>
    </w:p>
    <w:p>
      <w:pPr>
        <w:ind w:left="360" w:right="120"/>
        <w:spacing w:after="0" w:line="558" w:lineRule="auto"/>
        <w:rPr>
          <w:rFonts w:ascii="Arial" w:cs="Arial" w:eastAsia="Arial" w:hAnsi="Arial"/>
          <w:sz w:val="17"/>
          <w:szCs w:val="17"/>
          <w:color w:val="auto"/>
        </w:rPr>
      </w:pPr>
      <w:r>
        <w:rPr>
          <w:rFonts w:ascii="Arial" w:cs="Arial" w:eastAsia="Arial" w:hAnsi="Arial"/>
          <w:sz w:val="15"/>
          <w:szCs w:val="15"/>
          <w:color w:val="auto"/>
        </w:rPr>
        <w:t xml:space="preserve">The accounting guidance establishes a three-tiered hierarchy, which prioritizes the inputs used in the valuation methodologies in measuring fair value as follows: </w:t>
      </w:r>
      <w:r>
        <w:rPr>
          <w:rFonts w:ascii="Arial" w:cs="Arial" w:eastAsia="Arial" w:hAnsi="Arial"/>
          <w:sz w:val="15"/>
          <w:szCs w:val="15"/>
          <w:b w:val="1"/>
          <w:bCs w:val="1"/>
          <w:i w:val="1"/>
          <w:iCs w:val="1"/>
          <w:color w:val="auto"/>
        </w:rPr>
        <w:t xml:space="preserve">Level 1 Inputs: </w:t>
      </w:r>
      <w:r>
        <w:rPr>
          <w:rFonts w:ascii="Arial" w:cs="Arial" w:eastAsia="Arial" w:hAnsi="Arial"/>
          <w:sz w:val="15"/>
          <w:szCs w:val="15"/>
          <w:color w:val="auto"/>
        </w:rPr>
        <w:t>Unadjusted quoted prices in active markets for identical assets or liabilities accessible to the reporting entity at the measurement date.</w:t>
      </w:r>
    </w:p>
    <w:p>
      <w:pPr>
        <w:spacing w:after="0" w:line="1" w:lineRule="exact"/>
        <w:rPr>
          <w:rFonts w:ascii="Arial" w:cs="Arial" w:eastAsia="Arial" w:hAnsi="Arial"/>
          <w:sz w:val="17"/>
          <w:szCs w:val="17"/>
          <w:color w:val="auto"/>
        </w:rPr>
      </w:pPr>
    </w:p>
    <w:p>
      <w:pPr>
        <w:ind w:left="360"/>
        <w:spacing w:after="0" w:line="268" w:lineRule="auto"/>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Level 2 Inputs: </w:t>
      </w:r>
      <w:r>
        <w:rPr>
          <w:rFonts w:ascii="Arial" w:cs="Arial" w:eastAsia="Arial" w:hAnsi="Arial"/>
          <w:sz w:val="17"/>
          <w:szCs w:val="17"/>
          <w:color w:val="auto"/>
        </w:rPr>
        <w:t>Other than quoted prices included in Level 1 inputs that are observable for the asset or liability, either directly or indirectly, for substantially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full term of the asset or liability</w:t>
      </w:r>
      <w:r>
        <w:rPr>
          <w:rFonts w:ascii="Arial" w:cs="Arial" w:eastAsia="Arial" w:hAnsi="Arial"/>
          <w:sz w:val="17"/>
          <w:szCs w:val="17"/>
          <w:i w:val="1"/>
          <w:iCs w:val="1"/>
          <w:color w:val="auto"/>
        </w:rPr>
        <w:t>.</w:t>
      </w:r>
    </w:p>
    <w:p>
      <w:pPr>
        <w:spacing w:after="0" w:line="165" w:lineRule="exact"/>
        <w:rPr>
          <w:rFonts w:ascii="Arial" w:cs="Arial" w:eastAsia="Arial" w:hAnsi="Arial"/>
          <w:sz w:val="17"/>
          <w:szCs w:val="17"/>
          <w:color w:val="auto"/>
        </w:rPr>
      </w:pPr>
    </w:p>
    <w:p>
      <w:pPr>
        <w:ind w:left="360"/>
        <w:spacing w:after="0" w:line="268" w:lineRule="auto"/>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Level 3 Inputs: </w:t>
      </w:r>
      <w:r>
        <w:rPr>
          <w:rFonts w:ascii="Arial" w:cs="Arial" w:eastAsia="Arial" w:hAnsi="Arial"/>
          <w:sz w:val="17"/>
          <w:szCs w:val="17"/>
          <w:color w:val="auto"/>
        </w:rPr>
        <w:t>Unobservable inputs for the asset or liability used to measure fair value to the extent that observable inputs are not available, thereby allowing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situations in which there is little, if any, market activity for the asset or liability at measurement date.</w:t>
      </w:r>
    </w:p>
    <w:p>
      <w:pPr>
        <w:spacing w:after="0" w:line="165"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5"/>
          <w:szCs w:val="15"/>
          <w:color w:val="auto"/>
        </w:rPr>
        <w:t>A financial instrument’s categorization within the valuation hierarchy is based upon the lowest level of input that is significant to the fair value measurement.</w:t>
      </w:r>
    </w:p>
    <w:p>
      <w:pPr>
        <w:spacing w:after="0" w:line="229" w:lineRule="exact"/>
        <w:rPr>
          <w:rFonts w:ascii="Arial" w:cs="Arial" w:eastAsia="Arial" w:hAnsi="Arial"/>
          <w:sz w:val="17"/>
          <w:szCs w:val="17"/>
          <w:color w:val="auto"/>
        </w:rPr>
      </w:pPr>
    </w:p>
    <w:p>
      <w:pPr>
        <w:ind w:left="360"/>
        <w:spacing w:after="0" w:line="268" w:lineRule="auto"/>
        <w:rPr>
          <w:rFonts w:ascii="Arial" w:cs="Arial" w:eastAsia="Arial" w:hAnsi="Arial"/>
          <w:sz w:val="17"/>
          <w:szCs w:val="17"/>
          <w:color w:val="auto"/>
        </w:rPr>
      </w:pPr>
      <w:r>
        <w:rPr>
          <w:rFonts w:ascii="Arial" w:cs="Arial" w:eastAsia="Arial" w:hAnsi="Arial"/>
          <w:sz w:val="17"/>
          <w:szCs w:val="17"/>
          <w:color w:val="auto"/>
        </w:rPr>
        <w:t>Cash equivalents, short-term deposits, short-term restricted deposit, trade receivable, trade payable, employee and payroll accruals and accrued expenses are stated at their carrying value, which approximates fair value due to the short time to the expected receipt or payment date.</w:t>
      </w:r>
    </w:p>
    <w:p>
      <w:pPr>
        <w:spacing w:after="0" w:line="165" w:lineRule="exact"/>
        <w:rPr>
          <w:rFonts w:ascii="Arial" w:cs="Arial" w:eastAsia="Arial" w:hAnsi="Arial"/>
          <w:sz w:val="17"/>
          <w:szCs w:val="17"/>
          <w:color w:val="auto"/>
        </w:rPr>
      </w:pPr>
    </w:p>
    <w:p>
      <w:pPr>
        <w:jc w:val="both"/>
        <w:ind w:left="360"/>
        <w:spacing w:after="0" w:line="307" w:lineRule="auto"/>
        <w:rPr>
          <w:rFonts w:ascii="Arial" w:cs="Arial" w:eastAsia="Arial" w:hAnsi="Arial"/>
          <w:sz w:val="17"/>
          <w:szCs w:val="17"/>
          <w:color w:val="auto"/>
        </w:rPr>
      </w:pPr>
      <w:r>
        <w:rPr>
          <w:rFonts w:ascii="Arial" w:cs="Arial" w:eastAsia="Arial" w:hAnsi="Arial"/>
          <w:sz w:val="15"/>
          <w:szCs w:val="15"/>
          <w:color w:val="auto"/>
        </w:rPr>
        <w:t>The Company classifies derivative financial instruments within Level 2 because they are valued using inputs other than quoted prices which are directly or indirectly observable in the market, including readily-available pricing sources for the identical underlying security which may not be actively traded. As of December 31, 2021 the fair value of such derivative totaled to $602. There were no financial instruments measured at fair value as of December 31, 2020.</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10" w:lineRule="exact"/>
        <w:rPr>
          <w:sz w:val="20"/>
          <w:szCs w:val="20"/>
          <w:color w:val="auto"/>
        </w:rPr>
      </w:pPr>
    </w:p>
    <w:p>
      <w:pPr>
        <w:ind w:left="360" w:hanging="360"/>
        <w:spacing w:after="0"/>
        <w:tabs>
          <w:tab w:leader="none" w:pos="3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Concentration of credit Risk:</w:t>
      </w:r>
    </w:p>
    <w:p>
      <w:pPr>
        <w:spacing w:after="0" w:line="206" w:lineRule="exact"/>
        <w:rPr>
          <w:rFonts w:ascii="Arial" w:cs="Arial" w:eastAsia="Arial" w:hAnsi="Arial"/>
          <w:sz w:val="17"/>
          <w:szCs w:val="17"/>
          <w:color w:val="auto"/>
        </w:rPr>
      </w:pPr>
    </w:p>
    <w:p>
      <w:pPr>
        <w:jc w:val="both"/>
        <w:ind w:left="360"/>
        <w:spacing w:after="0" w:line="274" w:lineRule="auto"/>
        <w:rPr>
          <w:rFonts w:ascii="Arial" w:cs="Arial" w:eastAsia="Arial" w:hAnsi="Arial"/>
          <w:sz w:val="17"/>
          <w:szCs w:val="17"/>
          <w:color w:val="auto"/>
        </w:rPr>
      </w:pPr>
      <w:r>
        <w:rPr>
          <w:rFonts w:ascii="Arial" w:cs="Arial" w:eastAsia="Arial" w:hAnsi="Arial"/>
          <w:sz w:val="16"/>
          <w:szCs w:val="16"/>
          <w:color w:val="auto"/>
        </w:rPr>
        <w:t>Financial instruments that potentially subject the Company to credit risk primarily consist of cash and cash equivalents, short-term deposits, restricted deposits and trade receivables. For cash and cash equivalents, the Company is exposed to credit risk in the event of default by the financial institutions to the extent of the amounts recorded on the accompanying consolidated balance sheets exceed federally insured limits. The Company places its cash and cash equivalents and short-term deposits with financial institutions with high-quality credit ratings and has not experienced any losses in such accounts.</w:t>
      </w:r>
    </w:p>
    <w:p>
      <w:pPr>
        <w:spacing w:after="0" w:line="164" w:lineRule="exact"/>
        <w:rPr>
          <w:rFonts w:ascii="Arial" w:cs="Arial" w:eastAsia="Arial" w:hAnsi="Arial"/>
          <w:sz w:val="17"/>
          <w:szCs w:val="17"/>
          <w:color w:val="auto"/>
        </w:rPr>
      </w:pPr>
    </w:p>
    <w:p>
      <w:pPr>
        <w:ind w:left="360"/>
        <w:spacing w:after="0" w:line="268" w:lineRule="auto"/>
        <w:rPr>
          <w:rFonts w:ascii="Arial" w:cs="Arial" w:eastAsia="Arial" w:hAnsi="Arial"/>
          <w:sz w:val="17"/>
          <w:szCs w:val="17"/>
          <w:color w:val="auto"/>
        </w:rPr>
      </w:pPr>
      <w:r>
        <w:rPr>
          <w:rFonts w:ascii="Arial" w:cs="Arial" w:eastAsia="Arial" w:hAnsi="Arial"/>
          <w:sz w:val="17"/>
          <w:szCs w:val="17"/>
          <w:color w:val="auto"/>
        </w:rPr>
        <w:t>For trade receivable, the Company is exposed to credit risk in the event of non-payment by customers to the extent of the amounts recorded on the accompanying consolidated balance sheets.</w:t>
      </w:r>
    </w:p>
    <w:p>
      <w:pPr>
        <w:spacing w:after="0" w:line="165" w:lineRule="exact"/>
        <w:rPr>
          <w:rFonts w:ascii="Arial" w:cs="Arial" w:eastAsia="Arial" w:hAnsi="Arial"/>
          <w:sz w:val="17"/>
          <w:szCs w:val="17"/>
          <w:color w:val="auto"/>
        </w:rPr>
      </w:pPr>
    </w:p>
    <w:p>
      <w:pPr>
        <w:ind w:left="360"/>
        <w:spacing w:after="0" w:line="268" w:lineRule="auto"/>
        <w:rPr>
          <w:rFonts w:ascii="Arial" w:cs="Arial" w:eastAsia="Arial" w:hAnsi="Arial"/>
          <w:sz w:val="17"/>
          <w:szCs w:val="17"/>
          <w:color w:val="auto"/>
        </w:rPr>
      </w:pPr>
      <w:r>
        <w:rPr>
          <w:rFonts w:ascii="Arial" w:cs="Arial" w:eastAsia="Arial" w:hAnsi="Arial"/>
          <w:sz w:val="17"/>
          <w:szCs w:val="17"/>
          <w:color w:val="auto"/>
        </w:rPr>
        <w:t>As of December 31, 2021 and 2020 and for the years ended on these dates, there were no customers represented balance greater than 10% and no customers represented greater amount than 10% of total revenue.</w:t>
      </w:r>
    </w:p>
    <w:p>
      <w:pPr>
        <w:spacing w:after="0" w:line="165" w:lineRule="exact"/>
        <w:rPr>
          <w:rFonts w:ascii="Arial" w:cs="Arial" w:eastAsia="Arial" w:hAnsi="Arial"/>
          <w:sz w:val="17"/>
          <w:szCs w:val="17"/>
          <w:color w:val="auto"/>
        </w:rPr>
      </w:pPr>
    </w:p>
    <w:p>
      <w:pPr>
        <w:ind w:left="360" w:hanging="360"/>
        <w:spacing w:after="0"/>
        <w:tabs>
          <w:tab w:leader="none" w:pos="3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Derivative Financial Instruments</w:t>
      </w:r>
    </w:p>
    <w:p>
      <w:pPr>
        <w:spacing w:after="0" w:line="206" w:lineRule="exact"/>
        <w:rPr>
          <w:rFonts w:ascii="Arial" w:cs="Arial" w:eastAsia="Arial" w:hAnsi="Arial"/>
          <w:sz w:val="17"/>
          <w:szCs w:val="17"/>
          <w:color w:val="auto"/>
        </w:rPr>
      </w:pPr>
    </w:p>
    <w:p>
      <w:pPr>
        <w:jc w:val="both"/>
        <w:ind w:left="360"/>
        <w:spacing w:after="0" w:line="268" w:lineRule="auto"/>
        <w:rPr>
          <w:rFonts w:ascii="Arial" w:cs="Arial" w:eastAsia="Arial" w:hAnsi="Arial"/>
          <w:sz w:val="17"/>
          <w:szCs w:val="17"/>
          <w:color w:val="auto"/>
        </w:rPr>
      </w:pPr>
      <w:r>
        <w:rPr>
          <w:rFonts w:ascii="Arial" w:cs="Arial" w:eastAsia="Arial" w:hAnsi="Arial"/>
          <w:sz w:val="16"/>
          <w:szCs w:val="16"/>
          <w:color w:val="auto"/>
        </w:rPr>
        <w:t>The Company enters into foreign currency forward and option contracts with financial institutions to protect against foreign exchange risks for the exposure to changes in the exchange rate of the New Israeli Shekel (“NIS”) against the U.S. dollar that are associated with forecasted future cash flows and certain current existing assets and liabilities for up to twelve months. The Company’s primary objective in entering into these contracts is to reduce the volatility of earnings and cash flows associated with changes in foreign currency exchange rates. The Company’s derivative instruments expose the Company to credit risk to the extent that the counterparties may be unable to meet the terms of the contract. The Company seeks to mitigate such risk by limiting its counterparties to major financial institutions. In addition, the potential risk of loss resulting from this type of credit risk is monitored on an ongoing basis. The Company does not use derivative instruments for trading or speculative purposes.</w:t>
      </w:r>
    </w:p>
    <w:p>
      <w:pPr>
        <w:spacing w:after="0" w:line="168" w:lineRule="exact"/>
        <w:rPr>
          <w:rFonts w:ascii="Arial" w:cs="Arial" w:eastAsia="Arial" w:hAnsi="Arial"/>
          <w:sz w:val="17"/>
          <w:szCs w:val="17"/>
          <w:color w:val="auto"/>
        </w:rPr>
      </w:pPr>
    </w:p>
    <w:p>
      <w:pPr>
        <w:jc w:val="both"/>
        <w:ind w:left="360"/>
        <w:spacing w:after="0" w:line="251" w:lineRule="auto"/>
        <w:rPr>
          <w:rFonts w:ascii="Arial" w:cs="Arial" w:eastAsia="Arial" w:hAnsi="Arial"/>
          <w:sz w:val="17"/>
          <w:szCs w:val="17"/>
          <w:color w:val="auto"/>
        </w:rPr>
      </w:pPr>
      <w:r>
        <w:rPr>
          <w:rFonts w:ascii="Arial" w:cs="Arial" w:eastAsia="Arial" w:hAnsi="Arial"/>
          <w:sz w:val="17"/>
          <w:szCs w:val="17"/>
          <w:color w:val="auto"/>
        </w:rPr>
        <w:t>The Company accounts for its derivative instruments as either assets or liabilities and carries them at fair value. The accounting for changes in the fair value of a derivative depends on the intended use of the derivative and the resulting designation. Derivative instruments that hedge the exposure to variability in expected future cash flows that are designated as cash flow hedges, are recorded as either prepaid expenses and other assets or accrued expenses and other liabilities in the consolidated balance sheets. The Company records changes in the fair value of these derivatives in accumulated other comprehensive income (loss) in the consolidated balance sheets, until the forecasted transaction occurs.</w:t>
      </w:r>
    </w:p>
    <w:p>
      <w:pPr>
        <w:spacing w:after="0" w:line="182" w:lineRule="exact"/>
        <w:rPr>
          <w:rFonts w:ascii="Arial" w:cs="Arial" w:eastAsia="Arial" w:hAnsi="Arial"/>
          <w:sz w:val="17"/>
          <w:szCs w:val="17"/>
          <w:color w:val="auto"/>
        </w:rPr>
      </w:pPr>
    </w:p>
    <w:p>
      <w:pPr>
        <w:ind w:left="360"/>
        <w:spacing w:after="0" w:line="268" w:lineRule="auto"/>
        <w:rPr>
          <w:rFonts w:ascii="Arial" w:cs="Arial" w:eastAsia="Arial" w:hAnsi="Arial"/>
          <w:sz w:val="17"/>
          <w:szCs w:val="17"/>
          <w:color w:val="auto"/>
        </w:rPr>
      </w:pPr>
      <w:r>
        <w:rPr>
          <w:rFonts w:ascii="Arial" w:cs="Arial" w:eastAsia="Arial" w:hAnsi="Arial"/>
          <w:sz w:val="17"/>
          <w:szCs w:val="17"/>
          <w:color w:val="auto"/>
        </w:rPr>
        <w:t>Upon occurrence, the Company reclassifies the related gain or loss on the derivative to the same financial statement line item in the consolidated statements of operations to which the derivative relates.</w:t>
      </w:r>
    </w:p>
    <w:p>
      <w:pPr>
        <w:spacing w:after="0" w:line="165" w:lineRule="exact"/>
        <w:rPr>
          <w:rFonts w:ascii="Arial" w:cs="Arial" w:eastAsia="Arial" w:hAnsi="Arial"/>
          <w:sz w:val="17"/>
          <w:szCs w:val="17"/>
          <w:color w:val="auto"/>
        </w:rPr>
      </w:pPr>
    </w:p>
    <w:p>
      <w:pPr>
        <w:ind w:left="360"/>
        <w:spacing w:after="0" w:line="268" w:lineRule="auto"/>
        <w:rPr>
          <w:rFonts w:ascii="Arial" w:cs="Arial" w:eastAsia="Arial" w:hAnsi="Arial"/>
          <w:sz w:val="17"/>
          <w:szCs w:val="17"/>
          <w:color w:val="auto"/>
        </w:rPr>
      </w:pPr>
      <w:r>
        <w:rPr>
          <w:rFonts w:ascii="Arial" w:cs="Arial" w:eastAsia="Arial" w:hAnsi="Arial"/>
          <w:sz w:val="17"/>
          <w:szCs w:val="17"/>
          <w:color w:val="auto"/>
        </w:rPr>
        <w:t>As of December 31, 2021 the gross notional amount of the Company’s outstanding foreign currency contracts designated as hedging instruments was $32,797. There were no outstanding contracts as of December 31, 2020.</w:t>
      </w:r>
    </w:p>
    <w:p>
      <w:pPr>
        <w:spacing w:after="0" w:line="165" w:lineRule="exact"/>
        <w:rPr>
          <w:rFonts w:ascii="Arial" w:cs="Arial" w:eastAsia="Arial" w:hAnsi="Arial"/>
          <w:sz w:val="17"/>
          <w:szCs w:val="17"/>
          <w:color w:val="auto"/>
        </w:rPr>
      </w:pPr>
    </w:p>
    <w:p>
      <w:pPr>
        <w:ind w:left="360" w:hanging="360"/>
        <w:spacing w:after="0"/>
        <w:tabs>
          <w:tab w:leader="none" w:pos="3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Trade receivables:</w:t>
      </w:r>
    </w:p>
    <w:p>
      <w:pPr>
        <w:spacing w:after="0" w:line="206" w:lineRule="exact"/>
        <w:rPr>
          <w:rFonts w:ascii="Arial" w:cs="Arial" w:eastAsia="Arial" w:hAnsi="Arial"/>
          <w:sz w:val="17"/>
          <w:szCs w:val="17"/>
          <w:color w:val="auto"/>
        </w:rPr>
      </w:pPr>
    </w:p>
    <w:p>
      <w:pPr>
        <w:jc w:val="both"/>
        <w:ind w:left="360"/>
        <w:spacing w:after="0" w:line="271" w:lineRule="auto"/>
        <w:rPr>
          <w:rFonts w:ascii="Arial" w:cs="Arial" w:eastAsia="Arial" w:hAnsi="Arial"/>
          <w:sz w:val="17"/>
          <w:szCs w:val="17"/>
          <w:color w:val="auto"/>
        </w:rPr>
      </w:pPr>
      <w:r>
        <w:rPr>
          <w:rFonts w:ascii="Arial" w:cs="Arial" w:eastAsia="Arial" w:hAnsi="Arial"/>
          <w:sz w:val="16"/>
          <w:szCs w:val="16"/>
          <w:color w:val="auto"/>
        </w:rPr>
        <w:t>Trade receivables includes billed and unbilled receivables. Trade receivables are recorded at invoiced amounts and do not bear interest. The Company generally does not require collateral and provides for expected losses. The expectation of collectability is based on a review of credit profiles of customers, contractual terms and conditions, current economic trends, and historical payment experience. The Company regularly reviews the adequacy of its allowances by considering the age of each outstanding invoice and the collection history of each customer to determine the appropriate amount of allowances. Trade receivables deemed uncollectible are charged against the allowance for doubtful accounts when identified.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10" w:lineRule="exact"/>
        <w:rPr>
          <w:sz w:val="20"/>
          <w:szCs w:val="20"/>
          <w:color w:val="auto"/>
        </w:rPr>
      </w:pPr>
    </w:p>
    <w:p>
      <w:pPr>
        <w:jc w:val="both"/>
        <w:ind w:left="360"/>
        <w:spacing w:after="0" w:line="257" w:lineRule="auto"/>
        <w:rPr>
          <w:sz w:val="20"/>
          <w:szCs w:val="20"/>
          <w:color w:val="auto"/>
        </w:rPr>
      </w:pPr>
      <w:r>
        <w:rPr>
          <w:rFonts w:ascii="Arial" w:cs="Arial" w:eastAsia="Arial" w:hAnsi="Arial"/>
          <w:sz w:val="17"/>
          <w:szCs w:val="17"/>
          <w:color w:val="auto"/>
        </w:rPr>
        <w:t>Unbilled trade receivables represent an unconditional right to consideration for the Company’s performance under the customer contract occurs before invoicing to the customer. As of December 31, 2021 and 2020, unbilled trade receivables of $5,477 and $6,265, respectively, was included in trade receivables on the Company’s consolidated balance sheets.</w:t>
      </w:r>
    </w:p>
    <w:p>
      <w:pPr>
        <w:spacing w:after="0" w:line="175" w:lineRule="exact"/>
        <w:rPr>
          <w:sz w:val="20"/>
          <w:szCs w:val="20"/>
          <w:color w:val="auto"/>
        </w:rPr>
      </w:pPr>
    </w:p>
    <w:p>
      <w:pPr>
        <w:ind w:left="360" w:hanging="360"/>
        <w:spacing w:after="0"/>
        <w:tabs>
          <w:tab w:leader="none" w:pos="3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Property and equipment:</w:t>
      </w:r>
    </w:p>
    <w:p>
      <w:pPr>
        <w:spacing w:after="0" w:line="206" w:lineRule="exact"/>
        <w:rPr>
          <w:rFonts w:ascii="Arial" w:cs="Arial" w:eastAsia="Arial" w:hAnsi="Arial"/>
          <w:sz w:val="17"/>
          <w:szCs w:val="17"/>
          <w:color w:val="auto"/>
        </w:rPr>
      </w:pPr>
    </w:p>
    <w:p>
      <w:pPr>
        <w:ind w:left="360" w:right="320"/>
        <w:spacing w:after="0" w:line="268" w:lineRule="auto"/>
        <w:rPr>
          <w:rFonts w:ascii="Arial" w:cs="Arial" w:eastAsia="Arial" w:hAnsi="Arial"/>
          <w:sz w:val="17"/>
          <w:szCs w:val="17"/>
          <w:color w:val="auto"/>
        </w:rPr>
      </w:pPr>
      <w:r>
        <w:rPr>
          <w:rFonts w:ascii="Arial" w:cs="Arial" w:eastAsia="Arial" w:hAnsi="Arial"/>
          <w:sz w:val="17"/>
          <w:szCs w:val="17"/>
          <w:color w:val="auto"/>
        </w:rPr>
        <w:t>Property and equipment are stated at cost, net of accumulated depreciation. Depreciation is calculated using the straight-line method over the estimated useful lives of the assets, at the following annual rates: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4860" w:type="dxa"/>
            <w:vAlign w:val="bottom"/>
          </w:tcPr>
          <w:p>
            <w:pPr>
              <w:spacing w:after="0"/>
              <w:rPr>
                <w:sz w:val="18"/>
                <w:szCs w:val="18"/>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w:t>
            </w:r>
          </w:p>
        </w:tc>
      </w:tr>
      <w:tr>
        <w:trPr>
          <w:trHeight w:val="201"/>
        </w:trPr>
        <w:tc>
          <w:tcPr>
            <w:tcW w:w="486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01"/>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Software, computers and peripheral equipment</w:t>
            </w:r>
          </w:p>
        </w:tc>
        <w:tc>
          <w:tcPr>
            <w:tcW w:w="3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33</w:t>
            </w:r>
          </w:p>
        </w:tc>
      </w:tr>
      <w:tr>
        <w:trPr>
          <w:trHeight w:val="201"/>
        </w:trPr>
        <w:tc>
          <w:tcPr>
            <w:tcW w:w="4860" w:type="dxa"/>
            <w:vAlign w:val="bottom"/>
          </w:tcPr>
          <w:p>
            <w:pPr>
              <w:spacing w:after="0"/>
              <w:rPr>
                <w:sz w:val="20"/>
                <w:szCs w:val="20"/>
                <w:color w:val="auto"/>
              </w:rPr>
            </w:pPr>
            <w:r>
              <w:rPr>
                <w:rFonts w:ascii="Arial" w:cs="Arial" w:eastAsia="Arial" w:hAnsi="Arial"/>
                <w:sz w:val="17"/>
                <w:szCs w:val="17"/>
                <w:color w:val="auto"/>
              </w:rPr>
              <w:t>Office furniture and equipment</w:t>
            </w:r>
          </w:p>
        </w:tc>
        <w:tc>
          <w:tcPr>
            <w:tcW w:w="3220" w:type="dxa"/>
            <w:vAlign w:val="bottom"/>
          </w:tcPr>
          <w:p>
            <w:pPr>
              <w:jc w:val="center"/>
              <w:spacing w:after="0"/>
              <w:rPr>
                <w:sz w:val="20"/>
                <w:szCs w:val="20"/>
                <w:color w:val="auto"/>
              </w:rPr>
            </w:pPr>
            <w:r>
              <w:rPr>
                <w:rFonts w:ascii="Arial" w:cs="Arial" w:eastAsia="Arial" w:hAnsi="Arial"/>
                <w:sz w:val="17"/>
                <w:szCs w:val="17"/>
                <w:color w:val="auto"/>
                <w:w w:val="91"/>
              </w:rPr>
              <w:t>10-33</w:t>
            </w:r>
          </w:p>
        </w:tc>
      </w:tr>
      <w:tr>
        <w:trPr>
          <w:trHeight w:val="201"/>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Capitalized development costs</w:t>
            </w:r>
          </w:p>
        </w:tc>
        <w:tc>
          <w:tcPr>
            <w:tcW w:w="3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33</w:t>
            </w:r>
          </w:p>
        </w:tc>
      </w:tr>
      <w:tr>
        <w:trPr>
          <w:trHeight w:val="188"/>
        </w:trPr>
        <w:tc>
          <w:tcPr>
            <w:tcW w:w="4860" w:type="dxa"/>
            <w:vAlign w:val="bottom"/>
          </w:tcPr>
          <w:p>
            <w:pPr>
              <w:spacing w:after="0" w:line="189" w:lineRule="exact"/>
              <w:rPr>
                <w:sz w:val="20"/>
                <w:szCs w:val="20"/>
                <w:color w:val="auto"/>
              </w:rPr>
            </w:pPr>
            <w:r>
              <w:rPr>
                <w:rFonts w:ascii="Arial" w:cs="Arial" w:eastAsia="Arial" w:hAnsi="Arial"/>
                <w:sz w:val="17"/>
                <w:szCs w:val="17"/>
                <w:color w:val="auto"/>
              </w:rPr>
              <w:t>Leasehold improvement</w:t>
            </w:r>
          </w:p>
        </w:tc>
        <w:tc>
          <w:tcPr>
            <w:tcW w:w="3220" w:type="dxa"/>
            <w:vAlign w:val="bottom"/>
          </w:tcPr>
          <w:p>
            <w:pPr>
              <w:jc w:val="center"/>
              <w:spacing w:after="0" w:line="189" w:lineRule="exact"/>
              <w:rPr>
                <w:sz w:val="20"/>
                <w:szCs w:val="20"/>
                <w:color w:val="auto"/>
              </w:rPr>
            </w:pPr>
            <w:r>
              <w:rPr>
                <w:rFonts w:ascii="Arial" w:cs="Arial" w:eastAsia="Arial" w:hAnsi="Arial"/>
                <w:sz w:val="17"/>
                <w:szCs w:val="17"/>
                <w:color w:val="auto"/>
                <w:w w:val="90"/>
              </w:rPr>
              <w:t>By the shorter of remaining</w:t>
            </w:r>
          </w:p>
        </w:tc>
      </w:tr>
      <w:tr>
        <w:trPr>
          <w:trHeight w:val="213"/>
        </w:trPr>
        <w:tc>
          <w:tcPr>
            <w:tcW w:w="486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7"/>
                <w:szCs w:val="17"/>
                <w:color w:val="auto"/>
                <w:w w:val="88"/>
              </w:rPr>
              <w:t>lease term or estimated useful life</w:t>
            </w:r>
          </w:p>
        </w:tc>
      </w:tr>
    </w:tbl>
    <w:p>
      <w:pPr>
        <w:spacing w:after="0" w:line="189" w:lineRule="exact"/>
        <w:rPr>
          <w:sz w:val="20"/>
          <w:szCs w:val="20"/>
          <w:color w:val="auto"/>
        </w:rPr>
      </w:pPr>
    </w:p>
    <w:p>
      <w:pPr>
        <w:jc w:val="both"/>
        <w:ind w:left="360"/>
        <w:spacing w:after="0" w:line="271" w:lineRule="auto"/>
        <w:rPr>
          <w:sz w:val="20"/>
          <w:szCs w:val="20"/>
          <w:color w:val="auto"/>
        </w:rPr>
      </w:pPr>
      <w:r>
        <w:rPr>
          <w:rFonts w:ascii="Arial" w:cs="Arial" w:eastAsia="Arial" w:hAnsi="Arial"/>
          <w:sz w:val="16"/>
          <w:szCs w:val="16"/>
          <w:color w:val="auto"/>
        </w:rPr>
        <w:t>The long-lived assets of the Company are reviewed for impairment in accordance with ASC No. 360, "Property, Plant and Equipment" ("ASC No. 360"), whenever events or changes in circumstances indicate that the carrying amount of an asset may not be recoverable. The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During the years ended December 31, 2021, and 2020 no impairment losses have been identified.</w:t>
      </w:r>
    </w:p>
    <w:p>
      <w:pPr>
        <w:spacing w:after="0" w:line="166" w:lineRule="exact"/>
        <w:rPr>
          <w:sz w:val="20"/>
          <w:szCs w:val="20"/>
          <w:color w:val="auto"/>
        </w:rPr>
      </w:pPr>
    </w:p>
    <w:p>
      <w:pPr>
        <w:ind w:left="360" w:hanging="360"/>
        <w:spacing w:after="0"/>
        <w:tabs>
          <w:tab w:leader="none" w:pos="3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Business combinations:</w:t>
      </w:r>
    </w:p>
    <w:p>
      <w:pPr>
        <w:spacing w:after="0" w:line="206" w:lineRule="exact"/>
        <w:rPr>
          <w:rFonts w:ascii="Arial" w:cs="Arial" w:eastAsia="Arial" w:hAnsi="Arial"/>
          <w:sz w:val="17"/>
          <w:szCs w:val="17"/>
          <w:color w:val="auto"/>
        </w:rPr>
      </w:pPr>
    </w:p>
    <w:p>
      <w:pPr>
        <w:jc w:val="both"/>
        <w:ind w:left="360"/>
        <w:spacing w:after="0" w:line="290" w:lineRule="auto"/>
        <w:rPr>
          <w:rFonts w:ascii="Arial" w:cs="Arial" w:eastAsia="Arial" w:hAnsi="Arial"/>
          <w:sz w:val="17"/>
          <w:szCs w:val="17"/>
          <w:color w:val="auto"/>
        </w:rPr>
      </w:pPr>
      <w:r>
        <w:rPr>
          <w:rFonts w:ascii="Arial" w:cs="Arial" w:eastAsia="Arial" w:hAnsi="Arial"/>
          <w:sz w:val="15"/>
          <w:szCs w:val="15"/>
          <w:color w:val="auto"/>
        </w:rPr>
        <w:t>The Company accountes for business combinations in accordance with ASC 805, "Business Combinations" (“ASC 805”). ASC 805 requires recognition of assets acquired, liabilities assumed, and any non-controlling interest at the acquisition date, measured at their fair values as of that date. Any excess of the fair value of net assets acquired over purchase price is allocated to goodwill and any subsequent changes in estimated contingencies are to be recorded in earnings. Acquisition related costs are expensed to the statement of operations in the period incurred. The Company accounts for a transaction as an asset acquisition when substantially all of the fair value of the gross assets acquired is concentrated in a single identifiable asset or group of similar identifiable assets, or otherwise does not meet the definition of a business. Asset acquisition-related direct costs are capitalized as part of the asset or assets acquired.</w:t>
      </w:r>
    </w:p>
    <w:p>
      <w:pPr>
        <w:spacing w:after="0" w:line="155" w:lineRule="exact"/>
        <w:rPr>
          <w:rFonts w:ascii="Arial" w:cs="Arial" w:eastAsia="Arial" w:hAnsi="Arial"/>
          <w:sz w:val="17"/>
          <w:szCs w:val="17"/>
          <w:color w:val="auto"/>
        </w:rPr>
      </w:pPr>
    </w:p>
    <w:p>
      <w:pPr>
        <w:ind w:left="360" w:hanging="360"/>
        <w:spacing w:after="0"/>
        <w:tabs>
          <w:tab w:leader="none" w:pos="3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Goodwill and intangible assets:</w:t>
      </w:r>
    </w:p>
    <w:p>
      <w:pPr>
        <w:spacing w:after="0" w:line="206" w:lineRule="exact"/>
        <w:rPr>
          <w:rFonts w:ascii="Arial" w:cs="Arial" w:eastAsia="Arial" w:hAnsi="Arial"/>
          <w:sz w:val="17"/>
          <w:szCs w:val="17"/>
          <w:color w:val="auto"/>
        </w:rPr>
      </w:pPr>
    </w:p>
    <w:p>
      <w:pPr>
        <w:jc w:val="both"/>
        <w:ind w:left="360"/>
        <w:spacing w:after="0" w:line="271" w:lineRule="auto"/>
        <w:rPr>
          <w:rFonts w:ascii="Arial" w:cs="Arial" w:eastAsia="Arial" w:hAnsi="Arial"/>
          <w:sz w:val="17"/>
          <w:szCs w:val="17"/>
          <w:color w:val="auto"/>
        </w:rPr>
      </w:pPr>
      <w:r>
        <w:rPr>
          <w:rFonts w:ascii="Arial" w:cs="Arial" w:eastAsia="Arial" w:hAnsi="Arial"/>
          <w:sz w:val="16"/>
          <w:szCs w:val="16"/>
          <w:color w:val="auto"/>
        </w:rPr>
        <w:t>Goodwill represents the excess of the purchase price in a business combination over the fair value of net assets acquired. Goodwill is not amortized, but rather the carrying amounts of these assets are assessed for impairment at least annually or whenever events or changes in circumstances indicate that the carrying value of these assets may not be recoverable. Goodwill impairment, if any, is determined by comparing the reporting unit fair value to its carrying value. An impairment loss is recognized in an amount equal to the excess of the reporting unit’s carrying value over its fair value, up to the amount of goodwill allocated to the reporting unit. There was no goodwill impairment for the years ended December 31, 2021 and 2020.</w:t>
      </w:r>
    </w:p>
    <w:p>
      <w:pPr>
        <w:spacing w:after="0" w:line="166" w:lineRule="exact"/>
        <w:rPr>
          <w:rFonts w:ascii="Arial" w:cs="Arial" w:eastAsia="Arial" w:hAnsi="Arial"/>
          <w:sz w:val="17"/>
          <w:szCs w:val="17"/>
          <w:color w:val="auto"/>
        </w:rPr>
      </w:pPr>
    </w:p>
    <w:p>
      <w:pPr>
        <w:ind w:left="360"/>
        <w:spacing w:after="0" w:line="335" w:lineRule="auto"/>
        <w:rPr>
          <w:rFonts w:ascii="Arial" w:cs="Arial" w:eastAsia="Arial" w:hAnsi="Arial"/>
          <w:sz w:val="17"/>
          <w:szCs w:val="17"/>
          <w:color w:val="auto"/>
        </w:rPr>
      </w:pPr>
      <w:r>
        <w:rPr>
          <w:rFonts w:ascii="Arial" w:cs="Arial" w:eastAsia="Arial" w:hAnsi="Arial"/>
          <w:sz w:val="15"/>
          <w:szCs w:val="15"/>
          <w:color w:val="auto"/>
        </w:rPr>
        <w:t>Intangible assets are amortized on a straight-line basis over the estimated useful life of the respective asset. Each period the Company evaluates the estimated remaining useful lives of its intangible assets and whether events or changes in circumstances warrant a revision to the remaining period of amortization.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10" w:lineRule="exact"/>
        <w:rPr>
          <w:sz w:val="20"/>
          <w:szCs w:val="20"/>
          <w:color w:val="auto"/>
        </w:rPr>
      </w:pPr>
    </w:p>
    <w:p>
      <w:pPr>
        <w:ind w:left="360" w:hanging="360"/>
        <w:spacing w:after="0"/>
        <w:tabs>
          <w:tab w:leader="none" w:pos="3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Severance pay:</w:t>
      </w:r>
    </w:p>
    <w:p>
      <w:pPr>
        <w:spacing w:after="0" w:line="206" w:lineRule="exact"/>
        <w:rPr>
          <w:rFonts w:ascii="Arial" w:cs="Arial" w:eastAsia="Arial" w:hAnsi="Arial"/>
          <w:sz w:val="17"/>
          <w:szCs w:val="17"/>
          <w:color w:val="auto"/>
        </w:rPr>
      </w:pPr>
    </w:p>
    <w:p>
      <w:pPr>
        <w:jc w:val="both"/>
        <w:ind w:left="360"/>
        <w:spacing w:after="0" w:line="298" w:lineRule="auto"/>
        <w:rPr>
          <w:rFonts w:ascii="Arial" w:cs="Arial" w:eastAsia="Arial" w:hAnsi="Arial"/>
          <w:sz w:val="17"/>
          <w:szCs w:val="17"/>
          <w:color w:val="auto"/>
        </w:rPr>
      </w:pPr>
      <w:r>
        <w:rPr>
          <w:rFonts w:ascii="Arial" w:cs="Arial" w:eastAsia="Arial" w:hAnsi="Arial"/>
          <w:sz w:val="15"/>
          <w:szCs w:val="15"/>
          <w:color w:val="auto"/>
        </w:rPr>
        <w:t>All of the Company's liability for severance pay is covered by the provisions of Section 14 of the Israeli Severance Pay Law ("Section 14"). Under Section 14 employees are entitled to monthly deposits, at a rate of 8.33% of their monthly salary, continued on their behalf to their insurance funds. Payments in accordance with Section 14 release the Company from any future severance payments in respect of those employees. As a result, the Company does not recognize any liability for severance pay due to these employees and the deposits under Section 14 are not recorded as an asset in the Company's consolidated balance sheets.</w:t>
      </w:r>
    </w:p>
    <w:p>
      <w:pPr>
        <w:spacing w:after="0" w:line="147"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7"/>
          <w:szCs w:val="17"/>
          <w:color w:val="auto"/>
        </w:rPr>
        <w:t>Severance expense for the years ended December 31, 2021, 2020 and 2019 amounted to $3,490, $2,495 and $2,309 respectively.</w:t>
      </w:r>
    </w:p>
    <w:p>
      <w:pPr>
        <w:spacing w:after="0" w:line="206" w:lineRule="exact"/>
        <w:rPr>
          <w:rFonts w:ascii="Arial" w:cs="Arial" w:eastAsia="Arial" w:hAnsi="Arial"/>
          <w:sz w:val="17"/>
          <w:szCs w:val="17"/>
          <w:color w:val="auto"/>
        </w:rPr>
      </w:pPr>
    </w:p>
    <w:p>
      <w:pPr>
        <w:ind w:left="360" w:hanging="360"/>
        <w:spacing w:after="0"/>
        <w:tabs>
          <w:tab w:leader="none" w:pos="3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Contingencies:</w:t>
      </w:r>
    </w:p>
    <w:p>
      <w:pPr>
        <w:spacing w:after="0" w:line="206" w:lineRule="exact"/>
        <w:rPr>
          <w:rFonts w:ascii="Arial" w:cs="Arial" w:eastAsia="Arial" w:hAnsi="Arial"/>
          <w:sz w:val="17"/>
          <w:szCs w:val="17"/>
          <w:color w:val="auto"/>
        </w:rPr>
      </w:pPr>
    </w:p>
    <w:p>
      <w:pPr>
        <w:jc w:val="both"/>
        <w:ind w:left="360"/>
        <w:spacing w:after="0" w:line="307" w:lineRule="auto"/>
        <w:rPr>
          <w:rFonts w:ascii="Arial" w:cs="Arial" w:eastAsia="Arial" w:hAnsi="Arial"/>
          <w:sz w:val="17"/>
          <w:szCs w:val="17"/>
          <w:color w:val="auto"/>
        </w:rPr>
      </w:pPr>
      <w:r>
        <w:rPr>
          <w:rFonts w:ascii="Arial" w:cs="Arial" w:eastAsia="Arial" w:hAnsi="Arial"/>
          <w:sz w:val="15"/>
          <w:szCs w:val="15"/>
          <w:color w:val="auto"/>
        </w:rPr>
        <w:t>The Company accounts for its contingent liabilities in accordance with ASC 450, Contingencies ("ASC 450").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141" w:lineRule="exact"/>
        <w:rPr>
          <w:rFonts w:ascii="Arial" w:cs="Arial" w:eastAsia="Arial" w:hAnsi="Arial"/>
          <w:sz w:val="17"/>
          <w:szCs w:val="17"/>
          <w:color w:val="auto"/>
        </w:rPr>
      </w:pPr>
    </w:p>
    <w:p>
      <w:pPr>
        <w:ind w:left="360" w:hanging="360"/>
        <w:spacing w:after="0"/>
        <w:tabs>
          <w:tab w:leader="none" w:pos="3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Revenue recognition:</w:t>
      </w:r>
    </w:p>
    <w:p>
      <w:pPr>
        <w:spacing w:after="0" w:line="206" w:lineRule="exact"/>
        <w:rPr>
          <w:rFonts w:ascii="Arial" w:cs="Arial" w:eastAsia="Arial" w:hAnsi="Arial"/>
          <w:sz w:val="17"/>
          <w:szCs w:val="17"/>
          <w:color w:val="auto"/>
        </w:rPr>
      </w:pPr>
    </w:p>
    <w:p>
      <w:pPr>
        <w:ind w:left="360"/>
        <w:spacing w:after="0" w:line="268" w:lineRule="auto"/>
        <w:rPr>
          <w:rFonts w:ascii="Arial" w:cs="Arial" w:eastAsia="Arial" w:hAnsi="Arial"/>
          <w:sz w:val="17"/>
          <w:szCs w:val="17"/>
          <w:color w:val="auto"/>
        </w:rPr>
      </w:pPr>
      <w:r>
        <w:rPr>
          <w:rFonts w:ascii="Arial" w:cs="Arial" w:eastAsia="Arial" w:hAnsi="Arial"/>
          <w:sz w:val="17"/>
          <w:szCs w:val="17"/>
          <w:color w:val="auto"/>
        </w:rPr>
        <w:t>The Company recognizes revenue in accordance with ASC Topic 606, Revenue from contracts with customers (“ASC 606”) and determines revenue recognition through the following steps:</w:t>
      </w:r>
    </w:p>
    <w:p>
      <w:pPr>
        <w:spacing w:after="0" w:line="165" w:lineRule="exact"/>
        <w:rPr>
          <w:rFonts w:ascii="Arial" w:cs="Arial" w:eastAsia="Arial" w:hAnsi="Arial"/>
          <w:sz w:val="17"/>
          <w:szCs w:val="17"/>
          <w:color w:val="auto"/>
        </w:rPr>
      </w:pPr>
    </w:p>
    <w:p>
      <w:pPr>
        <w:ind w:left="1140" w:hanging="575"/>
        <w:spacing w:after="0"/>
        <w:tabs>
          <w:tab w:leader="none" w:pos="11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30" w:lineRule="exact"/>
        <w:rPr>
          <w:rFonts w:ascii="Arial" w:cs="Arial" w:eastAsia="Arial" w:hAnsi="Arial"/>
          <w:sz w:val="17"/>
          <w:szCs w:val="17"/>
          <w:color w:val="auto"/>
        </w:rPr>
      </w:pPr>
    </w:p>
    <w:p>
      <w:pPr>
        <w:ind w:left="1140" w:hanging="575"/>
        <w:spacing w:after="0"/>
        <w:tabs>
          <w:tab w:leader="none" w:pos="11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30" w:lineRule="exact"/>
        <w:rPr>
          <w:rFonts w:ascii="Arial" w:cs="Arial" w:eastAsia="Arial" w:hAnsi="Arial"/>
          <w:sz w:val="17"/>
          <w:szCs w:val="17"/>
          <w:color w:val="auto"/>
        </w:rPr>
      </w:pPr>
    </w:p>
    <w:p>
      <w:pPr>
        <w:ind w:left="1140" w:hanging="575"/>
        <w:spacing w:after="0"/>
        <w:tabs>
          <w:tab w:leader="none" w:pos="11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30" w:lineRule="exact"/>
        <w:rPr>
          <w:rFonts w:ascii="Arial" w:cs="Arial" w:eastAsia="Arial" w:hAnsi="Arial"/>
          <w:sz w:val="17"/>
          <w:szCs w:val="17"/>
          <w:color w:val="auto"/>
        </w:rPr>
      </w:pPr>
    </w:p>
    <w:p>
      <w:pPr>
        <w:ind w:left="1140" w:hanging="575"/>
        <w:spacing w:after="0"/>
        <w:tabs>
          <w:tab w:leader="none" w:pos="11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 and</w:t>
      </w:r>
    </w:p>
    <w:p>
      <w:pPr>
        <w:spacing w:after="0" w:line="30" w:lineRule="exact"/>
        <w:rPr>
          <w:rFonts w:ascii="Arial" w:cs="Arial" w:eastAsia="Arial" w:hAnsi="Arial"/>
          <w:sz w:val="17"/>
          <w:szCs w:val="17"/>
          <w:color w:val="auto"/>
        </w:rPr>
      </w:pPr>
    </w:p>
    <w:p>
      <w:pPr>
        <w:ind w:left="1140" w:hanging="575"/>
        <w:spacing w:after="0"/>
        <w:tabs>
          <w:tab w:leader="none" w:pos="11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Recognition of revenue when, or as, the performance obligations are satisfied.</w:t>
      </w:r>
    </w:p>
    <w:p>
      <w:pPr>
        <w:spacing w:after="0" w:line="231" w:lineRule="exact"/>
        <w:rPr>
          <w:sz w:val="20"/>
          <w:szCs w:val="20"/>
          <w:color w:val="auto"/>
        </w:rPr>
      </w:pPr>
    </w:p>
    <w:p>
      <w:pPr>
        <w:jc w:val="both"/>
        <w:ind w:left="360"/>
        <w:spacing w:after="0" w:line="257" w:lineRule="auto"/>
        <w:rPr>
          <w:sz w:val="20"/>
          <w:szCs w:val="20"/>
          <w:color w:val="auto"/>
        </w:rPr>
      </w:pPr>
      <w:r>
        <w:rPr>
          <w:rFonts w:ascii="Arial" w:cs="Arial" w:eastAsia="Arial" w:hAnsi="Arial"/>
          <w:sz w:val="17"/>
          <w:szCs w:val="17"/>
          <w:color w:val="auto"/>
        </w:rPr>
        <w:t>The Company revenues are comprised from Software-as-a-Service (“SaaS”) subscriptions and professional services. The Company solution, which allow the customer to access its hosted platform over the contract period without taking possession of the platform, provided on a subscription basis, and recognized ratably over the contract period. Professional services revenues are recognized as services are performed.</w:t>
      </w:r>
    </w:p>
    <w:p>
      <w:pPr>
        <w:spacing w:after="0" w:line="175" w:lineRule="exact"/>
        <w:rPr>
          <w:sz w:val="20"/>
          <w:szCs w:val="20"/>
          <w:color w:val="auto"/>
        </w:rPr>
      </w:pPr>
    </w:p>
    <w:p>
      <w:pPr>
        <w:jc w:val="both"/>
        <w:ind w:left="360"/>
        <w:spacing w:after="0" w:line="268" w:lineRule="auto"/>
        <w:rPr>
          <w:sz w:val="20"/>
          <w:szCs w:val="20"/>
          <w:color w:val="auto"/>
        </w:rPr>
      </w:pPr>
      <w:r>
        <w:rPr>
          <w:rFonts w:ascii="Arial" w:cs="Arial" w:eastAsia="Arial" w:hAnsi="Arial"/>
          <w:sz w:val="17"/>
          <w:szCs w:val="17"/>
          <w:color w:val="auto"/>
        </w:rPr>
        <w:t>The Company recognizes revenue when its customer obtains control of promised services in an amount that reflects the consideration that the company expects to receive in exchange for those services.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Subscription services and professional services arrangements are generally non-cancelable and do not allow refunds to customers.</w:t>
      </w:r>
    </w:p>
    <w:p>
      <w:pPr>
        <w:spacing w:after="0" w:line="206" w:lineRule="exact"/>
        <w:rPr>
          <w:sz w:val="20"/>
          <w:szCs w:val="20"/>
          <w:color w:val="auto"/>
        </w:rPr>
      </w:pPr>
    </w:p>
    <w:p>
      <w:pPr>
        <w:jc w:val="both"/>
        <w:ind w:left="360"/>
        <w:spacing w:after="0" w:line="268"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goods or services to the customer, excluding taxes assessed by a governmental authority, that are collected by the Company from a customer.</w:t>
      </w:r>
    </w:p>
    <w:p>
      <w:pPr>
        <w:spacing w:after="0" w:line="166" w:lineRule="exact"/>
        <w:rPr>
          <w:sz w:val="20"/>
          <w:szCs w:val="20"/>
          <w:color w:val="auto"/>
        </w:rPr>
      </w:pPr>
    </w:p>
    <w:p>
      <w:pPr>
        <w:jc w:val="both"/>
        <w:ind w:left="360"/>
        <w:spacing w:after="0" w:line="274" w:lineRule="auto"/>
        <w:rPr>
          <w:sz w:val="20"/>
          <w:szCs w:val="20"/>
          <w:color w:val="auto"/>
        </w:rPr>
      </w:pPr>
      <w:r>
        <w:rPr>
          <w:rFonts w:ascii="Arial" w:cs="Arial" w:eastAsia="Arial" w:hAnsi="Arial"/>
          <w:sz w:val="16"/>
          <w:szCs w:val="16"/>
          <w:color w:val="auto"/>
        </w:rPr>
        <w:t>For arrangements with multiple performance obligations, which represent promises within an arrangement that are capable of being distinct, the Company allocates revenue to all distinct performance obligations based on their relative stand-alone selling price (“SSP”). The Company uses judgment in determining the SSP. If the SSP is not observable through standalone transactions, the Company estimates the SSP considering available information such as market segment, number of users, geographic factors, and internally approved pricing guidelines related to the performance obligation.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typically establish SSP range for its products and services, which is reassessed on a periodic basis or when facts and circumstances change.</w:t>
      </w:r>
    </w:p>
    <w:p>
      <w:pPr>
        <w:spacing w:after="0" w:line="229" w:lineRule="exact"/>
        <w:rPr>
          <w:sz w:val="20"/>
          <w:szCs w:val="20"/>
          <w:color w:val="auto"/>
        </w:rPr>
      </w:pPr>
    </w:p>
    <w:p>
      <w:pPr>
        <w:ind w:left="360"/>
        <w:spacing w:after="0" w:line="268" w:lineRule="auto"/>
        <w:rPr>
          <w:sz w:val="20"/>
          <w:szCs w:val="20"/>
          <w:color w:val="auto"/>
        </w:rPr>
      </w:pPr>
      <w:r>
        <w:rPr>
          <w:rFonts w:ascii="Arial" w:cs="Arial" w:eastAsia="Arial" w:hAnsi="Arial"/>
          <w:sz w:val="17"/>
          <w:szCs w:val="17"/>
          <w:color w:val="auto"/>
        </w:rPr>
        <w:t>The Company applied the practical expedient in Topic 606 and did not evaluate contracts of one year or less for the existence of a significant financing component.</w:t>
      </w:r>
    </w:p>
    <w:p>
      <w:pPr>
        <w:spacing w:after="0" w:line="166" w:lineRule="exact"/>
        <w:rPr>
          <w:sz w:val="20"/>
          <w:szCs w:val="20"/>
          <w:color w:val="auto"/>
        </w:rPr>
      </w:pPr>
    </w:p>
    <w:p>
      <w:pPr>
        <w:ind w:left="360" w:hanging="360"/>
        <w:spacing w:after="0"/>
        <w:tabs>
          <w:tab w:leader="none" w:pos="3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Cost to obtain a contract:</w:t>
      </w:r>
    </w:p>
    <w:p>
      <w:pPr>
        <w:spacing w:after="0" w:line="206" w:lineRule="exact"/>
        <w:rPr>
          <w:rFonts w:ascii="Arial" w:cs="Arial" w:eastAsia="Arial" w:hAnsi="Arial"/>
          <w:sz w:val="17"/>
          <w:szCs w:val="17"/>
          <w:color w:val="auto"/>
        </w:rPr>
      </w:pPr>
    </w:p>
    <w:p>
      <w:pPr>
        <w:jc w:val="both"/>
        <w:ind w:left="360"/>
        <w:spacing w:after="0" w:line="269" w:lineRule="auto"/>
        <w:rPr>
          <w:rFonts w:ascii="Arial" w:cs="Arial" w:eastAsia="Arial" w:hAnsi="Arial"/>
          <w:sz w:val="17"/>
          <w:szCs w:val="17"/>
          <w:color w:val="auto"/>
        </w:rPr>
      </w:pPr>
      <w:r>
        <w:rPr>
          <w:rFonts w:ascii="Arial" w:cs="Arial" w:eastAsia="Arial" w:hAnsi="Arial"/>
          <w:sz w:val="16"/>
          <w:szCs w:val="16"/>
          <w:color w:val="auto"/>
        </w:rPr>
        <w:t>As part of its adoption of ASC 606 the Company capitalizes sales commissions and associated payroll taxes paid to sales personnel that are incremental to the acquisition of customer contracts. The provisions of ASC 606 codified and clarified the accounting guidance for contract acquisition costs. The new guidance resulted in the capitalization of additional contract acquisition costs, which are subsequently amortized over the period of benefit which is four years by taking into consideration the length of terms in its customer contracts including expected renewals and churn, life of the technology and other factors. Sales commissions for the renewal of a contract are not considered commensurate with the sales commissions paid for the acquisition of the initial contract given a substantive difference in commission rates in proportion to their respective contract values.</w:t>
      </w:r>
    </w:p>
    <w:p>
      <w:pPr>
        <w:spacing w:after="0" w:line="168" w:lineRule="exact"/>
        <w:rPr>
          <w:rFonts w:ascii="Arial" w:cs="Arial" w:eastAsia="Arial" w:hAnsi="Arial"/>
          <w:sz w:val="17"/>
          <w:szCs w:val="17"/>
          <w:color w:val="auto"/>
        </w:rPr>
      </w:pPr>
    </w:p>
    <w:p>
      <w:pPr>
        <w:ind w:left="360"/>
        <w:spacing w:after="0" w:line="268" w:lineRule="auto"/>
        <w:rPr>
          <w:rFonts w:ascii="Arial" w:cs="Arial" w:eastAsia="Arial" w:hAnsi="Arial"/>
          <w:sz w:val="17"/>
          <w:szCs w:val="17"/>
          <w:color w:val="auto"/>
        </w:rPr>
      </w:pPr>
      <w:r>
        <w:rPr>
          <w:rFonts w:ascii="Arial" w:cs="Arial" w:eastAsia="Arial" w:hAnsi="Arial"/>
          <w:sz w:val="17"/>
          <w:szCs w:val="17"/>
          <w:color w:val="auto"/>
        </w:rPr>
        <w:t>We have applied the practical expedient in ASC 606 to expense costs as incurred for costs to obtain a contract with a customer when the amortization period would have been one year or less.</w:t>
      </w:r>
    </w:p>
    <w:p>
      <w:pPr>
        <w:spacing w:after="0" w:line="165" w:lineRule="exact"/>
        <w:rPr>
          <w:rFonts w:ascii="Arial" w:cs="Arial" w:eastAsia="Arial" w:hAnsi="Arial"/>
          <w:sz w:val="17"/>
          <w:szCs w:val="17"/>
          <w:color w:val="auto"/>
        </w:rPr>
      </w:pPr>
    </w:p>
    <w:p>
      <w:pPr>
        <w:ind w:left="360"/>
        <w:spacing w:after="0" w:line="299" w:lineRule="auto"/>
        <w:rPr>
          <w:rFonts w:ascii="Arial" w:cs="Arial" w:eastAsia="Arial" w:hAnsi="Arial"/>
          <w:sz w:val="17"/>
          <w:szCs w:val="17"/>
          <w:color w:val="auto"/>
        </w:rPr>
      </w:pPr>
      <w:r>
        <w:rPr>
          <w:rFonts w:ascii="Arial" w:cs="Arial" w:eastAsia="Arial" w:hAnsi="Arial"/>
          <w:sz w:val="16"/>
          <w:szCs w:val="16"/>
          <w:color w:val="auto"/>
        </w:rPr>
        <w:t>The Company periodically reviews these deferred contract acquisition costs to determine whether events or changes in circumstances have occurred that could impact the period of benefit. There were no impairment losses recorded during the years ended December 31, 2021 and 2020.</w:t>
      </w:r>
    </w:p>
    <w:p>
      <w:pPr>
        <w:spacing w:after="0" w:line="144"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7"/>
          <w:szCs w:val="17"/>
          <w:color w:val="auto"/>
        </w:rPr>
        <w:t>The following table represents a rollforward of deferred contract acquisition costs: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85"/>
              </w:rPr>
              <w:t>Year ended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2"/>
        </w:trPr>
        <w:tc>
          <w:tcPr>
            <w:tcW w:w="6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ind w:left="80"/>
              <w:spacing w:after="0"/>
              <w:rPr>
                <w:sz w:val="20"/>
                <w:szCs w:val="20"/>
                <w:color w:val="auto"/>
              </w:rPr>
            </w:pPr>
            <w:r>
              <w:rPr>
                <w:rFonts w:ascii="Arial" w:cs="Arial" w:eastAsia="Arial" w:hAnsi="Arial"/>
                <w:sz w:val="17"/>
                <w:szCs w:val="17"/>
                <w:b w:val="1"/>
                <w:bCs w:val="1"/>
                <w:color w:val="auto"/>
              </w:rPr>
              <w:t>December 31,</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6"/>
        </w:trPr>
        <w:tc>
          <w:tcPr>
            <w:tcW w:w="6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2020</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7"/>
                <w:szCs w:val="17"/>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29,729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20,769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9,051</w:t>
            </w:r>
          </w:p>
        </w:tc>
        <w:tc>
          <w:tcPr>
            <w:tcW w:w="80" w:type="dxa"/>
            <w:vAlign w:val="bottom"/>
            <w:shd w:val="clear" w:color="auto" w:fill="CCEEFF"/>
          </w:tcPr>
          <w:p>
            <w:pPr>
              <w:spacing w:after="0"/>
              <w:rPr>
                <w:sz w:val="17"/>
                <w:szCs w:val="17"/>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Additions to deferred contract acquisition costs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41,396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17,160</w:t>
            </w: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15,732</w:t>
            </w: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deferred contract acquisition costs</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(14,751)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(8,200)</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(4,014)</w:t>
            </w:r>
          </w:p>
        </w:tc>
      </w:tr>
      <w:tr>
        <w:trPr>
          <w:trHeight w:val="25"/>
        </w:trPr>
        <w:tc>
          <w:tcPr>
            <w:tcW w:w="6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Ending balance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56,374</w:t>
            </w:r>
          </w:p>
        </w:tc>
        <w:tc>
          <w:tcPr>
            <w:tcW w:w="120" w:type="dxa"/>
            <w:vAlign w:val="bottom"/>
          </w:tcPr>
          <w:p>
            <w:pPr>
              <w:spacing w:after="0"/>
              <w:rPr>
                <w:sz w:val="17"/>
                <w:szCs w:val="17"/>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29,729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20,769</w:t>
            </w:r>
          </w:p>
        </w:tc>
      </w:tr>
      <w:tr>
        <w:trPr>
          <w:trHeight w:val="22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Deferred contract acquisition costs (to be recognized in next 12 months)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20,405</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10,712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6,422</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91"/>
        </w:trPr>
        <w:tc>
          <w:tcPr>
            <w:tcW w:w="6320" w:type="dxa"/>
            <w:vAlign w:val="bottom"/>
          </w:tcPr>
          <w:p>
            <w:pPr>
              <w:spacing w:after="0" w:line="191" w:lineRule="exact"/>
              <w:rPr>
                <w:sz w:val="20"/>
                <w:szCs w:val="20"/>
                <w:color w:val="auto"/>
              </w:rPr>
            </w:pPr>
            <w:r>
              <w:rPr>
                <w:rFonts w:ascii="Arial" w:cs="Arial" w:eastAsia="Arial" w:hAnsi="Arial"/>
                <w:sz w:val="17"/>
                <w:szCs w:val="17"/>
                <w:color w:val="auto"/>
              </w:rPr>
              <w:t>Deferred contract acquisition costs, non-current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91" w:lineRule="exact"/>
              <w:rPr>
                <w:sz w:val="20"/>
                <w:szCs w:val="20"/>
                <w:color w:val="auto"/>
              </w:rPr>
            </w:pPr>
            <w:r>
              <w:rPr>
                <w:rFonts w:ascii="Arial" w:cs="Arial" w:eastAsia="Arial" w:hAnsi="Arial"/>
                <w:sz w:val="17"/>
                <w:szCs w:val="17"/>
                <w:color w:val="auto"/>
              </w:rPr>
              <w:t>35,969</w:t>
            </w:r>
          </w:p>
        </w:tc>
        <w:tc>
          <w:tcPr>
            <w:tcW w:w="120" w:type="dxa"/>
            <w:vAlign w:val="bottom"/>
          </w:tcPr>
          <w:p>
            <w:pPr>
              <w:spacing w:after="0"/>
              <w:rPr>
                <w:sz w:val="16"/>
                <w:szCs w:val="16"/>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line="191" w:lineRule="exact"/>
              <w:rPr>
                <w:sz w:val="20"/>
                <w:szCs w:val="20"/>
                <w:color w:val="auto"/>
              </w:rPr>
            </w:pPr>
            <w:r>
              <w:rPr>
                <w:rFonts w:ascii="Arial" w:cs="Arial" w:eastAsia="Arial" w:hAnsi="Arial"/>
                <w:sz w:val="17"/>
                <w:szCs w:val="17"/>
                <w:color w:val="auto"/>
              </w:rPr>
              <w:t>19,017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line="191" w:lineRule="exact"/>
              <w:rPr>
                <w:sz w:val="20"/>
                <w:szCs w:val="20"/>
                <w:color w:val="auto"/>
              </w:rPr>
            </w:pPr>
            <w:r>
              <w:rPr>
                <w:rFonts w:ascii="Arial" w:cs="Arial" w:eastAsia="Arial" w:hAnsi="Arial"/>
                <w:sz w:val="17"/>
                <w:szCs w:val="17"/>
                <w:color w:val="auto"/>
              </w:rPr>
              <w:t>14,347</w:t>
            </w:r>
          </w:p>
        </w:tc>
      </w:tr>
      <w:tr>
        <w:trPr>
          <w:trHeight w:val="20"/>
        </w:trPr>
        <w:tc>
          <w:tcPr>
            <w:tcW w:w="6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60" w:hanging="360"/>
        <w:spacing w:after="0"/>
        <w:tabs>
          <w:tab w:leader="none" w:pos="3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Deferred revenues and remaining performance obligations:</w:t>
      </w:r>
    </w:p>
    <w:p>
      <w:pPr>
        <w:spacing w:after="0" w:line="206" w:lineRule="exact"/>
        <w:rPr>
          <w:rFonts w:ascii="Arial" w:cs="Arial" w:eastAsia="Arial" w:hAnsi="Arial"/>
          <w:sz w:val="17"/>
          <w:szCs w:val="17"/>
          <w:color w:val="auto"/>
        </w:rPr>
      </w:pPr>
    </w:p>
    <w:p>
      <w:pPr>
        <w:jc w:val="both"/>
        <w:ind w:left="360"/>
        <w:spacing w:after="0" w:line="257" w:lineRule="auto"/>
        <w:rPr>
          <w:rFonts w:ascii="Arial" w:cs="Arial" w:eastAsia="Arial" w:hAnsi="Arial"/>
          <w:sz w:val="17"/>
          <w:szCs w:val="17"/>
          <w:color w:val="auto"/>
        </w:rPr>
      </w:pPr>
      <w:r>
        <w:rPr>
          <w:rFonts w:ascii="Arial" w:cs="Arial" w:eastAsia="Arial" w:hAnsi="Arial"/>
          <w:sz w:val="17"/>
          <w:szCs w:val="17"/>
          <w:color w:val="auto"/>
        </w:rPr>
        <w:t>Deferred revenue primarily consists of billings or payments received in advance of revenue recognition and is recognized as the revenue recognition criteria are met. The Company recognized revenue of $53,570 and $50,569 for the years ended December 31, 2021 and 2020, respectively, that were included in the corresponding contract liability balance at the beginning of the period.</w:t>
      </w:r>
    </w:p>
    <w:p>
      <w:pPr>
        <w:spacing w:after="0" w:line="175" w:lineRule="exact"/>
        <w:rPr>
          <w:rFonts w:ascii="Arial" w:cs="Arial" w:eastAsia="Arial" w:hAnsi="Arial"/>
          <w:sz w:val="17"/>
          <w:szCs w:val="17"/>
          <w:color w:val="auto"/>
        </w:rPr>
      </w:pPr>
    </w:p>
    <w:p>
      <w:pPr>
        <w:ind w:left="360"/>
        <w:spacing w:after="0" w:line="268" w:lineRule="auto"/>
        <w:rPr>
          <w:rFonts w:ascii="Arial" w:cs="Arial" w:eastAsia="Arial" w:hAnsi="Arial"/>
          <w:sz w:val="17"/>
          <w:szCs w:val="17"/>
          <w:color w:val="auto"/>
        </w:rPr>
      </w:pPr>
      <w:r>
        <w:rPr>
          <w:rFonts w:ascii="Arial" w:cs="Arial" w:eastAsia="Arial" w:hAnsi="Arial"/>
          <w:sz w:val="17"/>
          <w:szCs w:val="17"/>
          <w:color w:val="auto"/>
        </w:rPr>
        <w:t>Deferred revenue that is anticipated to be recognized during the succeeding 12-months period is recorded as current deferred revenue and the remaining portion is recorded as non-current deferred revenue. for disaggregation of revenue please refer to note 9.</w:t>
      </w:r>
    </w:p>
    <w:p>
      <w:pPr>
        <w:spacing w:after="0" w:line="165" w:lineRule="exact"/>
        <w:rPr>
          <w:rFonts w:ascii="Arial" w:cs="Arial" w:eastAsia="Arial" w:hAnsi="Arial"/>
          <w:sz w:val="17"/>
          <w:szCs w:val="17"/>
          <w:color w:val="auto"/>
        </w:rPr>
      </w:pPr>
    </w:p>
    <w:p>
      <w:pPr>
        <w:jc w:val="both"/>
        <w:ind w:left="360"/>
        <w:spacing w:after="0" w:line="257" w:lineRule="auto"/>
        <w:rPr>
          <w:rFonts w:ascii="Arial" w:cs="Arial" w:eastAsia="Arial" w:hAnsi="Arial"/>
          <w:sz w:val="17"/>
          <w:szCs w:val="17"/>
          <w:color w:val="auto"/>
        </w:rPr>
      </w:pPr>
      <w:r>
        <w:rPr>
          <w:rFonts w:ascii="Arial" w:cs="Arial" w:eastAsia="Arial" w:hAnsi="Arial"/>
          <w:sz w:val="17"/>
          <w:szCs w:val="17"/>
          <w:color w:val="auto"/>
        </w:rPr>
        <w:t>As of December 31, 2021, the total remaining non-cancellable performance obligations under the Company’s contracts with customers was approximately $316,200. Of this amount, the Company expects to recognize revenue of approximately $178,300, or 56%, over the next 12 months, with the remainder to be recognized thereafter.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10" w:lineRule="exact"/>
        <w:rPr>
          <w:sz w:val="20"/>
          <w:szCs w:val="20"/>
          <w:color w:val="auto"/>
        </w:rPr>
      </w:pPr>
    </w:p>
    <w:p>
      <w:pPr>
        <w:ind w:left="360" w:hanging="360"/>
        <w:spacing w:after="0"/>
        <w:tabs>
          <w:tab w:leader="none" w:pos="3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Software development costs:</w:t>
      </w:r>
    </w:p>
    <w:p>
      <w:pPr>
        <w:spacing w:after="0" w:line="206" w:lineRule="exact"/>
        <w:rPr>
          <w:rFonts w:ascii="Arial" w:cs="Arial" w:eastAsia="Arial" w:hAnsi="Arial"/>
          <w:sz w:val="17"/>
          <w:szCs w:val="17"/>
          <w:color w:val="auto"/>
        </w:rPr>
      </w:pPr>
    </w:p>
    <w:p>
      <w:pPr>
        <w:jc w:val="both"/>
        <w:ind w:left="360"/>
        <w:spacing w:after="0" w:line="288" w:lineRule="auto"/>
        <w:rPr>
          <w:rFonts w:ascii="Arial" w:cs="Arial" w:eastAsia="Arial" w:hAnsi="Arial"/>
          <w:sz w:val="17"/>
          <w:szCs w:val="17"/>
          <w:color w:val="auto"/>
        </w:rPr>
      </w:pPr>
      <w:r>
        <w:rPr>
          <w:rFonts w:ascii="Arial" w:cs="Arial" w:eastAsia="Arial" w:hAnsi="Arial"/>
          <w:sz w:val="15"/>
          <w:szCs w:val="15"/>
          <w:color w:val="auto"/>
        </w:rPr>
        <w:t>The Company capitalizes qualifying internal use software development costs related to its cloud platform. The costs consist of personnel costs (including related benefits and share-based compensation) that are incurred during the application development stage. Capitalization of costs begins when two criteria are met: (1) the preliminary project stage is completed, and (2)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 implementation operating activities are expensed as incurred. Capitalized costs are included in property and equipment, net. These costs are amortized over the estimated useful life of the software, which is three years, on a straight-line basis, which represents the manner in which the expected benefit will be derived. The amortization of costs related to the platform applications is included in cost of revenue in the consolidated statements of operations.</w:t>
      </w:r>
    </w:p>
    <w:p>
      <w:pPr>
        <w:spacing w:after="0" w:line="157"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7"/>
          <w:szCs w:val="17"/>
          <w:color w:val="auto"/>
        </w:rPr>
        <w:t>For the years ended December 31, 2021, 2020 and 2019 the Company capitalized a total amount of $3,912, $1,530 and $2,015 respectively.</w:t>
      </w:r>
    </w:p>
    <w:p>
      <w:pPr>
        <w:spacing w:after="0" w:line="206" w:lineRule="exact"/>
        <w:rPr>
          <w:rFonts w:ascii="Arial" w:cs="Arial" w:eastAsia="Arial" w:hAnsi="Arial"/>
          <w:sz w:val="17"/>
          <w:szCs w:val="17"/>
          <w:color w:val="auto"/>
        </w:rPr>
      </w:pPr>
    </w:p>
    <w:p>
      <w:pPr>
        <w:ind w:left="360" w:hanging="360"/>
        <w:spacing w:after="0"/>
        <w:tabs>
          <w:tab w:leader="none" w:pos="3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Research and development:</w:t>
      </w:r>
    </w:p>
    <w:p>
      <w:pPr>
        <w:spacing w:after="0" w:line="206" w:lineRule="exact"/>
        <w:rPr>
          <w:rFonts w:ascii="Arial" w:cs="Arial" w:eastAsia="Arial" w:hAnsi="Arial"/>
          <w:sz w:val="17"/>
          <w:szCs w:val="17"/>
          <w:color w:val="auto"/>
        </w:rPr>
      </w:pPr>
    </w:p>
    <w:p>
      <w:pPr>
        <w:jc w:val="both"/>
        <w:ind w:left="360"/>
        <w:spacing w:after="0" w:line="257" w:lineRule="auto"/>
        <w:rPr>
          <w:rFonts w:ascii="Arial" w:cs="Arial" w:eastAsia="Arial" w:hAnsi="Arial"/>
          <w:sz w:val="17"/>
          <w:szCs w:val="17"/>
          <w:color w:val="auto"/>
        </w:rPr>
      </w:pPr>
      <w:r>
        <w:rPr>
          <w:rFonts w:ascii="Arial" w:cs="Arial" w:eastAsia="Arial" w:hAnsi="Arial"/>
          <w:sz w:val="17"/>
          <w:szCs w:val="17"/>
          <w:color w:val="auto"/>
        </w:rPr>
        <w:t>Research and development costs include personnel-related costs associated with the Company’s engineering, data science, product and design teams as well as consulting and professional fees, for third-party development resources, third-party licenses for software development tools and allocated overhead costs. Research and development are generally expensed as incurred.</w:t>
      </w:r>
    </w:p>
    <w:p>
      <w:pPr>
        <w:spacing w:after="0" w:line="175" w:lineRule="exact"/>
        <w:rPr>
          <w:rFonts w:ascii="Arial" w:cs="Arial" w:eastAsia="Arial" w:hAnsi="Arial"/>
          <w:sz w:val="17"/>
          <w:szCs w:val="17"/>
          <w:color w:val="auto"/>
        </w:rPr>
      </w:pPr>
    </w:p>
    <w:p>
      <w:pPr>
        <w:ind w:left="360" w:hanging="360"/>
        <w:spacing w:after="0"/>
        <w:tabs>
          <w:tab w:leader="none" w:pos="3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Advertising expenses:</w:t>
      </w:r>
    </w:p>
    <w:p>
      <w:pPr>
        <w:spacing w:after="0" w:line="206" w:lineRule="exact"/>
        <w:rPr>
          <w:rFonts w:ascii="Arial" w:cs="Arial" w:eastAsia="Arial" w:hAnsi="Arial"/>
          <w:sz w:val="17"/>
          <w:szCs w:val="17"/>
          <w:color w:val="auto"/>
        </w:rPr>
      </w:pPr>
    </w:p>
    <w:p>
      <w:pPr>
        <w:ind w:left="360"/>
        <w:spacing w:after="0" w:line="268" w:lineRule="auto"/>
        <w:rPr>
          <w:rFonts w:ascii="Arial" w:cs="Arial" w:eastAsia="Arial" w:hAnsi="Arial"/>
          <w:sz w:val="17"/>
          <w:szCs w:val="17"/>
          <w:color w:val="auto"/>
        </w:rPr>
      </w:pPr>
      <w:r>
        <w:rPr>
          <w:rFonts w:ascii="Arial" w:cs="Arial" w:eastAsia="Arial" w:hAnsi="Arial"/>
          <w:sz w:val="17"/>
          <w:szCs w:val="17"/>
          <w:color w:val="auto"/>
        </w:rPr>
        <w:t>Advertising is expensed as incurred. Advertising expense amounted to $18,658, $13,148 and $15,639 for the years ended December 31, 2021, 2020 and 2019, respectively.</w:t>
      </w:r>
    </w:p>
    <w:p>
      <w:pPr>
        <w:spacing w:after="0" w:line="165" w:lineRule="exact"/>
        <w:rPr>
          <w:rFonts w:ascii="Arial" w:cs="Arial" w:eastAsia="Arial" w:hAnsi="Arial"/>
          <w:sz w:val="17"/>
          <w:szCs w:val="17"/>
          <w:color w:val="auto"/>
        </w:rPr>
      </w:pPr>
    </w:p>
    <w:p>
      <w:pPr>
        <w:ind w:left="360" w:hanging="360"/>
        <w:spacing w:after="0"/>
        <w:tabs>
          <w:tab w:leader="none" w:pos="3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Basic and diluted net loss per share:</w:t>
      </w:r>
    </w:p>
    <w:p>
      <w:pPr>
        <w:spacing w:after="0" w:line="206" w:lineRule="exact"/>
        <w:rPr>
          <w:rFonts w:ascii="Arial" w:cs="Arial" w:eastAsia="Arial" w:hAnsi="Arial"/>
          <w:sz w:val="17"/>
          <w:szCs w:val="17"/>
          <w:color w:val="auto"/>
        </w:rPr>
      </w:pPr>
    </w:p>
    <w:p>
      <w:pPr>
        <w:jc w:val="both"/>
        <w:ind w:left="360"/>
        <w:spacing w:after="0" w:line="253" w:lineRule="auto"/>
        <w:rPr>
          <w:rFonts w:ascii="Arial" w:cs="Arial" w:eastAsia="Arial" w:hAnsi="Arial"/>
          <w:sz w:val="17"/>
          <w:szCs w:val="17"/>
          <w:color w:val="auto"/>
        </w:rPr>
      </w:pPr>
      <w:r>
        <w:rPr>
          <w:rFonts w:ascii="Arial" w:cs="Arial" w:eastAsia="Arial" w:hAnsi="Arial"/>
          <w:sz w:val="17"/>
          <w:szCs w:val="17"/>
          <w:color w:val="auto"/>
        </w:rPr>
        <w:t>Basic and diluted net loss per share is computed based on the weighted-average number of shares of ordinary shares outstanding during each year. Diluted loss per share is computed based on the weighted average number of ordinary shares outstanding during the period, plus dilutive potential shares considered outstanding during the period, in accordance with ASC 260-10. Basic and diluted net loss per share of ordinary shares was the same for each period presented as the inclusion of all potential ordinary shares outstanding was anti-dilutive.</w:t>
      </w:r>
    </w:p>
    <w:p>
      <w:pPr>
        <w:spacing w:after="0" w:line="179" w:lineRule="exact"/>
        <w:rPr>
          <w:rFonts w:ascii="Arial" w:cs="Arial" w:eastAsia="Arial" w:hAnsi="Arial"/>
          <w:sz w:val="17"/>
          <w:szCs w:val="17"/>
          <w:color w:val="auto"/>
        </w:rPr>
      </w:pPr>
    </w:p>
    <w:p>
      <w:pPr>
        <w:ind w:left="360" w:hanging="360"/>
        <w:spacing w:after="0"/>
        <w:tabs>
          <w:tab w:leader="none" w:pos="3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Share-based compensation:</w:t>
      </w:r>
    </w:p>
    <w:p>
      <w:pPr>
        <w:spacing w:after="0" w:line="206" w:lineRule="exact"/>
        <w:rPr>
          <w:rFonts w:ascii="Arial" w:cs="Arial" w:eastAsia="Arial" w:hAnsi="Arial"/>
          <w:sz w:val="17"/>
          <w:szCs w:val="17"/>
          <w:color w:val="auto"/>
        </w:rPr>
      </w:pPr>
    </w:p>
    <w:p>
      <w:pPr>
        <w:jc w:val="both"/>
        <w:ind w:left="360"/>
        <w:spacing w:after="0" w:line="250" w:lineRule="auto"/>
        <w:rPr>
          <w:rFonts w:ascii="Arial" w:cs="Arial" w:eastAsia="Arial" w:hAnsi="Arial"/>
          <w:sz w:val="17"/>
          <w:szCs w:val="17"/>
          <w:color w:val="auto"/>
        </w:rPr>
      </w:pPr>
      <w:r>
        <w:rPr>
          <w:rFonts w:ascii="Arial" w:cs="Arial" w:eastAsia="Arial" w:hAnsi="Arial"/>
          <w:sz w:val="17"/>
          <w:szCs w:val="17"/>
          <w:color w:val="auto"/>
        </w:rPr>
        <w:t>The Company accounts for share-based compensation in accordance with ASC 718, "Compensation – Stock Compensation" ("ASC 718"), including share options and restricted share units (RSUs) granted to employees, directors, and non-employees, and share purchase rights granted under the Employee Share Purchase Plan (“ESPP”) to employees, based on the estimated fair value of the awards on the date of grant. The fair value of each share option granted is estimated using the Black-Scholes option-pricing model and for ESPP awards, the Company uses a Monte Carlo option-pricing model. The determination of the grant-date fair value using an option-pricing model is affected by the fair value of the Company’s ordinary share as well as a number of inputs, of which the most significant are the exercise price, volatility and the expected option term. The fair value of each RSU is based on the fair value of the Company’s ordinary shares on the date of grant.</w:t>
      </w:r>
    </w:p>
    <w:p>
      <w:pPr>
        <w:spacing w:after="0" w:line="181" w:lineRule="exact"/>
        <w:rPr>
          <w:rFonts w:ascii="Arial" w:cs="Arial" w:eastAsia="Arial" w:hAnsi="Arial"/>
          <w:sz w:val="17"/>
          <w:szCs w:val="17"/>
          <w:color w:val="auto"/>
        </w:rPr>
      </w:pPr>
    </w:p>
    <w:p>
      <w:pPr>
        <w:jc w:val="both"/>
        <w:ind w:left="360"/>
        <w:spacing w:after="0" w:line="257" w:lineRule="auto"/>
        <w:rPr>
          <w:rFonts w:ascii="Arial" w:cs="Arial" w:eastAsia="Arial" w:hAnsi="Arial"/>
          <w:sz w:val="17"/>
          <w:szCs w:val="17"/>
          <w:color w:val="auto"/>
        </w:rPr>
      </w:pPr>
      <w:r>
        <w:rPr>
          <w:rFonts w:ascii="Arial" w:cs="Arial" w:eastAsia="Arial" w:hAnsi="Arial"/>
          <w:sz w:val="17"/>
          <w:szCs w:val="17"/>
          <w:color w:val="auto"/>
        </w:rPr>
        <w:t>Share-based compensation is generally recognized on a straight-line basis over the requisite service period. Some of the awards granted are subject to certain performance criteria: accordingly compensation expense is recognized for such awards when it becomes probable that the related performance condition will be satisfied. Forfeitures are accounted for in the period in which they occur.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10" w:lineRule="exact"/>
        <w:rPr>
          <w:sz w:val="20"/>
          <w:szCs w:val="20"/>
          <w:color w:val="auto"/>
        </w:rPr>
      </w:pPr>
    </w:p>
    <w:p>
      <w:pPr>
        <w:ind w:left="360" w:hanging="360"/>
        <w:spacing w:after="0"/>
        <w:tabs>
          <w:tab w:leader="none" w:pos="3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Income taxes:</w:t>
      </w:r>
    </w:p>
    <w:p>
      <w:pPr>
        <w:spacing w:after="0" w:line="206" w:lineRule="exact"/>
        <w:rPr>
          <w:rFonts w:ascii="Arial" w:cs="Arial" w:eastAsia="Arial" w:hAnsi="Arial"/>
          <w:sz w:val="17"/>
          <w:szCs w:val="17"/>
          <w:color w:val="auto"/>
        </w:rPr>
      </w:pPr>
    </w:p>
    <w:p>
      <w:pPr>
        <w:jc w:val="both"/>
        <w:ind w:left="360"/>
        <w:spacing w:after="0" w:line="251" w:lineRule="auto"/>
        <w:rPr>
          <w:rFonts w:ascii="Arial" w:cs="Arial" w:eastAsia="Arial" w:hAnsi="Arial"/>
          <w:sz w:val="17"/>
          <w:szCs w:val="17"/>
          <w:color w:val="auto"/>
        </w:rPr>
      </w:pPr>
      <w:r>
        <w:rPr>
          <w:rFonts w:ascii="Arial" w:cs="Arial" w:eastAsia="Arial" w:hAnsi="Arial"/>
          <w:sz w:val="17"/>
          <w:szCs w:val="17"/>
          <w:color w:val="auto"/>
        </w:rPr>
        <w:t>The Company accounts for income taxes in accordance with ASC 740, "Income Taxes" ("ASC 740"). This standard prescribes the use of the liability method, whereby deferred tax asset and liability accounts balances are determined based on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 and if it is more likely than not that some portion of the entire deferred tax asset will not be realized.</w:t>
      </w:r>
    </w:p>
    <w:p>
      <w:pPr>
        <w:spacing w:after="0" w:line="182" w:lineRule="exact"/>
        <w:rPr>
          <w:rFonts w:ascii="Arial" w:cs="Arial" w:eastAsia="Arial" w:hAnsi="Arial"/>
          <w:sz w:val="17"/>
          <w:szCs w:val="17"/>
          <w:color w:val="auto"/>
        </w:rPr>
      </w:pPr>
    </w:p>
    <w:p>
      <w:pPr>
        <w:jc w:val="both"/>
        <w:ind w:left="360"/>
        <w:spacing w:after="0" w:line="253" w:lineRule="auto"/>
        <w:rPr>
          <w:rFonts w:ascii="Arial" w:cs="Arial" w:eastAsia="Arial" w:hAnsi="Arial"/>
          <w:sz w:val="17"/>
          <w:szCs w:val="17"/>
          <w:color w:val="auto"/>
        </w:rPr>
      </w:pPr>
      <w:r>
        <w:rPr>
          <w:rFonts w:ascii="Arial" w:cs="Arial" w:eastAsia="Arial" w:hAnsi="Arial"/>
          <w:sz w:val="17"/>
          <w:szCs w:val="17"/>
          <w:color w:val="auto"/>
        </w:rPr>
        <w:t>The Company accounts for uncertain tax positions in accordance with the provisions of ASC 740-10, "Income Taxes". Accounting guidance addresses the determination of whether tax benefits claimed or expected to be claimed on a tax return should be recorded in the consolidated financial statements, under which a Company may recognize the tax benefit from an uncertain tax position only if it is more likely than not that the tax position will be sustained on examination by the taxing authorities, based on the technical merits of the position.</w:t>
      </w:r>
    </w:p>
    <w:p>
      <w:pPr>
        <w:spacing w:after="0" w:line="179" w:lineRule="exact"/>
        <w:rPr>
          <w:rFonts w:ascii="Arial" w:cs="Arial" w:eastAsia="Arial" w:hAnsi="Arial"/>
          <w:sz w:val="17"/>
          <w:szCs w:val="17"/>
          <w:color w:val="auto"/>
        </w:rPr>
      </w:pPr>
    </w:p>
    <w:p>
      <w:pPr>
        <w:ind w:left="360"/>
        <w:spacing w:after="0" w:line="268" w:lineRule="auto"/>
        <w:rPr>
          <w:rFonts w:ascii="Arial" w:cs="Arial" w:eastAsia="Arial" w:hAnsi="Arial"/>
          <w:sz w:val="17"/>
          <w:szCs w:val="17"/>
          <w:color w:val="auto"/>
        </w:rPr>
      </w:pPr>
      <w:r>
        <w:rPr>
          <w:rFonts w:ascii="Arial" w:cs="Arial" w:eastAsia="Arial" w:hAnsi="Arial"/>
          <w:sz w:val="17"/>
          <w:szCs w:val="17"/>
          <w:color w:val="auto"/>
        </w:rPr>
        <w:t>The tax benefits recognized in the consolidated financial statements from such a position should be measured based on the largest benefit that has a greater than fifty percent likelihood of being realized upon ultimate settlement.</w:t>
      </w:r>
    </w:p>
    <w:p>
      <w:pPr>
        <w:spacing w:after="0" w:line="165" w:lineRule="exact"/>
        <w:rPr>
          <w:rFonts w:ascii="Arial" w:cs="Arial" w:eastAsia="Arial" w:hAnsi="Arial"/>
          <w:sz w:val="17"/>
          <w:szCs w:val="17"/>
          <w:color w:val="auto"/>
        </w:rPr>
      </w:pPr>
    </w:p>
    <w:p>
      <w:pPr>
        <w:ind w:left="360" w:hanging="360"/>
        <w:spacing w:after="0"/>
        <w:tabs>
          <w:tab w:leader="none" w:pos="3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Recently adopted accounting pronouncements:</w:t>
      </w:r>
    </w:p>
    <w:p>
      <w:pPr>
        <w:spacing w:after="0" w:line="206" w:lineRule="exact"/>
        <w:rPr>
          <w:rFonts w:ascii="Arial" w:cs="Arial" w:eastAsia="Arial" w:hAnsi="Arial"/>
          <w:sz w:val="17"/>
          <w:szCs w:val="17"/>
          <w:color w:val="auto"/>
        </w:rPr>
      </w:pPr>
    </w:p>
    <w:p>
      <w:pPr>
        <w:jc w:val="both"/>
        <w:ind w:left="360"/>
        <w:spacing w:after="0" w:line="257" w:lineRule="auto"/>
        <w:rPr>
          <w:rFonts w:ascii="Arial" w:cs="Arial" w:eastAsia="Arial" w:hAnsi="Arial"/>
          <w:sz w:val="17"/>
          <w:szCs w:val="17"/>
          <w:color w:val="auto"/>
        </w:rPr>
      </w:pPr>
      <w:r>
        <w:rPr>
          <w:rFonts w:ascii="Arial" w:cs="Arial" w:eastAsia="Arial" w:hAnsi="Arial"/>
          <w:sz w:val="17"/>
          <w:szCs w:val="17"/>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175" w:lineRule="exact"/>
        <w:rPr>
          <w:rFonts w:ascii="Arial" w:cs="Arial" w:eastAsia="Arial" w:hAnsi="Arial"/>
          <w:sz w:val="17"/>
          <w:szCs w:val="17"/>
          <w:color w:val="auto"/>
        </w:rPr>
      </w:pPr>
    </w:p>
    <w:p>
      <w:pPr>
        <w:jc w:val="both"/>
        <w:ind w:left="360"/>
        <w:spacing w:after="0" w:line="290" w:lineRule="auto"/>
        <w:rPr>
          <w:rFonts w:ascii="Arial" w:cs="Arial" w:eastAsia="Arial" w:hAnsi="Arial"/>
          <w:sz w:val="17"/>
          <w:szCs w:val="17"/>
          <w:color w:val="auto"/>
        </w:rPr>
      </w:pPr>
      <w:r>
        <w:rPr>
          <w:rFonts w:ascii="Arial" w:cs="Arial" w:eastAsia="Arial" w:hAnsi="Arial"/>
          <w:sz w:val="15"/>
          <w:szCs w:val="15"/>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Company adopted this guidance prospectively on January 1, 2021, and the adoption did not have a material impact on its consolidated financial statements.</w:t>
      </w:r>
    </w:p>
    <w:p>
      <w:pPr>
        <w:spacing w:after="0" w:line="155" w:lineRule="exact"/>
        <w:rPr>
          <w:rFonts w:ascii="Arial" w:cs="Arial" w:eastAsia="Arial" w:hAnsi="Arial"/>
          <w:sz w:val="17"/>
          <w:szCs w:val="17"/>
          <w:color w:val="auto"/>
        </w:rPr>
      </w:pPr>
    </w:p>
    <w:p>
      <w:pPr>
        <w:ind w:left="360" w:hanging="360"/>
        <w:spacing w:after="0"/>
        <w:tabs>
          <w:tab w:leader="none" w:pos="3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Accounting pronouncements not yet adopted:</w:t>
      </w:r>
    </w:p>
    <w:p>
      <w:pPr>
        <w:spacing w:after="0" w:line="206" w:lineRule="exact"/>
        <w:rPr>
          <w:rFonts w:ascii="Arial" w:cs="Arial" w:eastAsia="Arial" w:hAnsi="Arial"/>
          <w:sz w:val="17"/>
          <w:szCs w:val="17"/>
          <w:color w:val="auto"/>
        </w:rPr>
      </w:pPr>
    </w:p>
    <w:p>
      <w:pPr>
        <w:jc w:val="both"/>
        <w:ind w:left="360"/>
        <w:spacing w:after="0" w:line="288" w:lineRule="auto"/>
        <w:rPr>
          <w:rFonts w:ascii="Arial" w:cs="Arial" w:eastAsia="Arial" w:hAnsi="Arial"/>
          <w:sz w:val="17"/>
          <w:szCs w:val="17"/>
          <w:color w:val="auto"/>
        </w:rPr>
      </w:pPr>
      <w:r>
        <w:rPr>
          <w:rFonts w:ascii="Arial" w:cs="Arial" w:eastAsia="Arial" w:hAnsi="Arial"/>
          <w:sz w:val="15"/>
          <w:szCs w:val="15"/>
          <w:color w:val="auto"/>
        </w:rPr>
        <w:t>In February 2016, the FASB issued ASU No. 2016-02, Leases, which would require lessees to put all leases on their balance sheets, whether operating or financing, while continuing to recognize the expenses on their income statements in a manner similar to current practice. The guidance states that a lessee would recognize a lease liability for the obligation to make lease payments and a right-to-use asset for the right to use the underlying asset for the lease term. In June 2020, the FASB issued ASU No. 2020-05, Revenue from Contracts with Customers (Topic 606) and Leases (Topic 842): Effective Dates for Certain Entities, which defers the effective date of ASU 2016-02 for non-public entities to fiscal years beginning after December 15, 2021, and interim periods within fiscal years beginning after December 15, 2022. The guidance will be effective for the Company beginning January 1, 2022, and interim periods in fiscal years beginning January 1, 2023. The Company is currently evaluating the effect that ASU 2016-02 will have on its consolidated financial statements and related disclosures.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10" w:lineRule="exact"/>
        <w:rPr>
          <w:sz w:val="20"/>
          <w:szCs w:val="20"/>
          <w:color w:val="auto"/>
        </w:rPr>
      </w:pPr>
    </w:p>
    <w:p>
      <w:pPr>
        <w:jc w:val="both"/>
        <w:ind w:left="360"/>
        <w:spacing w:after="0" w:line="251"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which replaces the existing incurred loss impairment model with an expected credit loss model and requires a financial asset measured at amortized cost to be presented at the net amount expected to be collected. The guidance will be effective for the Company beginning January 1, 2023, and interim periods therein. Early adoption is permitted. The Company is currently evaluating the effect that ASU 2016-13 will have on its consolidated financial statements and related disclosures.</w:t>
      </w:r>
    </w:p>
    <w:p>
      <w:pPr>
        <w:spacing w:after="0" w:line="183" w:lineRule="exact"/>
        <w:rPr>
          <w:sz w:val="20"/>
          <w:szCs w:val="20"/>
          <w:color w:val="auto"/>
        </w:rPr>
      </w:pPr>
    </w:p>
    <w:p>
      <w:pPr>
        <w:jc w:val="both"/>
        <w:ind w:left="360"/>
        <w:spacing w:after="0" w:line="290" w:lineRule="auto"/>
        <w:rPr>
          <w:sz w:val="20"/>
          <w:szCs w:val="20"/>
          <w:color w:val="auto"/>
        </w:rPr>
      </w:pPr>
      <w:r>
        <w:rPr>
          <w:rFonts w:ascii="Arial" w:cs="Arial" w:eastAsia="Arial" w:hAnsi="Arial"/>
          <w:sz w:val="15"/>
          <w:szCs w:val="15"/>
          <w:color w:val="auto"/>
        </w:rPr>
        <w:t>In December 2019, the FASB issued ASU No. 2019-12, Income Taxes (Topic 740): Simplifying the Accounting for Income Taxes, which simplifies the accounting for income taxes by removing a variety of exceptions within the framework of ASC 740. These exceptions include the exception to the incremental approach for intraperiod tax allocation in the event of a loss from continuing operations and income or a gain from other items (such as other comprehensive income), and the exception to using general methodology for the interim period tax accounting for year-to-date losses that exceed anticipated losses. The guidance will be effective for the Company beginning January 1, 2022, and interim periods in fiscal years beginning January 1, 2023. Early adoption is permitted. The Company is currently evaluating the effect that ASU 2019-12 will have on its consolidated financial statements and related disclosures</w:t>
      </w:r>
    </w:p>
    <w:p>
      <w:pPr>
        <w:spacing w:after="0" w:line="151"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3:-</w:t>
        <w:tab/>
        <w:t>REDEEMABLE NON-CONTROLLING INTEREST</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January 2019, the Company entered into an agreement with Japan Cloud Computing, L.P. and M30 LLC (collectively, the “Investors”) to engage in the investment, organization, management, and operation of the Japanese subsidiary that is focused on the distribution of the Company’s products in Japan. As of December 31, 2021, the Company contributed an aggregate amount of approximately $4,750 in cash in exchange for 51% of the outstanding common stock of the Japanese subsidiary. As of December 31, 2021 and 2020, the Company controls a majority stake in the Japanese subsidiary and as a result, the Company consolidated the Japanese subsidiary and all intercompany accounts have been eliminated.</w:t>
      </w:r>
    </w:p>
    <w:p>
      <w:pPr>
        <w:spacing w:after="0" w:line="183"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agreement with the minority investors of the Japanese subsidiary contains redemption features whereby the interest held by the minority investors are redeemable either (i) at the option of the minority investors or (ii) at the option of the Company, both beginning on the eighth anniversary of the initial capital contribution. Should the call or put option be exercised, the redemption value would be determined based on a prescribed formula derived from the discrete revenues of the Japanese subsidiary and the Company's revenues and may be settled, at the Company’s discretion, with Company shares, if the Company is public at that time, or cash.</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Since the share redemption feature does not include a share cap these interests are presented on the consolidated balance sheets outside of permanent equity under the caption “Redeemable non-controlling interest”.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3:-</w:t>
      </w:r>
      <w:r>
        <w:rPr>
          <w:sz w:val="20"/>
          <w:szCs w:val="20"/>
          <w:color w:val="auto"/>
        </w:rPr>
        <w:tab/>
      </w:r>
      <w:r>
        <w:rPr>
          <w:rFonts w:ascii="Arial" w:cs="Arial" w:eastAsia="Arial" w:hAnsi="Arial"/>
          <w:sz w:val="16"/>
          <w:szCs w:val="16"/>
          <w:b w:val="1"/>
          <w:bCs w:val="1"/>
          <w:color w:val="auto"/>
        </w:rPr>
        <w:t>REDEEMABLE NON-CONTROLLING INTEREST (Cont.)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in the redeemable non-controlling interests for the period indicated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7"/>
                <w:szCs w:val="17"/>
                <w:b w:val="1"/>
                <w:bCs w:val="1"/>
                <w:color w:val="auto"/>
                <w:w w:val="93"/>
              </w:rPr>
              <w:t>Year ended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December 31,</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2020</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38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Balance, beginning of period</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8,647</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2,041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Investment by redeemable non-controlling interest</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2,330</w:t>
            </w: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2,237</w:t>
            </w: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redeemable non-controlling interest</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(1,169)</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(1,311)</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(696)</w:t>
            </w: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Adjustment to redeemable non-controlling interest</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16,689</w:t>
            </w:r>
          </w:p>
        </w:tc>
        <w:tc>
          <w:tcPr>
            <w:tcW w:w="2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5,487</w:t>
            </w: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475</w:t>
            </w: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(266)</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5"/>
        </w:trPr>
        <w:tc>
          <w:tcPr>
            <w:tcW w:w="460" w:type="dxa"/>
            <w:vAlign w:val="bottom"/>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6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Balance, end of period</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23,901</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8,647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2,041</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NOTE 4:-   PROPERTY AND EQUIPMENT, NET</w:t>
            </w:r>
          </w:p>
        </w:tc>
        <w:tc>
          <w:tcPr>
            <w:tcW w:w="1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60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5"/>
          </w:tcPr>
          <w:p>
            <w:pPr>
              <w:jc w:val="right"/>
              <w:ind w:right="64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2021</w:t>
            </w: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Cost:</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51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Software, computers and peripheral equipment</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6,388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4,369</w:t>
            </w: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5140" w:type="dxa"/>
            <w:vAlign w:val="bottom"/>
          </w:tcPr>
          <w:p>
            <w:pPr>
              <w:ind w:left="280"/>
              <w:spacing w:after="0"/>
              <w:rPr>
                <w:sz w:val="20"/>
                <w:szCs w:val="20"/>
                <w:color w:val="auto"/>
              </w:rPr>
            </w:pPr>
            <w:r>
              <w:rPr>
                <w:rFonts w:ascii="Arial" w:cs="Arial" w:eastAsia="Arial" w:hAnsi="Arial"/>
                <w:sz w:val="17"/>
                <w:szCs w:val="17"/>
                <w:color w:val="auto"/>
              </w:rPr>
              <w:t>Office furniture and equipment</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883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890</w:t>
            </w: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51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Capitalized development costs</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13,795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9,883</w:t>
            </w: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5140" w:type="dxa"/>
            <w:vAlign w:val="bottom"/>
          </w:tcPr>
          <w:p>
            <w:pPr>
              <w:ind w:left="280"/>
              <w:spacing w:after="0"/>
              <w:rPr>
                <w:sz w:val="20"/>
                <w:szCs w:val="20"/>
                <w:color w:val="auto"/>
              </w:rPr>
            </w:pPr>
            <w:r>
              <w:rPr>
                <w:rFonts w:ascii="Arial" w:cs="Arial" w:eastAsia="Arial" w:hAnsi="Arial"/>
                <w:sz w:val="17"/>
                <w:szCs w:val="17"/>
                <w:color w:val="auto"/>
              </w:rPr>
              <w:t>Leasehold improvements</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3,971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3,914</w:t>
            </w: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25,037</w:t>
            </w: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19,056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depreciation</w:t>
            </w: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14,152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10,427</w:t>
            </w: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514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Depreciated cost</w:t>
            </w: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10,885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8,629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expenses were $4,478, $4,666 and $3,208 for the years ended December 31, 2021, 2020 and 2019 respectively.</w:t>
      </w:r>
    </w:p>
    <w:p>
      <w:pPr>
        <w:spacing w:after="0" w:line="20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During 2021 and 2020, the Company recorded a reduction of $753 and $211 respectively, to the cost and accumulated depreciation of fully depreciated equipment and leasehold improvements no longer in use, following an assessment made by the Company.</w:t>
      </w:r>
    </w:p>
    <w:p>
      <w:pPr>
        <w:spacing w:after="0" w:line="162"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5:-</w:t>
      </w:r>
      <w:r>
        <w:rPr>
          <w:sz w:val="20"/>
          <w:szCs w:val="20"/>
          <w:color w:val="auto"/>
        </w:rPr>
        <w:tab/>
      </w:r>
      <w:r>
        <w:rPr>
          <w:rFonts w:ascii="Arial" w:cs="Arial" w:eastAsia="Arial" w:hAnsi="Arial"/>
          <w:sz w:val="16"/>
          <w:szCs w:val="16"/>
          <w:b w:val="1"/>
          <w:bCs w:val="1"/>
          <w:color w:val="auto"/>
        </w:rPr>
        <w:t>INTANGIBLE ASSETS, NET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Acquisition of developed technologies:</w:t>
      </w:r>
    </w:p>
    <w:p>
      <w:pPr>
        <w:spacing w:after="0" w:line="18"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On April 15, 2021, the Company acquired the technology of Snow White Labs Ltd. (“Zest”) for a total consideration of $808 consisted from the issuance of 33,150 Company’s ordinary shares with fair value of $776 and the remaining amount was allocated to direct acquisition costs.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On October 4, 2021, the Company acquired the technology of Simpo Ltd. (“Simpo”) for a total consideration of $1,306 in cash.</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5:-</w:t>
      </w:r>
      <w:r>
        <w:rPr>
          <w:sz w:val="20"/>
          <w:szCs w:val="20"/>
          <w:color w:val="auto"/>
        </w:rPr>
        <w:tab/>
      </w:r>
      <w:r>
        <w:rPr>
          <w:rFonts w:ascii="Arial" w:cs="Arial" w:eastAsia="Arial" w:hAnsi="Arial"/>
          <w:sz w:val="16"/>
          <w:szCs w:val="16"/>
          <w:b w:val="1"/>
          <w:bCs w:val="1"/>
          <w:color w:val="auto"/>
        </w:rPr>
        <w:t>INTANGIBLE ASSETS (Cont.)</w:t>
      </w:r>
    </w:p>
    <w:p>
      <w:pPr>
        <w:spacing w:after="0" w:line="210"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Both acquisitions were accounted as an asset acquisition in accordance with ASC 805 as substantially all of the fair value of the gross assets acquired is concentrated in a single identifiable asset. The purchase price was allocated to the developed technology acquired with an estimated useful life of three years.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46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5"/>
          </w:tcPr>
          <w:p>
            <w:pPr>
              <w:ind w:left="400"/>
              <w:spacing w:after="0"/>
              <w:rPr>
                <w:sz w:val="20"/>
                <w:szCs w:val="20"/>
                <w:color w:val="auto"/>
              </w:rPr>
            </w:pPr>
            <w:r>
              <w:rPr>
                <w:rFonts w:ascii="Arial" w:cs="Arial" w:eastAsia="Arial" w:hAnsi="Arial"/>
                <w:sz w:val="17"/>
                <w:szCs w:val="17"/>
                <w:b w:val="1"/>
                <w:bCs w:val="1"/>
                <w:color w:val="auto"/>
              </w:rPr>
              <w:t>December 31,</w:t>
            </w:r>
          </w:p>
        </w:tc>
      </w:tr>
      <w:tr>
        <w:trPr>
          <w:trHeight w:val="206"/>
        </w:trPr>
        <w:tc>
          <w:tcPr>
            <w:tcW w:w="46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7"/>
                <w:szCs w:val="17"/>
                <w:color w:val="auto"/>
              </w:rPr>
            </w:pPr>
          </w:p>
        </w:tc>
      </w:tr>
      <w:tr>
        <w:trPr>
          <w:trHeight w:val="201"/>
        </w:trPr>
        <w:tc>
          <w:tcPr>
            <w:tcW w:w="4620" w:type="dxa"/>
            <w:vAlign w:val="bottom"/>
          </w:tcPr>
          <w:p>
            <w:pPr>
              <w:spacing w:after="0"/>
              <w:rPr>
                <w:sz w:val="17"/>
                <w:szCs w:val="17"/>
                <w:color w:val="auto"/>
              </w:rPr>
            </w:pPr>
          </w:p>
        </w:tc>
        <w:tc>
          <w:tcPr>
            <w:tcW w:w="306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r>
      <w:tr>
        <w:trPr>
          <w:trHeight w:val="206"/>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Acquired technology</w:t>
            </w:r>
          </w:p>
        </w:tc>
        <w:tc>
          <w:tcPr>
            <w:tcW w:w="28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3,004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890</w:t>
            </w:r>
          </w:p>
        </w:tc>
      </w:tr>
      <w:tr>
        <w:trPr>
          <w:trHeight w:val="201"/>
        </w:trPr>
        <w:tc>
          <w:tcPr>
            <w:tcW w:w="4620" w:type="dxa"/>
            <w:vAlign w:val="bottom"/>
            <w:tcBorders>
              <w:top w:val="single" w:sz="8" w:color="CCEEFF"/>
            </w:tcBorders>
          </w:tcPr>
          <w:p>
            <w:pPr>
              <w:spacing w:after="0"/>
              <w:rPr>
                <w:sz w:val="17"/>
                <w:szCs w:val="17"/>
                <w:color w:val="auto"/>
              </w:rPr>
            </w:pPr>
          </w:p>
        </w:tc>
        <w:tc>
          <w:tcPr>
            <w:tcW w:w="28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6"/>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Accumulated amortization</w:t>
            </w:r>
          </w:p>
        </w:tc>
        <w:tc>
          <w:tcPr>
            <w:tcW w:w="2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1,189</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890</w:t>
            </w:r>
          </w:p>
        </w:tc>
      </w:tr>
      <w:tr>
        <w:trPr>
          <w:trHeight w:val="201"/>
        </w:trPr>
        <w:tc>
          <w:tcPr>
            <w:tcW w:w="4620" w:type="dxa"/>
            <w:vAlign w:val="bottom"/>
            <w:tcBorders>
              <w:top w:val="single" w:sz="8" w:color="CCEEFF"/>
            </w:tcBorders>
          </w:tcPr>
          <w:p>
            <w:pPr>
              <w:spacing w:after="0"/>
              <w:rPr>
                <w:sz w:val="17"/>
                <w:szCs w:val="17"/>
                <w:color w:val="auto"/>
              </w:rPr>
            </w:pPr>
          </w:p>
        </w:tc>
        <w:tc>
          <w:tcPr>
            <w:tcW w:w="28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21"/>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Depreciated cost</w:t>
            </w:r>
          </w:p>
        </w:tc>
        <w:tc>
          <w:tcPr>
            <w:tcW w:w="28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1,815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of December 31, 2021, the weighted-average remaining useful life of the technology was 2.6 years. The Company recorded $299, $44 and $297 of amortization expense during the years ended December 31, 2021, 2020 and 2019,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gridSpan w:val="2"/>
          </w:tcPr>
          <w:p>
            <w:pPr>
              <w:spacing w:after="0"/>
              <w:rPr>
                <w:sz w:val="20"/>
                <w:szCs w:val="20"/>
                <w:color w:val="auto"/>
              </w:rPr>
            </w:pPr>
            <w:r>
              <w:rPr>
                <w:rFonts w:ascii="Arial" w:cs="Arial" w:eastAsia="Arial" w:hAnsi="Arial"/>
                <w:sz w:val="17"/>
                <w:szCs w:val="17"/>
                <w:color w:val="auto"/>
                <w:w w:val="96"/>
              </w:rPr>
              <w:t>As of December 31, 2021, future amortization expense related to acquired technology was as follows: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85"/>
        </w:trPr>
        <w:tc>
          <w:tcPr>
            <w:tcW w:w="4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0"/>
              </w:rPr>
              <w:t>Future</w:t>
            </w:r>
          </w:p>
        </w:tc>
      </w:tr>
      <w:tr>
        <w:trPr>
          <w:trHeight w:val="201"/>
        </w:trPr>
        <w:tc>
          <w:tcPr>
            <w:tcW w:w="46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2"/>
              </w:rPr>
              <w:t>Amortization</w:t>
            </w:r>
          </w:p>
        </w:tc>
      </w:tr>
      <w:tr>
        <w:trPr>
          <w:trHeight w:val="222"/>
        </w:trPr>
        <w:tc>
          <w:tcPr>
            <w:tcW w:w="46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7"/>
                <w:szCs w:val="17"/>
                <w:b w:val="1"/>
                <w:bCs w:val="1"/>
                <w:color w:val="auto"/>
              </w:rPr>
              <w:t>Year ended December 31,</w:t>
            </w:r>
          </w:p>
        </w:tc>
        <w:tc>
          <w:tcPr>
            <w:tcW w:w="14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79"/>
              </w:rPr>
              <w:t>expenses</w:t>
            </w:r>
          </w:p>
        </w:tc>
      </w:tr>
      <w:tr>
        <w:trPr>
          <w:trHeight w:val="201"/>
        </w:trPr>
        <w:tc>
          <w:tcPr>
            <w:tcW w:w="46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704</w:t>
            </w:r>
          </w:p>
        </w:tc>
        <w:tc>
          <w:tcPr>
            <w:tcW w:w="60" w:type="dxa"/>
            <w:vAlign w:val="bottom"/>
            <w:shd w:val="clear" w:color="auto" w:fill="CCEEFF"/>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7"/>
                <w:szCs w:val="17"/>
                <w:color w:val="auto"/>
              </w:rPr>
              <w:t>2023</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704</w:t>
            </w:r>
          </w:p>
        </w:tc>
        <w:tc>
          <w:tcPr>
            <w:tcW w:w="60" w:type="dxa"/>
            <w:vAlign w:val="bottom"/>
          </w:tcPr>
          <w:p>
            <w:pPr>
              <w:spacing w:after="0"/>
              <w:rPr>
                <w:sz w:val="17"/>
                <w:szCs w:val="17"/>
                <w:color w:val="auto"/>
              </w:rPr>
            </w:pPr>
          </w:p>
        </w:tc>
      </w:tr>
      <w:tr>
        <w:trPr>
          <w:trHeight w:val="206"/>
        </w:trPr>
        <w:tc>
          <w:tcPr>
            <w:tcW w:w="460" w:type="dxa"/>
            <w:vAlign w:val="bottom"/>
          </w:tcPr>
          <w:p>
            <w:pPr>
              <w:spacing w:after="0"/>
              <w:rPr>
                <w:sz w:val="17"/>
                <w:szCs w:val="17"/>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2024</w:t>
            </w: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1,815</w:t>
            </w:r>
          </w:p>
        </w:tc>
        <w:tc>
          <w:tcPr>
            <w:tcW w:w="6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6:-</w:t>
        <w:tab/>
        <w:t>COMMITMENTS AND CONTINGENT LIABILITIES</w:t>
      </w:r>
    </w:p>
    <w:p>
      <w:pPr>
        <w:spacing w:after="0" w:line="210" w:lineRule="exact"/>
        <w:rPr>
          <w:sz w:val="20"/>
          <w:szCs w:val="20"/>
          <w:color w:val="auto"/>
        </w:rPr>
      </w:pPr>
    </w:p>
    <w:p>
      <w:pPr>
        <w:ind w:left="360" w:hanging="360"/>
        <w:spacing w:after="0"/>
        <w:tabs>
          <w:tab w:leader="none" w:pos="3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Lease commitments:</w:t>
      </w:r>
    </w:p>
    <w:p>
      <w:pPr>
        <w:spacing w:after="0" w:line="206" w:lineRule="exact"/>
        <w:rPr>
          <w:rFonts w:ascii="Arial" w:cs="Arial" w:eastAsia="Arial" w:hAnsi="Arial"/>
          <w:sz w:val="17"/>
          <w:szCs w:val="17"/>
          <w:color w:val="auto"/>
        </w:rPr>
      </w:pPr>
    </w:p>
    <w:p>
      <w:pPr>
        <w:ind w:left="360"/>
        <w:spacing w:after="0" w:line="268" w:lineRule="auto"/>
        <w:rPr>
          <w:rFonts w:ascii="Arial" w:cs="Arial" w:eastAsia="Arial" w:hAnsi="Arial"/>
          <w:sz w:val="17"/>
          <w:szCs w:val="17"/>
          <w:color w:val="auto"/>
        </w:rPr>
      </w:pPr>
      <w:r>
        <w:rPr>
          <w:rFonts w:ascii="Arial" w:cs="Arial" w:eastAsia="Arial" w:hAnsi="Arial"/>
          <w:sz w:val="17"/>
          <w:szCs w:val="17"/>
          <w:color w:val="auto"/>
        </w:rPr>
        <w:t>The Company rent its facilities under various operating lease agreements, which expire on various dates, the latest of which is in 2025. The minimum rental payments under operating leases as of December 31, 2021, are as follows: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6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7"/>
                <w:szCs w:val="17"/>
                <w:b w:val="1"/>
                <w:bCs w:val="1"/>
                <w:color w:val="auto"/>
              </w:rPr>
              <w:t>Rental of</w:t>
            </w:r>
          </w:p>
        </w:tc>
      </w:tr>
      <w:tr>
        <w:trPr>
          <w:trHeight w:val="222"/>
        </w:trPr>
        <w:tc>
          <w:tcPr>
            <w:tcW w:w="6960" w:type="dxa"/>
            <w:vAlign w:val="bottom"/>
          </w:tcPr>
          <w:p>
            <w:pPr>
              <w:spacing w:after="0"/>
              <w:rPr>
                <w:sz w:val="20"/>
                <w:szCs w:val="20"/>
                <w:color w:val="auto"/>
              </w:rPr>
            </w:pPr>
            <w:r>
              <w:rPr>
                <w:rFonts w:ascii="Arial" w:cs="Arial" w:eastAsia="Arial" w:hAnsi="Arial"/>
                <w:sz w:val="17"/>
                <w:szCs w:val="17"/>
                <w:b w:val="1"/>
                <w:bCs w:val="1"/>
                <w:color w:val="auto"/>
              </w:rPr>
              <w:t>Year ended December 31,</w:t>
            </w:r>
          </w:p>
        </w:tc>
        <w:tc>
          <w:tcPr>
            <w:tcW w:w="14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7"/>
                <w:szCs w:val="17"/>
                <w:b w:val="1"/>
                <w:bCs w:val="1"/>
                <w:color w:val="auto"/>
              </w:rPr>
              <w:t>Premises</w:t>
            </w:r>
          </w:p>
        </w:tc>
      </w:tr>
      <w:tr>
        <w:trPr>
          <w:trHeight w:val="201"/>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5,621</w:t>
            </w:r>
          </w:p>
        </w:tc>
        <w:tc>
          <w:tcPr>
            <w:tcW w:w="60" w:type="dxa"/>
            <w:vAlign w:val="bottom"/>
            <w:shd w:val="clear" w:color="auto" w:fill="CCEEFF"/>
          </w:tcPr>
          <w:p>
            <w:pPr>
              <w:spacing w:after="0"/>
              <w:rPr>
                <w:sz w:val="17"/>
                <w:szCs w:val="17"/>
                <w:color w:val="auto"/>
              </w:rPr>
            </w:pPr>
          </w:p>
        </w:tc>
      </w:tr>
      <w:tr>
        <w:trPr>
          <w:trHeight w:val="201"/>
        </w:trPr>
        <w:tc>
          <w:tcPr>
            <w:tcW w:w="6960" w:type="dxa"/>
            <w:vAlign w:val="bottom"/>
          </w:tcPr>
          <w:p>
            <w:pPr>
              <w:spacing w:after="0"/>
              <w:rPr>
                <w:sz w:val="20"/>
                <w:szCs w:val="20"/>
                <w:color w:val="auto"/>
              </w:rPr>
            </w:pPr>
            <w:r>
              <w:rPr>
                <w:rFonts w:ascii="Arial" w:cs="Arial" w:eastAsia="Arial" w:hAnsi="Arial"/>
                <w:sz w:val="17"/>
                <w:szCs w:val="17"/>
                <w:color w:val="auto"/>
              </w:rPr>
              <w:t>2023</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5,105</w:t>
            </w:r>
          </w:p>
        </w:tc>
        <w:tc>
          <w:tcPr>
            <w:tcW w:w="60" w:type="dxa"/>
            <w:vAlign w:val="bottom"/>
          </w:tcPr>
          <w:p>
            <w:pPr>
              <w:spacing w:after="0"/>
              <w:rPr>
                <w:sz w:val="17"/>
                <w:szCs w:val="17"/>
                <w:color w:val="auto"/>
              </w:rPr>
            </w:pPr>
          </w:p>
        </w:tc>
      </w:tr>
      <w:tr>
        <w:trPr>
          <w:trHeight w:val="201"/>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3,107</w:t>
            </w:r>
          </w:p>
        </w:tc>
        <w:tc>
          <w:tcPr>
            <w:tcW w:w="60" w:type="dxa"/>
            <w:vAlign w:val="bottom"/>
            <w:shd w:val="clear" w:color="auto" w:fill="CCEEFF"/>
          </w:tcPr>
          <w:p>
            <w:pPr>
              <w:spacing w:after="0"/>
              <w:rPr>
                <w:sz w:val="17"/>
                <w:szCs w:val="17"/>
                <w:color w:val="auto"/>
              </w:rPr>
            </w:pPr>
          </w:p>
        </w:tc>
      </w:tr>
      <w:tr>
        <w:trPr>
          <w:trHeight w:val="206"/>
        </w:trPr>
        <w:tc>
          <w:tcPr>
            <w:tcW w:w="6960" w:type="dxa"/>
            <w:vAlign w:val="bottom"/>
          </w:tcPr>
          <w:p>
            <w:pPr>
              <w:spacing w:after="0"/>
              <w:rPr>
                <w:sz w:val="20"/>
                <w:szCs w:val="20"/>
                <w:color w:val="auto"/>
              </w:rPr>
            </w:pPr>
            <w:r>
              <w:rPr>
                <w:rFonts w:ascii="Arial" w:cs="Arial" w:eastAsia="Arial" w:hAnsi="Arial"/>
                <w:sz w:val="17"/>
                <w:szCs w:val="17"/>
                <w:color w:val="auto"/>
              </w:rPr>
              <w:t>2025</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60" w:type="dxa"/>
            <w:vAlign w:val="bottom"/>
          </w:tcPr>
          <w:p>
            <w:pPr>
              <w:spacing w:after="0"/>
              <w:rPr>
                <w:sz w:val="17"/>
                <w:szCs w:val="17"/>
                <w:color w:val="auto"/>
              </w:rPr>
            </w:pPr>
          </w:p>
        </w:tc>
      </w:tr>
      <w:tr>
        <w:trPr>
          <w:trHeight w:val="241"/>
        </w:trPr>
        <w:tc>
          <w:tcPr>
            <w:tcW w:w="6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13,935</w:t>
            </w:r>
          </w:p>
        </w:tc>
        <w:tc>
          <w:tcPr>
            <w:tcW w:w="60" w:type="dxa"/>
            <w:vAlign w:val="bottom"/>
            <w:tcBorders>
              <w:bottom w:val="single" w:sz="8" w:color="CCEEFF"/>
            </w:tcBorders>
            <w:shd w:val="clear" w:color="auto" w:fill="CCEEFF"/>
          </w:tcPr>
          <w:p>
            <w:pPr>
              <w:spacing w:after="0"/>
              <w:rPr>
                <w:sz w:val="20"/>
                <w:szCs w:val="20"/>
                <w:color w:val="auto"/>
              </w:rPr>
            </w:pPr>
          </w:p>
        </w:tc>
      </w:tr>
    </w:tbl>
    <w:p>
      <w:pPr>
        <w:spacing w:after="0" w:line="188" w:lineRule="exact"/>
        <w:rPr>
          <w:sz w:val="20"/>
          <w:szCs w:val="20"/>
          <w:color w:val="auto"/>
        </w:rPr>
      </w:pPr>
    </w:p>
    <w:p>
      <w:pPr>
        <w:ind w:left="360"/>
        <w:spacing w:after="0" w:line="268" w:lineRule="auto"/>
        <w:rPr>
          <w:sz w:val="20"/>
          <w:szCs w:val="20"/>
          <w:color w:val="auto"/>
        </w:rPr>
      </w:pPr>
      <w:r>
        <w:rPr>
          <w:rFonts w:ascii="Arial" w:cs="Arial" w:eastAsia="Arial" w:hAnsi="Arial"/>
          <w:sz w:val="17"/>
          <w:szCs w:val="17"/>
          <w:color w:val="auto"/>
        </w:rPr>
        <w:t>Total rent expenses for the years ended December 31, 2021, 2020 and 2019 were $5,115, $10,684 and $5,899, respectively. The Decrease in the year ended December 31, 2021 is primarily due to a one-time expense related to the Company’s lease agreements in the U.S.</w:t>
      </w:r>
    </w:p>
    <w:p>
      <w:pPr>
        <w:spacing w:after="0" w:line="166" w:lineRule="exact"/>
        <w:rPr>
          <w:sz w:val="20"/>
          <w:szCs w:val="20"/>
          <w:color w:val="auto"/>
        </w:rPr>
      </w:pPr>
    </w:p>
    <w:p>
      <w:pPr>
        <w:ind w:left="360" w:hanging="360"/>
        <w:spacing w:after="0"/>
        <w:tabs>
          <w:tab w:leader="none" w:pos="3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Sublease:</w:t>
      </w:r>
    </w:p>
    <w:p>
      <w:pPr>
        <w:spacing w:after="0" w:line="206" w:lineRule="exact"/>
        <w:rPr>
          <w:rFonts w:ascii="Arial" w:cs="Arial" w:eastAsia="Arial" w:hAnsi="Arial"/>
          <w:sz w:val="17"/>
          <w:szCs w:val="17"/>
          <w:color w:val="auto"/>
        </w:rPr>
      </w:pPr>
    </w:p>
    <w:p>
      <w:pPr>
        <w:ind w:left="360"/>
        <w:spacing w:after="0" w:line="268" w:lineRule="auto"/>
        <w:rPr>
          <w:rFonts w:ascii="Arial" w:cs="Arial" w:eastAsia="Arial" w:hAnsi="Arial"/>
          <w:sz w:val="17"/>
          <w:szCs w:val="17"/>
          <w:color w:val="auto"/>
        </w:rPr>
      </w:pPr>
      <w:r>
        <w:rPr>
          <w:rFonts w:ascii="Arial" w:cs="Arial" w:eastAsia="Arial" w:hAnsi="Arial"/>
          <w:sz w:val="17"/>
          <w:szCs w:val="17"/>
          <w:color w:val="auto"/>
        </w:rPr>
        <w:t>The U.S. subsidiary has entered into sub-lease agreements, including the same conditions as in the original lease agreement. Total sublease income for the years ended December 31, 2021, 2020 and 2019 were $676, $651 and $542, respectively.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6:-</w:t>
        <w:tab/>
        <w:t>COMMITMENTS AND CONTINGENT LIABILITIES (Cont.)</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of December 31, 2021, the expected rental income of the U.S. subsidiary is $174 through March 2022.</w:t>
      </w:r>
    </w:p>
    <w:p>
      <w:pPr>
        <w:spacing w:after="0" w:line="206" w:lineRule="exact"/>
        <w:rPr>
          <w:sz w:val="20"/>
          <w:szCs w:val="20"/>
          <w:color w:val="auto"/>
        </w:rPr>
      </w:pPr>
    </w:p>
    <w:p>
      <w:pPr>
        <w:ind w:left="360" w:hanging="360"/>
        <w:spacing w:after="0"/>
        <w:tabs>
          <w:tab w:leader="none" w:pos="3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Non-cancelable material commitments:</w:t>
      </w:r>
    </w:p>
    <w:p>
      <w:pPr>
        <w:spacing w:after="0" w:line="206" w:lineRule="exact"/>
        <w:rPr>
          <w:rFonts w:ascii="Arial" w:cs="Arial" w:eastAsia="Arial" w:hAnsi="Arial"/>
          <w:sz w:val="17"/>
          <w:szCs w:val="17"/>
          <w:color w:val="auto"/>
        </w:rPr>
      </w:pPr>
    </w:p>
    <w:p>
      <w:pPr>
        <w:ind w:left="360"/>
        <w:spacing w:after="0" w:line="268" w:lineRule="auto"/>
        <w:rPr>
          <w:rFonts w:ascii="Arial" w:cs="Arial" w:eastAsia="Arial" w:hAnsi="Arial"/>
          <w:sz w:val="17"/>
          <w:szCs w:val="17"/>
          <w:color w:val="auto"/>
        </w:rPr>
      </w:pPr>
      <w:r>
        <w:rPr>
          <w:rFonts w:ascii="Arial" w:cs="Arial" w:eastAsia="Arial" w:hAnsi="Arial"/>
          <w:sz w:val="17"/>
          <w:szCs w:val="17"/>
          <w:color w:val="auto"/>
        </w:rPr>
        <w:t>The Company enters into non-cancelable purchase commitments with various parties for mainly hosting services, as well as software products and services in the normal course of business.</w:t>
      </w:r>
    </w:p>
    <w:p>
      <w:pPr>
        <w:spacing w:after="0" w:line="165"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7"/>
          <w:szCs w:val="17"/>
          <w:color w:val="auto"/>
        </w:rPr>
        <w:t>As of December 31, 2021, the Company had outstanding non-cancelable purchase commitments as follows: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6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Total</w:t>
            </w:r>
          </w:p>
        </w:tc>
      </w:tr>
      <w:tr>
        <w:trPr>
          <w:trHeight w:val="222"/>
        </w:trPr>
        <w:tc>
          <w:tcPr>
            <w:tcW w:w="6960" w:type="dxa"/>
            <w:vAlign w:val="bottom"/>
          </w:tcPr>
          <w:p>
            <w:pPr>
              <w:spacing w:after="0"/>
              <w:rPr>
                <w:sz w:val="20"/>
                <w:szCs w:val="20"/>
                <w:color w:val="auto"/>
              </w:rPr>
            </w:pPr>
            <w:r>
              <w:rPr>
                <w:rFonts w:ascii="Arial" w:cs="Arial" w:eastAsia="Arial" w:hAnsi="Arial"/>
                <w:sz w:val="17"/>
                <w:szCs w:val="17"/>
                <w:b w:val="1"/>
                <w:bCs w:val="1"/>
                <w:color w:val="auto"/>
              </w:rPr>
              <w:t>Year ended December 31,</w:t>
            </w:r>
          </w:p>
        </w:tc>
        <w:tc>
          <w:tcPr>
            <w:tcW w:w="11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6"/>
              </w:rPr>
              <w:t>commitments</w:t>
            </w:r>
          </w:p>
        </w:tc>
      </w:tr>
      <w:tr>
        <w:trPr>
          <w:trHeight w:val="201"/>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12,931</w:t>
            </w:r>
          </w:p>
        </w:tc>
        <w:tc>
          <w:tcPr>
            <w:tcW w:w="60" w:type="dxa"/>
            <w:vAlign w:val="bottom"/>
            <w:shd w:val="clear" w:color="auto" w:fill="CCEEFF"/>
          </w:tcPr>
          <w:p>
            <w:pPr>
              <w:spacing w:after="0"/>
              <w:rPr>
                <w:sz w:val="17"/>
                <w:szCs w:val="17"/>
                <w:color w:val="auto"/>
              </w:rPr>
            </w:pPr>
          </w:p>
        </w:tc>
      </w:tr>
      <w:tr>
        <w:trPr>
          <w:trHeight w:val="201"/>
        </w:trPr>
        <w:tc>
          <w:tcPr>
            <w:tcW w:w="6960" w:type="dxa"/>
            <w:vAlign w:val="bottom"/>
          </w:tcPr>
          <w:p>
            <w:pPr>
              <w:spacing w:after="0"/>
              <w:rPr>
                <w:sz w:val="20"/>
                <w:szCs w:val="20"/>
                <w:color w:val="auto"/>
              </w:rPr>
            </w:pPr>
            <w:r>
              <w:rPr>
                <w:rFonts w:ascii="Arial" w:cs="Arial" w:eastAsia="Arial" w:hAnsi="Arial"/>
                <w:sz w:val="17"/>
                <w:szCs w:val="17"/>
                <w:color w:val="auto"/>
              </w:rPr>
              <w:t>2023</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11,339</w:t>
            </w:r>
          </w:p>
        </w:tc>
        <w:tc>
          <w:tcPr>
            <w:tcW w:w="60" w:type="dxa"/>
            <w:vAlign w:val="bottom"/>
          </w:tcPr>
          <w:p>
            <w:pPr>
              <w:spacing w:after="0"/>
              <w:rPr>
                <w:sz w:val="17"/>
                <w:szCs w:val="17"/>
                <w:color w:val="auto"/>
              </w:rPr>
            </w:pPr>
          </w:p>
        </w:tc>
      </w:tr>
      <w:tr>
        <w:trPr>
          <w:trHeight w:val="201"/>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1,807</w:t>
            </w:r>
          </w:p>
        </w:tc>
        <w:tc>
          <w:tcPr>
            <w:tcW w:w="60" w:type="dxa"/>
            <w:vAlign w:val="bottom"/>
            <w:shd w:val="clear" w:color="auto" w:fill="CCEEFF"/>
          </w:tcPr>
          <w:p>
            <w:pPr>
              <w:spacing w:after="0"/>
              <w:rPr>
                <w:sz w:val="17"/>
                <w:szCs w:val="17"/>
                <w:color w:val="auto"/>
              </w:rPr>
            </w:pPr>
          </w:p>
        </w:tc>
      </w:tr>
      <w:tr>
        <w:trPr>
          <w:trHeight w:val="206"/>
        </w:trPr>
        <w:tc>
          <w:tcPr>
            <w:tcW w:w="6960" w:type="dxa"/>
            <w:vAlign w:val="bottom"/>
          </w:tcPr>
          <w:p>
            <w:pPr>
              <w:spacing w:after="0"/>
              <w:rPr>
                <w:sz w:val="20"/>
                <w:szCs w:val="20"/>
                <w:color w:val="auto"/>
              </w:rPr>
            </w:pPr>
            <w:r>
              <w:rPr>
                <w:rFonts w:ascii="Arial" w:cs="Arial" w:eastAsia="Arial" w:hAnsi="Arial"/>
                <w:sz w:val="17"/>
                <w:szCs w:val="17"/>
                <w:color w:val="auto"/>
              </w:rPr>
              <w:t>2025</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w:t>
            </w:r>
          </w:p>
        </w:tc>
        <w:tc>
          <w:tcPr>
            <w:tcW w:w="60" w:type="dxa"/>
            <w:vAlign w:val="bottom"/>
          </w:tcPr>
          <w:p>
            <w:pPr>
              <w:spacing w:after="0"/>
              <w:rPr>
                <w:sz w:val="17"/>
                <w:szCs w:val="17"/>
                <w:color w:val="auto"/>
              </w:rPr>
            </w:pPr>
          </w:p>
        </w:tc>
      </w:tr>
      <w:tr>
        <w:trPr>
          <w:trHeight w:val="241"/>
        </w:trPr>
        <w:tc>
          <w:tcPr>
            <w:tcW w:w="69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26,231</w:t>
            </w:r>
          </w:p>
        </w:tc>
        <w:tc>
          <w:tcPr>
            <w:tcW w:w="60" w:type="dxa"/>
            <w:vAlign w:val="bottom"/>
            <w:tcBorders>
              <w:bottom w:val="single" w:sz="8" w:color="CCEEFF"/>
            </w:tcBorders>
            <w:shd w:val="clear" w:color="auto" w:fill="CCEEFF"/>
          </w:tcPr>
          <w:p>
            <w:pPr>
              <w:spacing w:after="0"/>
              <w:rPr>
                <w:sz w:val="20"/>
                <w:szCs w:val="20"/>
                <w:color w:val="auto"/>
              </w:rPr>
            </w:pPr>
          </w:p>
        </w:tc>
      </w:tr>
    </w:tbl>
    <w:p>
      <w:pPr>
        <w:spacing w:after="0" w:line="188" w:lineRule="exact"/>
        <w:rPr>
          <w:sz w:val="20"/>
          <w:szCs w:val="20"/>
          <w:color w:val="auto"/>
        </w:rPr>
      </w:pPr>
    </w:p>
    <w:p>
      <w:pPr>
        <w:ind w:left="360" w:hanging="360"/>
        <w:spacing w:after="0"/>
        <w:tabs>
          <w:tab w:leader="none" w:pos="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Pledges and bank guarantees:</w:t>
      </w:r>
    </w:p>
    <w:p>
      <w:pPr>
        <w:spacing w:after="0" w:line="206"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7"/>
          <w:szCs w:val="17"/>
          <w:color w:val="auto"/>
        </w:rPr>
        <w:t>As of December 31, 2021, The Company pledged bank deposits in the amount of $839 with respect of their office lease.</w:t>
      </w:r>
    </w:p>
    <w:p>
      <w:pPr>
        <w:spacing w:after="0" w:line="206"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5"/>
          <w:szCs w:val="15"/>
          <w:color w:val="auto"/>
        </w:rPr>
        <w:t>As of December 31, 2021 The Company and its subsidiaries obtained bank guarantees in the amount of $2,189 in connection with their office lease agreements.</w:t>
      </w:r>
    </w:p>
    <w:p>
      <w:pPr>
        <w:spacing w:after="0" w:line="229" w:lineRule="exact"/>
        <w:rPr>
          <w:rFonts w:ascii="Arial" w:cs="Arial" w:eastAsia="Arial" w:hAnsi="Arial"/>
          <w:sz w:val="17"/>
          <w:szCs w:val="17"/>
          <w:color w:val="auto"/>
        </w:rPr>
      </w:pPr>
    </w:p>
    <w:p>
      <w:pPr>
        <w:ind w:left="360" w:hanging="360"/>
        <w:spacing w:after="0"/>
        <w:tabs>
          <w:tab w:leader="none" w:pos="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Revolving Credit Facility:</w:t>
      </w:r>
    </w:p>
    <w:p>
      <w:pPr>
        <w:spacing w:after="0" w:line="206" w:lineRule="exact"/>
        <w:rPr>
          <w:rFonts w:ascii="Arial" w:cs="Arial" w:eastAsia="Arial" w:hAnsi="Arial"/>
          <w:sz w:val="17"/>
          <w:szCs w:val="17"/>
          <w:color w:val="auto"/>
        </w:rPr>
      </w:pPr>
    </w:p>
    <w:p>
      <w:pPr>
        <w:jc w:val="both"/>
        <w:ind w:left="360"/>
        <w:spacing w:after="0" w:line="269" w:lineRule="auto"/>
        <w:rPr>
          <w:rFonts w:ascii="Arial" w:cs="Arial" w:eastAsia="Arial" w:hAnsi="Arial"/>
          <w:sz w:val="17"/>
          <w:szCs w:val="17"/>
          <w:color w:val="auto"/>
        </w:rPr>
      </w:pPr>
      <w:r>
        <w:rPr>
          <w:rFonts w:ascii="Arial" w:cs="Arial" w:eastAsia="Arial" w:hAnsi="Arial"/>
          <w:sz w:val="16"/>
          <w:szCs w:val="16"/>
          <w:color w:val="auto"/>
        </w:rPr>
        <w:t>In August 2021, the Company entered into a loan and security agreement with Silicon Valley Bank (SVB) which provides for the Revolving Credit Facility. The Company may borrow, repay and re-borrow funds under the Revolving Credit Facility up to the amount of $50,000 for a period of three years. Interest on borrowings under the revolving credit facility accrues as the greater of the Prime Rate or 3.25%. Pursuant to the terms of the Revolving Credit Facility, the Company are also required to pay an yearly fixed fee of $20 for the availability of this facility. Upon utilization of this credit facility certain covenants may apply according to the Revolving Credit Facility agreement. The Revolving Credit Facility is secured by a fixed and floating first priority blanket lien on all assets of the company as well as a negative pledge on our intellectual property. As of December 31, 2021 this facility remained unutilized.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6"/>
          <w:szCs w:val="16"/>
          <w:b w:val="1"/>
          <w:bCs w:val="1"/>
          <w:color w:val="auto"/>
        </w:rPr>
        <w:t>CONVERTIBLE PREFERRED SHARES, SHAREHOLDERS’ EQUITY (DEFICIT) AND EQUITY INCENTIVE PLAN</w:t>
      </w:r>
    </w:p>
    <w:p>
      <w:pPr>
        <w:spacing w:after="0" w:line="210" w:lineRule="exact"/>
        <w:rPr>
          <w:sz w:val="20"/>
          <w:szCs w:val="20"/>
          <w:color w:val="auto"/>
        </w:rPr>
      </w:pPr>
    </w:p>
    <w:p>
      <w:pPr>
        <w:ind w:left="360" w:hanging="360"/>
        <w:spacing w:after="0"/>
        <w:tabs>
          <w:tab w:leader="none" w:pos="3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Composition of share capital</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5160" w:type="dxa"/>
            <w:vAlign w:val="bottom"/>
          </w:tcPr>
          <w:p>
            <w:pPr>
              <w:spacing w:after="0"/>
              <w:rPr>
                <w:sz w:val="19"/>
                <w:szCs w:val="19"/>
                <w:color w:val="auto"/>
              </w:rPr>
            </w:pPr>
          </w:p>
        </w:tc>
        <w:tc>
          <w:tcPr>
            <w:tcW w:w="2360" w:type="dxa"/>
            <w:vAlign w:val="bottom"/>
            <w:gridSpan w:val="4"/>
          </w:tcPr>
          <w:p>
            <w:pPr>
              <w:ind w:left="400"/>
              <w:spacing w:after="0"/>
              <w:rPr>
                <w:sz w:val="20"/>
                <w:szCs w:val="20"/>
                <w:color w:val="auto"/>
              </w:rPr>
            </w:pPr>
            <w:r>
              <w:rPr>
                <w:rFonts w:ascii="Arial" w:cs="Arial" w:eastAsia="Arial" w:hAnsi="Arial"/>
                <w:sz w:val="17"/>
                <w:szCs w:val="17"/>
                <w:b w:val="1"/>
                <w:bCs w:val="1"/>
                <w:color w:val="auto"/>
              </w:rPr>
              <w:t>December 31, 2021</w:t>
            </w:r>
          </w:p>
        </w:tc>
        <w:tc>
          <w:tcPr>
            <w:tcW w:w="2180" w:type="dxa"/>
            <w:vAlign w:val="bottom"/>
            <w:gridSpan w:val="4"/>
          </w:tcPr>
          <w:p>
            <w:pPr>
              <w:jc w:val="right"/>
              <w:ind w:right="460"/>
              <w:spacing w:after="0"/>
              <w:rPr>
                <w:sz w:val="20"/>
                <w:szCs w:val="20"/>
                <w:color w:val="auto"/>
              </w:rPr>
            </w:pPr>
            <w:r>
              <w:rPr>
                <w:rFonts w:ascii="Arial" w:cs="Arial" w:eastAsia="Arial" w:hAnsi="Arial"/>
                <w:sz w:val="17"/>
                <w:szCs w:val="17"/>
                <w:b w:val="1"/>
                <w:bCs w:val="1"/>
                <w:color w:val="auto"/>
              </w:rPr>
              <w:t>December 31, 2020</w:t>
            </w:r>
          </w:p>
        </w:tc>
      </w:tr>
      <w:tr>
        <w:trPr>
          <w:trHeight w:val="184"/>
        </w:trPr>
        <w:tc>
          <w:tcPr>
            <w:tcW w:w="516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6"/>
              <w:spacing w:after="0" w:line="185" w:lineRule="exact"/>
              <w:rPr>
                <w:sz w:val="20"/>
                <w:szCs w:val="20"/>
                <w:color w:val="auto"/>
              </w:rPr>
            </w:pPr>
            <w:r>
              <w:rPr>
                <w:rFonts w:ascii="Arial" w:cs="Arial" w:eastAsia="Arial" w:hAnsi="Arial"/>
                <w:sz w:val="17"/>
                <w:szCs w:val="17"/>
                <w:b w:val="1"/>
                <w:bCs w:val="1"/>
                <w:color w:val="auto"/>
                <w:w w:val="94"/>
              </w:rPr>
              <w:t>Issued and</w:t>
            </w:r>
          </w:p>
        </w:tc>
        <w:tc>
          <w:tcPr>
            <w:tcW w:w="2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6"/>
              <w:spacing w:after="0" w:line="185" w:lineRule="exact"/>
              <w:rPr>
                <w:sz w:val="20"/>
                <w:szCs w:val="20"/>
                <w:color w:val="auto"/>
              </w:rPr>
            </w:pPr>
            <w:r>
              <w:rPr>
                <w:rFonts w:ascii="Arial" w:cs="Arial" w:eastAsia="Arial" w:hAnsi="Arial"/>
                <w:sz w:val="17"/>
                <w:szCs w:val="17"/>
                <w:b w:val="1"/>
                <w:bCs w:val="1"/>
                <w:color w:val="auto"/>
                <w:w w:val="94"/>
              </w:rPr>
              <w:t>Issued and</w:t>
            </w:r>
          </w:p>
        </w:tc>
        <w:tc>
          <w:tcPr>
            <w:tcW w:w="80" w:type="dxa"/>
            <w:vAlign w:val="bottom"/>
          </w:tcPr>
          <w:p>
            <w:pPr>
              <w:spacing w:after="0"/>
              <w:rPr>
                <w:sz w:val="16"/>
                <w:szCs w:val="16"/>
                <w:color w:val="auto"/>
              </w:rPr>
            </w:pPr>
          </w:p>
        </w:tc>
      </w:tr>
      <w:tr>
        <w:trPr>
          <w:trHeight w:val="222"/>
        </w:trPr>
        <w:tc>
          <w:tcPr>
            <w:tcW w:w="5160" w:type="dxa"/>
            <w:vAlign w:val="bottom"/>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w w:val="96"/>
              </w:rPr>
              <w:t>Authorized</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outstanding</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w w:val="96"/>
              </w:rPr>
              <w:t>Authorized</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outstanding</w:t>
            </w:r>
          </w:p>
        </w:tc>
        <w:tc>
          <w:tcPr>
            <w:tcW w:w="80" w:type="dxa"/>
            <w:vAlign w:val="bottom"/>
          </w:tcPr>
          <w:p>
            <w:pPr>
              <w:spacing w:after="0"/>
              <w:rPr>
                <w:sz w:val="19"/>
                <w:szCs w:val="19"/>
                <w:color w:val="auto"/>
              </w:rPr>
            </w:pPr>
          </w:p>
        </w:tc>
      </w:tr>
      <w:tr>
        <w:trPr>
          <w:trHeight w:val="206"/>
        </w:trPr>
        <w:tc>
          <w:tcPr>
            <w:tcW w:w="5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spacing w:after="0"/>
              <w:rPr>
                <w:sz w:val="20"/>
                <w:szCs w:val="20"/>
                <w:color w:val="auto"/>
              </w:rPr>
            </w:pPr>
            <w:r>
              <w:rPr>
                <w:rFonts w:ascii="Arial" w:cs="Arial" w:eastAsia="Arial" w:hAnsi="Arial"/>
                <w:sz w:val="17"/>
                <w:szCs w:val="17"/>
                <w:b w:val="1"/>
                <w:bCs w:val="1"/>
                <w:color w:val="auto"/>
                <w:w w:val="92"/>
              </w:rPr>
              <w:t>Number of shares no par value</w:t>
            </w:r>
          </w:p>
        </w:tc>
        <w:tc>
          <w:tcPr>
            <w:tcW w:w="9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Ordinary shares</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900,000,000</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83,754,006</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89,631,512</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13,773,000</w:t>
            </w:r>
          </w:p>
        </w:tc>
        <w:tc>
          <w:tcPr>
            <w:tcW w:w="80" w:type="dxa"/>
            <w:vAlign w:val="bottom"/>
            <w:shd w:val="clear" w:color="auto" w:fill="CCEEFF"/>
          </w:tcPr>
          <w:p>
            <w:pPr>
              <w:spacing w:after="0"/>
              <w:rPr>
                <w:sz w:val="17"/>
                <w:szCs w:val="17"/>
                <w:color w:val="auto"/>
              </w:rPr>
            </w:pPr>
          </w:p>
        </w:tc>
      </w:tr>
      <w:tr>
        <w:trPr>
          <w:trHeight w:val="201"/>
        </w:trPr>
        <w:tc>
          <w:tcPr>
            <w:tcW w:w="5160" w:type="dxa"/>
            <w:vAlign w:val="bottom"/>
          </w:tcPr>
          <w:p>
            <w:pPr>
              <w:spacing w:after="0"/>
              <w:rPr>
                <w:sz w:val="20"/>
                <w:szCs w:val="20"/>
                <w:color w:val="auto"/>
              </w:rPr>
            </w:pPr>
            <w:r>
              <w:rPr>
                <w:rFonts w:ascii="Arial" w:cs="Arial" w:eastAsia="Arial" w:hAnsi="Arial"/>
                <w:sz w:val="17"/>
                <w:szCs w:val="17"/>
                <w:color w:val="auto"/>
              </w:rPr>
              <w:t>Preferred shares</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3,745,298</w:t>
            </w:r>
          </w:p>
        </w:tc>
        <w:tc>
          <w:tcPr>
            <w:tcW w:w="1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3,745,298</w:t>
            </w:r>
          </w:p>
        </w:tc>
      </w:tr>
      <w:tr>
        <w:trPr>
          <w:trHeight w:val="201"/>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Preferred shares B-1</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5,815,632</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5,815,630</w:t>
            </w:r>
          </w:p>
        </w:tc>
      </w:tr>
      <w:tr>
        <w:trPr>
          <w:trHeight w:val="201"/>
        </w:trPr>
        <w:tc>
          <w:tcPr>
            <w:tcW w:w="5160" w:type="dxa"/>
            <w:vAlign w:val="bottom"/>
          </w:tcPr>
          <w:p>
            <w:pPr>
              <w:spacing w:after="0"/>
              <w:rPr>
                <w:sz w:val="20"/>
                <w:szCs w:val="20"/>
                <w:color w:val="auto"/>
              </w:rPr>
            </w:pPr>
            <w:r>
              <w:rPr>
                <w:rFonts w:ascii="Arial" w:cs="Arial" w:eastAsia="Arial" w:hAnsi="Arial"/>
                <w:sz w:val="17"/>
                <w:szCs w:val="17"/>
                <w:color w:val="auto"/>
              </w:rPr>
              <w:t>Preferred shares B-2</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788,738</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788,738</w:t>
            </w:r>
          </w:p>
        </w:tc>
      </w:tr>
      <w:tr>
        <w:trPr>
          <w:trHeight w:val="201"/>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Preferred shares C</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10,389,120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10,389,120</w:t>
            </w:r>
          </w:p>
        </w:tc>
      </w:tr>
      <w:tr>
        <w:trPr>
          <w:trHeight w:val="201"/>
        </w:trPr>
        <w:tc>
          <w:tcPr>
            <w:tcW w:w="5160" w:type="dxa"/>
            <w:vAlign w:val="bottom"/>
          </w:tcPr>
          <w:p>
            <w:pPr>
              <w:spacing w:after="0"/>
              <w:rPr>
                <w:sz w:val="20"/>
                <w:szCs w:val="20"/>
                <w:color w:val="auto"/>
              </w:rPr>
            </w:pPr>
            <w:r>
              <w:rPr>
                <w:rFonts w:ascii="Arial" w:cs="Arial" w:eastAsia="Arial" w:hAnsi="Arial"/>
                <w:sz w:val="17"/>
                <w:szCs w:val="17"/>
                <w:color w:val="auto"/>
              </w:rPr>
              <w:t>Preferred shares D</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11,500,000</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11,497,425</w:t>
            </w:r>
          </w:p>
        </w:tc>
      </w:tr>
      <w:tr>
        <w:trPr>
          <w:trHeight w:val="201"/>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Preferred shares E</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10,731,000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10,730,904</w:t>
            </w:r>
          </w:p>
        </w:tc>
      </w:tr>
      <w:tr>
        <w:trPr>
          <w:trHeight w:val="201"/>
        </w:trPr>
        <w:tc>
          <w:tcPr>
            <w:tcW w:w="5160" w:type="dxa"/>
            <w:vAlign w:val="bottom"/>
          </w:tcPr>
          <w:p>
            <w:pPr>
              <w:spacing w:after="0"/>
              <w:rPr>
                <w:sz w:val="20"/>
                <w:szCs w:val="20"/>
                <w:color w:val="auto"/>
              </w:rPr>
            </w:pPr>
            <w:r>
              <w:rPr>
                <w:rFonts w:ascii="Arial" w:cs="Arial" w:eastAsia="Arial" w:hAnsi="Arial"/>
                <w:sz w:val="17"/>
                <w:szCs w:val="17"/>
                <w:color w:val="auto"/>
              </w:rPr>
              <w:t>Preferred shares E-1</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3,472,000</w:t>
            </w:r>
          </w:p>
        </w:tc>
        <w:tc>
          <w:tcPr>
            <w:tcW w:w="1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3,471,763</w:t>
            </w:r>
          </w:p>
        </w:tc>
      </w:tr>
      <w:tr>
        <w:trPr>
          <w:trHeight w:val="201"/>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Preferred shares E-2</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4,700,000</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4,669,496</w:t>
            </w:r>
          </w:p>
        </w:tc>
      </w:tr>
      <w:tr>
        <w:trPr>
          <w:trHeight w:val="201"/>
        </w:trPr>
        <w:tc>
          <w:tcPr>
            <w:tcW w:w="5160" w:type="dxa"/>
            <w:vAlign w:val="bottom"/>
          </w:tcPr>
          <w:p>
            <w:pPr>
              <w:spacing w:after="0"/>
              <w:rPr>
                <w:sz w:val="20"/>
                <w:szCs w:val="20"/>
                <w:color w:val="auto"/>
              </w:rPr>
            </w:pPr>
            <w:r>
              <w:rPr>
                <w:rFonts w:ascii="Arial" w:cs="Arial" w:eastAsia="Arial" w:hAnsi="Arial"/>
                <w:sz w:val="17"/>
                <w:szCs w:val="17"/>
                <w:color w:val="auto"/>
              </w:rPr>
              <w:t>Preferred shares E-3</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3,810,000</w:t>
            </w:r>
          </w:p>
        </w:tc>
        <w:tc>
          <w:tcPr>
            <w:tcW w:w="1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3,809,323</w:t>
            </w:r>
          </w:p>
        </w:tc>
      </w:tr>
      <w:tr>
        <w:trPr>
          <w:trHeight w:val="201"/>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Preferred shares F</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4,265,000</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3,806,883</w:t>
            </w:r>
          </w:p>
        </w:tc>
      </w:tr>
      <w:tr>
        <w:trPr>
          <w:trHeight w:val="206"/>
        </w:trPr>
        <w:tc>
          <w:tcPr>
            <w:tcW w:w="5160" w:type="dxa"/>
            <w:vAlign w:val="bottom"/>
          </w:tcPr>
          <w:p>
            <w:pPr>
              <w:spacing w:after="0"/>
              <w:rPr>
                <w:sz w:val="20"/>
                <w:szCs w:val="20"/>
                <w:color w:val="auto"/>
              </w:rPr>
            </w:pPr>
            <w:r>
              <w:rPr>
                <w:rFonts w:ascii="Arial" w:cs="Arial" w:eastAsia="Arial" w:hAnsi="Arial"/>
                <w:sz w:val="17"/>
                <w:szCs w:val="17"/>
                <w:color w:val="auto"/>
              </w:rPr>
              <w:t>Deferred shares</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4,103,500</w:t>
            </w:r>
          </w:p>
        </w:tc>
        <w:tc>
          <w:tcPr>
            <w:tcW w:w="1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41"/>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900,000,000</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83,754,006</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152,951,800</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72,497,580</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188" w:lineRule="exact"/>
        <w:rPr>
          <w:sz w:val="20"/>
          <w:szCs w:val="20"/>
          <w:color w:val="auto"/>
        </w:rPr>
      </w:pPr>
    </w:p>
    <w:p>
      <w:pPr>
        <w:ind w:left="360" w:hanging="360"/>
        <w:spacing w:after="0"/>
        <w:tabs>
          <w:tab w:leader="none" w:pos="3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Ordinary shares:</w:t>
      </w:r>
    </w:p>
    <w:p>
      <w:pPr>
        <w:spacing w:after="0" w:line="206" w:lineRule="exact"/>
        <w:rPr>
          <w:rFonts w:ascii="Arial" w:cs="Arial" w:eastAsia="Arial" w:hAnsi="Arial"/>
          <w:sz w:val="17"/>
          <w:szCs w:val="17"/>
          <w:color w:val="auto"/>
        </w:rPr>
      </w:pPr>
    </w:p>
    <w:p>
      <w:pPr>
        <w:jc w:val="both"/>
        <w:ind w:left="360"/>
        <w:spacing w:after="0" w:line="257" w:lineRule="auto"/>
        <w:rPr>
          <w:rFonts w:ascii="Arial" w:cs="Arial" w:eastAsia="Arial" w:hAnsi="Arial"/>
          <w:sz w:val="17"/>
          <w:szCs w:val="17"/>
          <w:color w:val="auto"/>
        </w:rPr>
      </w:pPr>
      <w:r>
        <w:rPr>
          <w:rFonts w:ascii="Arial" w:cs="Arial" w:eastAsia="Arial" w:hAnsi="Arial"/>
          <w:sz w:val="17"/>
          <w:szCs w:val="17"/>
          <w:color w:val="auto"/>
        </w:rPr>
        <w:t>Ordinary shares shall confer on their shareholders all rights in the Company, including the right to vote on any matter at any general meeting, with each ordinary share having voting power of one vote for one ordinary share, the right to receive notice of any General Meeting, the right to receive dividends and to participate in any distribution of surplus assets and funds in the Company.</w:t>
      </w:r>
    </w:p>
    <w:p>
      <w:pPr>
        <w:spacing w:after="0" w:line="175" w:lineRule="exact"/>
        <w:rPr>
          <w:rFonts w:ascii="Arial" w:cs="Arial" w:eastAsia="Arial" w:hAnsi="Arial"/>
          <w:sz w:val="17"/>
          <w:szCs w:val="17"/>
          <w:color w:val="auto"/>
        </w:rPr>
      </w:pPr>
    </w:p>
    <w:p>
      <w:pPr>
        <w:jc w:val="both"/>
        <w:ind w:left="360"/>
        <w:spacing w:after="0" w:line="257" w:lineRule="auto"/>
        <w:rPr>
          <w:rFonts w:ascii="Arial" w:cs="Arial" w:eastAsia="Arial" w:hAnsi="Arial"/>
          <w:sz w:val="17"/>
          <w:szCs w:val="17"/>
          <w:color w:val="auto"/>
        </w:rPr>
      </w:pPr>
      <w:r>
        <w:rPr>
          <w:rFonts w:ascii="Arial" w:cs="Arial" w:eastAsia="Arial" w:hAnsi="Arial"/>
          <w:sz w:val="17"/>
          <w:szCs w:val="17"/>
          <w:color w:val="auto"/>
        </w:rPr>
        <w:t>On March 4, 2021, the Company's shareholders approved the change of share capital from NIS 0.01 par value to no par-value. All references to ordinary and convertible preferred shares amounts and per share amounts have been retroactively restated to reflect the change in par value as if it had taken place as of the beginning of the earliest period presented.</w:t>
      </w:r>
    </w:p>
    <w:p>
      <w:pPr>
        <w:spacing w:after="0" w:line="175" w:lineRule="exact"/>
        <w:rPr>
          <w:rFonts w:ascii="Arial" w:cs="Arial" w:eastAsia="Arial" w:hAnsi="Arial"/>
          <w:sz w:val="17"/>
          <w:szCs w:val="17"/>
          <w:color w:val="auto"/>
        </w:rPr>
      </w:pPr>
    </w:p>
    <w:p>
      <w:pPr>
        <w:ind w:left="360"/>
        <w:spacing w:after="0" w:line="268" w:lineRule="auto"/>
        <w:rPr>
          <w:rFonts w:ascii="Arial" w:cs="Arial" w:eastAsia="Arial" w:hAnsi="Arial"/>
          <w:sz w:val="17"/>
          <w:szCs w:val="17"/>
          <w:color w:val="auto"/>
        </w:rPr>
      </w:pPr>
      <w:r>
        <w:rPr>
          <w:rFonts w:ascii="Arial" w:cs="Arial" w:eastAsia="Arial" w:hAnsi="Arial"/>
          <w:sz w:val="17"/>
          <w:szCs w:val="17"/>
          <w:color w:val="auto"/>
        </w:rPr>
        <w:t>In connection with the IPO, the Company’s amended and restated articles of association became effective, which authorized the issuance of 900,000,000 ordinary shares, no par value each.</w:t>
      </w:r>
    </w:p>
    <w:p>
      <w:pPr>
        <w:spacing w:after="0" w:line="165" w:lineRule="exact"/>
        <w:rPr>
          <w:rFonts w:ascii="Arial" w:cs="Arial" w:eastAsia="Arial" w:hAnsi="Arial"/>
          <w:sz w:val="17"/>
          <w:szCs w:val="17"/>
          <w:color w:val="auto"/>
        </w:rPr>
      </w:pPr>
    </w:p>
    <w:p>
      <w:pPr>
        <w:ind w:left="360" w:hanging="360"/>
        <w:spacing w:after="0"/>
        <w:tabs>
          <w:tab w:leader="none" w:pos="3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Convertible preferred shares:</w:t>
      </w:r>
    </w:p>
    <w:p>
      <w:pPr>
        <w:spacing w:after="0" w:line="206" w:lineRule="exact"/>
        <w:rPr>
          <w:rFonts w:ascii="Arial" w:cs="Arial" w:eastAsia="Arial" w:hAnsi="Arial"/>
          <w:sz w:val="17"/>
          <w:szCs w:val="17"/>
          <w:color w:val="auto"/>
        </w:rPr>
      </w:pPr>
    </w:p>
    <w:p>
      <w:pPr>
        <w:jc w:val="both"/>
        <w:ind w:left="360"/>
        <w:spacing w:after="0" w:line="307" w:lineRule="auto"/>
        <w:rPr>
          <w:rFonts w:ascii="Arial" w:cs="Arial" w:eastAsia="Arial" w:hAnsi="Arial"/>
          <w:sz w:val="17"/>
          <w:szCs w:val="17"/>
          <w:color w:val="auto"/>
        </w:rPr>
      </w:pPr>
      <w:r>
        <w:rPr>
          <w:rFonts w:ascii="Arial" w:cs="Arial" w:eastAsia="Arial" w:hAnsi="Arial"/>
          <w:sz w:val="15"/>
          <w:szCs w:val="15"/>
          <w:color w:val="auto"/>
        </w:rPr>
        <w:t>In November 2019, the Company entered into a share purchase agreement with certain investors for a total consideration of $45,000. In addition to the initiall consideration, the share purchase agreement granted the Company the right to execute additional funding requests up to a total amount of $45,000 for a period of 24 months. As of December 31, 2020 the Company executed additional funding in the aggregate amount of $35,000 out of the available $45,000.</w:t>
      </w:r>
    </w:p>
    <w:p>
      <w:pPr>
        <w:spacing w:after="0" w:line="141" w:lineRule="exact"/>
        <w:rPr>
          <w:rFonts w:ascii="Arial" w:cs="Arial" w:eastAsia="Arial" w:hAnsi="Arial"/>
          <w:sz w:val="17"/>
          <w:szCs w:val="17"/>
          <w:color w:val="auto"/>
        </w:rPr>
      </w:pPr>
    </w:p>
    <w:p>
      <w:pPr>
        <w:ind w:left="360"/>
        <w:spacing w:after="0" w:line="268" w:lineRule="auto"/>
        <w:rPr>
          <w:rFonts w:ascii="Arial" w:cs="Arial" w:eastAsia="Arial" w:hAnsi="Arial"/>
          <w:sz w:val="17"/>
          <w:szCs w:val="17"/>
          <w:color w:val="auto"/>
        </w:rPr>
      </w:pPr>
      <w:r>
        <w:rPr>
          <w:rFonts w:ascii="Arial" w:cs="Arial" w:eastAsia="Arial" w:hAnsi="Arial"/>
          <w:sz w:val="17"/>
          <w:szCs w:val="17"/>
          <w:color w:val="auto"/>
        </w:rPr>
        <w:t>On March 25, 2021 the Company executed an additional funding request in the total amount of $10,000, for which 455,942 preferred F shares of no par value each were issued.</w:t>
      </w:r>
    </w:p>
    <w:p>
      <w:pPr>
        <w:spacing w:after="0" w:line="165" w:lineRule="exact"/>
        <w:rPr>
          <w:rFonts w:ascii="Arial" w:cs="Arial" w:eastAsia="Arial" w:hAnsi="Arial"/>
          <w:sz w:val="17"/>
          <w:szCs w:val="17"/>
          <w:color w:val="auto"/>
        </w:rPr>
      </w:pPr>
    </w:p>
    <w:p>
      <w:pPr>
        <w:ind w:left="360"/>
        <w:spacing w:after="0" w:line="268" w:lineRule="auto"/>
        <w:rPr>
          <w:rFonts w:ascii="Arial" w:cs="Arial" w:eastAsia="Arial" w:hAnsi="Arial"/>
          <w:sz w:val="17"/>
          <w:szCs w:val="17"/>
          <w:color w:val="auto"/>
        </w:rPr>
      </w:pPr>
      <w:r>
        <w:rPr>
          <w:rFonts w:ascii="Arial" w:cs="Arial" w:eastAsia="Arial" w:hAnsi="Arial"/>
          <w:sz w:val="17"/>
          <w:szCs w:val="17"/>
          <w:color w:val="auto"/>
        </w:rPr>
        <w:t>Upon completion of the IPO, all convertible preferred shares outstanding, totaling 59,180,522 shares, were automatically converted into an equivalent number of ordinary shares on a one-to-one basis and their carrying value of $310,490 was reclassified into shareholders’ equity.</w:t>
      </w:r>
    </w:p>
    <w:p>
      <w:pPr>
        <w:spacing w:after="0" w:line="165" w:lineRule="exact"/>
        <w:rPr>
          <w:rFonts w:ascii="Arial" w:cs="Arial" w:eastAsia="Arial" w:hAnsi="Arial"/>
          <w:sz w:val="17"/>
          <w:szCs w:val="17"/>
          <w:color w:val="auto"/>
        </w:rPr>
      </w:pPr>
    </w:p>
    <w:p>
      <w:pPr>
        <w:ind w:left="360" w:hanging="360"/>
        <w:spacing w:after="0"/>
        <w:tabs>
          <w:tab w:leader="none" w:pos="3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Share option plan:</w:t>
      </w:r>
    </w:p>
    <w:p>
      <w:pPr>
        <w:spacing w:after="0" w:line="206" w:lineRule="exact"/>
        <w:rPr>
          <w:rFonts w:ascii="Arial" w:cs="Arial" w:eastAsia="Arial" w:hAnsi="Arial"/>
          <w:sz w:val="17"/>
          <w:szCs w:val="17"/>
          <w:color w:val="auto"/>
        </w:rPr>
      </w:pPr>
    </w:p>
    <w:p>
      <w:pPr>
        <w:jc w:val="both"/>
        <w:ind w:left="360"/>
        <w:spacing w:after="0" w:line="298" w:lineRule="auto"/>
        <w:rPr>
          <w:rFonts w:ascii="Arial" w:cs="Arial" w:eastAsia="Arial" w:hAnsi="Arial"/>
          <w:sz w:val="17"/>
          <w:szCs w:val="17"/>
          <w:color w:val="auto"/>
        </w:rPr>
      </w:pPr>
      <w:r>
        <w:rPr>
          <w:rFonts w:ascii="Arial" w:cs="Arial" w:eastAsia="Arial" w:hAnsi="Arial"/>
          <w:sz w:val="15"/>
          <w:szCs w:val="15"/>
          <w:color w:val="auto"/>
        </w:rPr>
        <w:t>The Company’s equity incentive plans provide for granting share options, RSUs and restricted share awards to employees, consultants, officers and directors. Each option granted under the Plan expires no later than 10 years from the date of grant. Options and RSUs vest usually over four years of commencement of employment or services. Any option or RSU which are forfeited or not exercised before expiration, become available for future grants. As of December 31, 2021 and 2020, an aggregate of 7,857,017 and 143,337 ordinary shares of the Company, respectively are still available for future grants.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ind w:left="360" w:right="1080" w:hanging="355"/>
        <w:spacing w:after="0" w:line="495" w:lineRule="auto"/>
        <w:rPr>
          <w:sz w:val="20"/>
          <w:szCs w:val="20"/>
          <w:color w:val="auto"/>
        </w:rPr>
      </w:pPr>
      <w:r>
        <w:rPr>
          <w:rFonts w:ascii="Arial" w:cs="Arial" w:eastAsia="Arial" w:hAnsi="Arial"/>
          <w:sz w:val="17"/>
          <w:szCs w:val="17"/>
          <w:b w:val="1"/>
          <w:bCs w:val="1"/>
          <w:color w:val="auto"/>
        </w:rPr>
        <w:t>NOTE 7:-</w:t>
      </w:r>
      <w:r>
        <w:rPr>
          <w:sz w:val="20"/>
          <w:szCs w:val="20"/>
          <w:color w:val="auto"/>
        </w:rPr>
        <w:t xml:space="preserve"> </w:t>
      </w:r>
      <w:r>
        <w:rPr>
          <w:rFonts w:ascii="Arial" w:cs="Arial" w:eastAsia="Arial" w:hAnsi="Arial"/>
          <w:sz w:val="17"/>
          <w:szCs w:val="17"/>
          <w:b w:val="1"/>
          <w:bCs w:val="1"/>
          <w:color w:val="auto"/>
        </w:rPr>
        <w:t xml:space="preserve">CONVERTIBLE PREFERRED SHARES, SHAREHOLDERS’ EQUITY (DEFICIT) AND EQUITY INCENTIVE PLAN (Cont.) </w:t>
      </w:r>
      <w:r>
        <w:rPr>
          <w:rFonts w:ascii="Arial" w:cs="Arial" w:eastAsia="Arial" w:hAnsi="Arial"/>
          <w:sz w:val="17"/>
          <w:szCs w:val="17"/>
          <w:b w:val="1"/>
          <w:bCs w:val="1"/>
          <w:i w:val="1"/>
          <w:iCs w:val="1"/>
          <w:color w:val="auto"/>
        </w:rPr>
        <w:t>Share options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 summary of the Company's share option activity (except options to non-employee consultants) under the Plan is as follows: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5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Weighted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5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7"/>
              </w:rPr>
              <w:t>average</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5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8"/>
              </w:rPr>
              <w:t>Weighted</w:t>
            </w: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remaining</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516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Number</w:t>
            </w: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7"/>
              </w:rPr>
              <w:t>average</w:t>
            </w: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7"/>
              </w:rPr>
              <w:t>contractual</w:t>
            </w: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5"/>
              </w:rPr>
              <w:t>Aggregate</w:t>
            </w:r>
          </w:p>
        </w:tc>
      </w:tr>
      <w:tr>
        <w:trPr>
          <w:trHeight w:val="201"/>
        </w:trPr>
        <w:tc>
          <w:tcPr>
            <w:tcW w:w="516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6"/>
              </w:rPr>
              <w:t>of</w:t>
            </w: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2"/>
              </w:rPr>
              <w:t>exercise</w:t>
            </w: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7"/>
              </w:rPr>
              <w:t>term</w:t>
            </w:r>
          </w:p>
        </w:tc>
        <w:tc>
          <w:tcPr>
            <w:tcW w:w="10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3"/>
              </w:rPr>
              <w:t>Intrinsic</w:t>
            </w:r>
          </w:p>
        </w:tc>
      </w:tr>
      <w:tr>
        <w:trPr>
          <w:trHeight w:val="222"/>
        </w:trPr>
        <w:tc>
          <w:tcPr>
            <w:tcW w:w="516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options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8"/>
              </w:rPr>
              <w:t>price</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(in years)</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value</w:t>
            </w:r>
          </w:p>
        </w:tc>
        <w:tc>
          <w:tcPr>
            <w:tcW w:w="80" w:type="dxa"/>
            <w:vAlign w:val="bottom"/>
          </w:tcPr>
          <w:p>
            <w:pPr>
              <w:spacing w:after="0"/>
              <w:rPr>
                <w:sz w:val="19"/>
                <w:szCs w:val="19"/>
                <w:color w:val="auto"/>
              </w:rPr>
            </w:pPr>
          </w:p>
        </w:tc>
      </w:tr>
      <w:tr>
        <w:trPr>
          <w:trHeight w:val="201"/>
        </w:trPr>
        <w:tc>
          <w:tcPr>
            <w:tcW w:w="5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r>
      <w:tr>
        <w:trPr>
          <w:trHeight w:val="201"/>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2020</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10,378,813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3.69</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66,024</w:t>
            </w:r>
          </w:p>
        </w:tc>
      </w:tr>
      <w:tr>
        <w:trPr>
          <w:trHeight w:val="201"/>
        </w:trPr>
        <w:tc>
          <w:tcPr>
            <w:tcW w:w="5160" w:type="dxa"/>
            <w:vAlign w:val="bottom"/>
          </w:tcPr>
          <w:p>
            <w:pPr>
              <w:ind w:left="320"/>
              <w:spacing w:after="0"/>
              <w:rPr>
                <w:sz w:val="20"/>
                <w:szCs w:val="20"/>
                <w:color w:val="auto"/>
              </w:rPr>
            </w:pPr>
            <w:r>
              <w:rPr>
                <w:rFonts w:ascii="Arial" w:cs="Arial" w:eastAsia="Arial" w:hAnsi="Arial"/>
                <w:sz w:val="17"/>
                <w:szCs w:val="17"/>
                <w:color w:val="auto"/>
              </w:rPr>
              <w:t>Granted</w:t>
            </w:r>
          </w:p>
        </w:tc>
        <w:tc>
          <w:tcPr>
            <w:tcW w:w="980" w:type="dxa"/>
            <w:vAlign w:val="bottom"/>
          </w:tcPr>
          <w:p>
            <w:pPr>
              <w:jc w:val="right"/>
              <w:spacing w:after="0"/>
              <w:rPr>
                <w:sz w:val="20"/>
                <w:szCs w:val="20"/>
                <w:color w:val="auto"/>
              </w:rPr>
            </w:pPr>
            <w:r>
              <w:rPr>
                <w:rFonts w:ascii="Arial" w:cs="Arial" w:eastAsia="Arial" w:hAnsi="Arial"/>
                <w:sz w:val="17"/>
                <w:szCs w:val="17"/>
                <w:color w:val="auto"/>
              </w:rPr>
              <w:t>6,017,685</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15.13</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51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Forfeited</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(770,172)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10.31</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5160" w:type="dxa"/>
            <w:vAlign w:val="bottom"/>
          </w:tcPr>
          <w:p>
            <w:pPr>
              <w:ind w:left="320"/>
              <w:spacing w:after="0"/>
              <w:rPr>
                <w:sz w:val="20"/>
                <w:szCs w:val="20"/>
                <w:color w:val="auto"/>
              </w:rPr>
            </w:pPr>
            <w:r>
              <w:rPr>
                <w:rFonts w:ascii="Arial" w:cs="Arial" w:eastAsia="Arial" w:hAnsi="Arial"/>
                <w:sz w:val="17"/>
                <w:szCs w:val="17"/>
                <w:color w:val="auto"/>
              </w:rPr>
              <w:t>Exercised</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(1,465,534)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1.93</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25,937</w:t>
            </w:r>
          </w:p>
        </w:tc>
      </w:tr>
      <w:tr>
        <w:trPr>
          <w:trHeight w:val="241"/>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December 31,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14,160,792</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8.38</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159,366</w:t>
            </w:r>
          </w:p>
        </w:tc>
      </w:tr>
      <w:tr>
        <w:trPr>
          <w:trHeight w:val="191"/>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spacing w:after="0"/>
              <w:rPr>
                <w:sz w:val="16"/>
                <w:szCs w:val="16"/>
                <w:color w:val="auto"/>
              </w:rPr>
            </w:pPr>
          </w:p>
        </w:tc>
        <w:tc>
          <w:tcPr>
            <w:tcW w:w="11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spacing w:after="0"/>
              <w:rPr>
                <w:sz w:val="16"/>
                <w:szCs w:val="16"/>
                <w:color w:val="auto"/>
              </w:rPr>
            </w:pPr>
          </w:p>
        </w:tc>
      </w:tr>
      <w:tr>
        <w:trPr>
          <w:trHeight w:val="241"/>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Exercisable options at end of year</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6,166,007</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102,142</w:t>
            </w:r>
          </w:p>
        </w:tc>
      </w:tr>
    </w:tbl>
    <w:p>
      <w:pPr>
        <w:spacing w:after="0" w:line="188" w:lineRule="exact"/>
        <w:rPr>
          <w:sz w:val="20"/>
          <w:szCs w:val="20"/>
          <w:color w:val="auto"/>
        </w:rPr>
      </w:pPr>
    </w:p>
    <w:p>
      <w:pPr>
        <w:jc w:val="both"/>
        <w:ind w:left="360"/>
        <w:spacing w:after="0" w:line="299" w:lineRule="auto"/>
        <w:rPr>
          <w:sz w:val="20"/>
          <w:szCs w:val="20"/>
          <w:color w:val="auto"/>
        </w:rPr>
      </w:pPr>
      <w:r>
        <w:rPr>
          <w:rFonts w:ascii="Arial" w:cs="Arial" w:eastAsia="Arial" w:hAnsi="Arial"/>
          <w:sz w:val="16"/>
          <w:szCs w:val="16"/>
          <w:color w:val="auto"/>
        </w:rPr>
        <w:t>As of December 31, 2021, there was approximately $74,197 of total unrecognized compensation cost related to non-vested share-based compensation arrangements granted under the Company's share option plan. That cost is expected to be recognized over a weighted-average period of 3.67 years.</w:t>
      </w:r>
    </w:p>
    <w:p>
      <w:pPr>
        <w:spacing w:after="0" w:line="144" w:lineRule="exact"/>
        <w:rPr>
          <w:sz w:val="20"/>
          <w:szCs w:val="20"/>
          <w:color w:val="auto"/>
        </w:rPr>
      </w:pPr>
    </w:p>
    <w:p>
      <w:pPr>
        <w:jc w:val="both"/>
        <w:ind w:left="360"/>
        <w:spacing w:after="0" w:line="268" w:lineRule="auto"/>
        <w:rPr>
          <w:sz w:val="20"/>
          <w:szCs w:val="20"/>
          <w:color w:val="auto"/>
        </w:rPr>
      </w:pPr>
      <w:r>
        <w:rPr>
          <w:rFonts w:ascii="Arial" w:cs="Arial" w:eastAsia="Arial" w:hAnsi="Arial"/>
          <w:sz w:val="17"/>
          <w:szCs w:val="17"/>
          <w:color w:val="auto"/>
        </w:rPr>
        <w:t>The weighted-average grant date fair value of options granted during the years ended December 31, 2021, 2020 and 2019 was $13.31, $5.62 and $0.97, respectively.</w:t>
      </w:r>
    </w:p>
    <w:p>
      <w:pPr>
        <w:spacing w:after="0" w:line="166" w:lineRule="exact"/>
        <w:rPr>
          <w:sz w:val="20"/>
          <w:szCs w:val="20"/>
          <w:color w:val="auto"/>
        </w:rPr>
      </w:pPr>
    </w:p>
    <w:p>
      <w:pPr>
        <w:jc w:val="both"/>
        <w:ind w:left="360"/>
        <w:spacing w:after="0" w:line="268" w:lineRule="auto"/>
        <w:rPr>
          <w:sz w:val="20"/>
          <w:szCs w:val="20"/>
          <w:color w:val="auto"/>
        </w:rPr>
      </w:pPr>
      <w:r>
        <w:rPr>
          <w:rFonts w:ascii="Arial" w:cs="Arial" w:eastAsia="Arial" w:hAnsi="Arial"/>
          <w:sz w:val="17"/>
          <w:szCs w:val="17"/>
          <w:color w:val="auto"/>
        </w:rPr>
        <w:t>As of December 31,2021, there were no outstanding options granted to non-employees. During the year ended December 31, 2021, 50,000 options that were granted to non-employees were exercised.</w:t>
      </w:r>
    </w:p>
    <w:p>
      <w:pPr>
        <w:spacing w:after="0" w:line="166" w:lineRule="exact"/>
        <w:rPr>
          <w:sz w:val="20"/>
          <w:szCs w:val="20"/>
          <w:color w:val="auto"/>
        </w:rPr>
      </w:pPr>
    </w:p>
    <w:p>
      <w:pPr>
        <w:jc w:val="both"/>
        <w:ind w:left="360"/>
        <w:spacing w:after="0" w:line="268" w:lineRule="auto"/>
        <w:rPr>
          <w:sz w:val="20"/>
          <w:szCs w:val="20"/>
          <w:color w:val="auto"/>
        </w:rPr>
      </w:pPr>
      <w:r>
        <w:rPr>
          <w:rFonts w:ascii="Arial" w:cs="Arial" w:eastAsia="Arial" w:hAnsi="Arial"/>
          <w:sz w:val="17"/>
          <w:szCs w:val="17"/>
          <w:color w:val="auto"/>
        </w:rPr>
        <w:t>Under the provisions of ASC 718, the fair value of each option was estimated on the date of grant using the Black &amp; Scholes option valuation model, using the assumptions noted in the following table:</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47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w w:val="87"/>
              </w:rPr>
              <w:t>Year ended</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2"/>
        </w:trPr>
        <w:tc>
          <w:tcPr>
            <w:tcW w:w="476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December 31,</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06"/>
        </w:trPr>
        <w:tc>
          <w:tcPr>
            <w:tcW w:w="476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2021</w:t>
            </w:r>
          </w:p>
        </w:tc>
        <w:tc>
          <w:tcPr>
            <w:tcW w:w="26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2020</w:t>
            </w:r>
          </w:p>
        </w:tc>
        <w:tc>
          <w:tcPr>
            <w:tcW w:w="24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2019</w:t>
            </w:r>
          </w:p>
        </w:tc>
      </w:tr>
      <w:tr>
        <w:trPr>
          <w:trHeight w:val="201"/>
        </w:trPr>
        <w:tc>
          <w:tcPr>
            <w:tcW w:w="47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40" w:type="dxa"/>
            <w:vAlign w:val="bottom"/>
            <w:gridSpan w:val="2"/>
          </w:tcPr>
          <w:p>
            <w:pPr>
              <w:spacing w:after="0"/>
              <w:rPr>
                <w:sz w:val="17"/>
                <w:szCs w:val="17"/>
                <w:color w:val="auto"/>
              </w:rPr>
            </w:pPr>
          </w:p>
        </w:tc>
        <w:tc>
          <w:tcPr>
            <w:tcW w:w="1720" w:type="dxa"/>
            <w:vAlign w:val="bottom"/>
            <w:gridSpan w:val="2"/>
          </w:tcPr>
          <w:p>
            <w:pPr>
              <w:spacing w:after="0"/>
              <w:rPr>
                <w:sz w:val="17"/>
                <w:szCs w:val="17"/>
                <w:color w:val="auto"/>
              </w:rPr>
            </w:pPr>
          </w:p>
        </w:tc>
      </w:tr>
      <w:tr>
        <w:trPr>
          <w:trHeight w:val="201"/>
        </w:trPr>
        <w:tc>
          <w:tcPr>
            <w:tcW w:w="4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Expected volatility</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60%</w:t>
            </w:r>
          </w:p>
        </w:tc>
        <w:tc>
          <w:tcPr>
            <w:tcW w:w="1740" w:type="dxa"/>
            <w:vAlign w:val="bottom"/>
            <w:gridSpan w:val="2"/>
            <w:shd w:val="clear" w:color="auto" w:fill="CCEEFF"/>
          </w:tcPr>
          <w:p>
            <w:pPr>
              <w:jc w:val="center"/>
              <w:ind w:left="156"/>
              <w:spacing w:after="0"/>
              <w:rPr>
                <w:sz w:val="20"/>
                <w:szCs w:val="20"/>
                <w:color w:val="auto"/>
              </w:rPr>
            </w:pPr>
            <w:r>
              <w:rPr>
                <w:rFonts w:ascii="Arial" w:cs="Arial" w:eastAsia="Arial" w:hAnsi="Arial"/>
                <w:sz w:val="17"/>
                <w:szCs w:val="17"/>
                <w:color w:val="auto"/>
                <w:w w:val="88"/>
              </w:rPr>
              <w:t>60%</w:t>
            </w:r>
          </w:p>
        </w:tc>
        <w:tc>
          <w:tcPr>
            <w:tcW w:w="1720" w:type="dxa"/>
            <w:vAlign w:val="bottom"/>
            <w:gridSpan w:val="2"/>
            <w:shd w:val="clear" w:color="auto" w:fill="CCEEFF"/>
          </w:tcPr>
          <w:p>
            <w:pPr>
              <w:jc w:val="center"/>
              <w:ind w:left="158"/>
              <w:spacing w:after="0"/>
              <w:rPr>
                <w:sz w:val="20"/>
                <w:szCs w:val="20"/>
                <w:color w:val="auto"/>
              </w:rPr>
            </w:pPr>
            <w:r>
              <w:rPr>
                <w:rFonts w:ascii="Arial" w:cs="Arial" w:eastAsia="Arial" w:hAnsi="Arial"/>
                <w:sz w:val="17"/>
                <w:szCs w:val="17"/>
                <w:color w:val="auto"/>
                <w:w w:val="91"/>
              </w:rPr>
              <w:t>60% - 65%</w:t>
            </w:r>
          </w:p>
        </w:tc>
      </w:tr>
      <w:tr>
        <w:trPr>
          <w:trHeight w:val="201"/>
        </w:trPr>
        <w:tc>
          <w:tcPr>
            <w:tcW w:w="4760" w:type="dxa"/>
            <w:vAlign w:val="bottom"/>
          </w:tcPr>
          <w:p>
            <w:pPr>
              <w:ind w:left="40"/>
              <w:spacing w:after="0"/>
              <w:rPr>
                <w:sz w:val="20"/>
                <w:szCs w:val="20"/>
                <w:color w:val="auto"/>
              </w:rPr>
            </w:pPr>
            <w:r>
              <w:rPr>
                <w:rFonts w:ascii="Arial" w:cs="Arial" w:eastAsia="Arial" w:hAnsi="Arial"/>
                <w:sz w:val="17"/>
                <w:szCs w:val="17"/>
                <w:color w:val="auto"/>
              </w:rPr>
              <w:t>Expected dividend yield</w:t>
            </w:r>
          </w:p>
        </w:tc>
        <w:tc>
          <w:tcPr>
            <w:tcW w:w="1480" w:type="dxa"/>
            <w:vAlign w:val="bottom"/>
          </w:tcPr>
          <w:p>
            <w:pPr>
              <w:jc w:val="center"/>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center"/>
              <w:ind w:left="156"/>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center"/>
              <w:ind w:left="158"/>
              <w:spacing w:after="0"/>
              <w:rPr>
                <w:sz w:val="20"/>
                <w:szCs w:val="20"/>
                <w:color w:val="auto"/>
              </w:rPr>
            </w:pPr>
            <w:r>
              <w:rPr>
                <w:rFonts w:ascii="Arial" w:cs="Arial" w:eastAsia="Arial" w:hAnsi="Arial"/>
                <w:sz w:val="16"/>
                <w:szCs w:val="16"/>
                <w:color w:val="auto"/>
                <w:w w:val="74"/>
              </w:rPr>
              <w:t>-</w:t>
            </w:r>
          </w:p>
        </w:tc>
      </w:tr>
      <w:tr>
        <w:trPr>
          <w:trHeight w:val="201"/>
        </w:trPr>
        <w:tc>
          <w:tcPr>
            <w:tcW w:w="4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Expected term (in years)</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5-6.55</w:t>
            </w:r>
          </w:p>
        </w:tc>
        <w:tc>
          <w:tcPr>
            <w:tcW w:w="1740" w:type="dxa"/>
            <w:vAlign w:val="bottom"/>
            <w:gridSpan w:val="2"/>
            <w:shd w:val="clear" w:color="auto" w:fill="CCEEFF"/>
          </w:tcPr>
          <w:p>
            <w:pPr>
              <w:jc w:val="center"/>
              <w:ind w:left="156"/>
              <w:spacing w:after="0"/>
              <w:rPr>
                <w:sz w:val="20"/>
                <w:szCs w:val="20"/>
                <w:color w:val="auto"/>
              </w:rPr>
            </w:pPr>
            <w:r>
              <w:rPr>
                <w:rFonts w:ascii="Arial" w:cs="Arial" w:eastAsia="Arial" w:hAnsi="Arial"/>
                <w:sz w:val="17"/>
                <w:szCs w:val="17"/>
                <w:color w:val="auto"/>
                <w:w w:val="90"/>
              </w:rPr>
              <w:t>6.08</w:t>
            </w:r>
          </w:p>
        </w:tc>
        <w:tc>
          <w:tcPr>
            <w:tcW w:w="1720" w:type="dxa"/>
            <w:vAlign w:val="bottom"/>
            <w:gridSpan w:val="2"/>
            <w:shd w:val="clear" w:color="auto" w:fill="CCEEFF"/>
          </w:tcPr>
          <w:p>
            <w:pPr>
              <w:jc w:val="center"/>
              <w:ind w:left="158"/>
              <w:spacing w:after="0"/>
              <w:rPr>
                <w:sz w:val="20"/>
                <w:szCs w:val="20"/>
                <w:color w:val="auto"/>
              </w:rPr>
            </w:pPr>
            <w:r>
              <w:rPr>
                <w:rFonts w:ascii="Arial" w:cs="Arial" w:eastAsia="Arial" w:hAnsi="Arial"/>
                <w:sz w:val="17"/>
                <w:szCs w:val="17"/>
                <w:color w:val="auto"/>
                <w:w w:val="91"/>
              </w:rPr>
              <w:t>5-6.08</w:t>
            </w:r>
          </w:p>
        </w:tc>
      </w:tr>
      <w:tr>
        <w:trPr>
          <w:trHeight w:val="213"/>
        </w:trPr>
        <w:tc>
          <w:tcPr>
            <w:tcW w:w="4760" w:type="dxa"/>
            <w:vAlign w:val="bottom"/>
          </w:tcPr>
          <w:p>
            <w:pPr>
              <w:ind w:left="40"/>
              <w:spacing w:after="0"/>
              <w:rPr>
                <w:sz w:val="20"/>
                <w:szCs w:val="20"/>
                <w:color w:val="auto"/>
              </w:rPr>
            </w:pPr>
            <w:r>
              <w:rPr>
                <w:rFonts w:ascii="Arial" w:cs="Arial" w:eastAsia="Arial" w:hAnsi="Arial"/>
                <w:sz w:val="17"/>
                <w:szCs w:val="17"/>
                <w:color w:val="auto"/>
              </w:rPr>
              <w:t>Risk free interest</w:t>
            </w: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0.49%-1.06%</w:t>
            </w:r>
          </w:p>
        </w:tc>
        <w:tc>
          <w:tcPr>
            <w:tcW w:w="1740" w:type="dxa"/>
            <w:vAlign w:val="bottom"/>
            <w:gridSpan w:val="2"/>
          </w:tcPr>
          <w:p>
            <w:pPr>
              <w:jc w:val="center"/>
              <w:ind w:left="176"/>
              <w:spacing w:after="0"/>
              <w:rPr>
                <w:sz w:val="20"/>
                <w:szCs w:val="20"/>
                <w:color w:val="auto"/>
              </w:rPr>
            </w:pPr>
            <w:r>
              <w:rPr>
                <w:rFonts w:ascii="Arial" w:cs="Arial" w:eastAsia="Arial" w:hAnsi="Arial"/>
                <w:sz w:val="17"/>
                <w:szCs w:val="17"/>
                <w:color w:val="auto"/>
                <w:w w:val="90"/>
              </w:rPr>
              <w:t>0.28%-1.45%</w:t>
            </w:r>
          </w:p>
        </w:tc>
        <w:tc>
          <w:tcPr>
            <w:tcW w:w="1720" w:type="dxa"/>
            <w:vAlign w:val="bottom"/>
            <w:gridSpan w:val="2"/>
          </w:tcPr>
          <w:p>
            <w:pPr>
              <w:jc w:val="center"/>
              <w:ind w:left="158"/>
              <w:spacing w:after="0"/>
              <w:rPr>
                <w:sz w:val="20"/>
                <w:szCs w:val="20"/>
                <w:color w:val="auto"/>
              </w:rPr>
            </w:pPr>
            <w:r>
              <w:rPr>
                <w:rFonts w:ascii="Arial" w:cs="Arial" w:eastAsia="Arial" w:hAnsi="Arial"/>
                <w:sz w:val="17"/>
                <w:szCs w:val="17"/>
                <w:color w:val="auto"/>
                <w:w w:val="90"/>
              </w:rPr>
              <w:t>1.51%-2.39%</w:t>
            </w:r>
          </w:p>
        </w:tc>
      </w:tr>
    </w:tbl>
    <w:p>
      <w:pPr>
        <w:spacing w:after="0" w:line="176" w:lineRule="exact"/>
        <w:rPr>
          <w:sz w:val="20"/>
          <w:szCs w:val="20"/>
          <w:color w:val="auto"/>
        </w:rPr>
      </w:pPr>
    </w:p>
    <w:p>
      <w:pPr>
        <w:jc w:val="both"/>
        <w:ind w:left="360"/>
        <w:spacing w:after="0" w:line="269" w:lineRule="auto"/>
        <w:rPr>
          <w:sz w:val="20"/>
          <w:szCs w:val="20"/>
          <w:color w:val="auto"/>
        </w:rPr>
      </w:pPr>
      <w:r>
        <w:rPr>
          <w:rFonts w:ascii="Arial" w:cs="Arial" w:eastAsia="Arial" w:hAnsi="Arial"/>
          <w:sz w:val="16"/>
          <w:szCs w:val="16"/>
          <w:color w:val="auto"/>
        </w:rPr>
        <w:t>Risk-free interest rates are based on the yield from U.S. Treasury zero-coupon bonds with a term equivalent to the expected term of the options. The expected volatility of the price of such shares is based on an analysis of reported data for a peer group of comparable publicly traded companies which were selected based upon industry similarities. The expected term of options granted represents the period of time that options granted are expected to be outstanding, and is determined based on the simplified method in accordance with ASC No. 718-10-S99-1 (SAB No. 110), as adequate historical experience is not available to provide a reasonable estimate. The dividend yield is based on the Company's historical and future expectation of dividends payouts. Historically, the Company has not paid cash dividends and has no foreseeable plans to pay cash dividends in the future.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6"/>
          <w:szCs w:val="16"/>
          <w:b w:val="1"/>
          <w:bCs w:val="1"/>
          <w:color w:val="auto"/>
        </w:rPr>
        <w:t>CONVERTIBLE PREFERRED SHARES, SHAREHOLDERS’ EQUITY (DEFICIT) AND EQUITY INCENTIVE PLAN (Cont.)</w:t>
      </w: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13"/>
        </w:trPr>
        <w:tc>
          <w:tcPr>
            <w:tcW w:w="75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Restricted Share Units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85"/>
        </w:trPr>
        <w:tc>
          <w:tcPr>
            <w:tcW w:w="1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0"/>
              </w:rPr>
              <w:t>Weighted-</w:t>
            </w:r>
          </w:p>
        </w:tc>
      </w:tr>
      <w:tr>
        <w:trPr>
          <w:trHeight w:val="201"/>
        </w:trPr>
        <w:tc>
          <w:tcPr>
            <w:tcW w:w="10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6"/>
              </w:rPr>
              <w:t>Average</w:t>
            </w:r>
          </w:p>
        </w:tc>
      </w:tr>
      <w:tr>
        <w:trPr>
          <w:trHeight w:val="201"/>
        </w:trPr>
        <w:tc>
          <w:tcPr>
            <w:tcW w:w="10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Number</w:t>
            </w:r>
          </w:p>
        </w:tc>
        <w:tc>
          <w:tcPr>
            <w:tcW w:w="104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1"/>
              </w:rPr>
              <w:t>Grant Date</w:t>
            </w:r>
          </w:p>
        </w:tc>
      </w:tr>
      <w:tr>
        <w:trPr>
          <w:trHeight w:val="201"/>
        </w:trPr>
        <w:tc>
          <w:tcPr>
            <w:tcW w:w="10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6"/>
              </w:rPr>
              <w:t>of</w:t>
            </w: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Fair Value</w:t>
            </w:r>
          </w:p>
        </w:tc>
      </w:tr>
      <w:tr>
        <w:trPr>
          <w:trHeight w:val="222"/>
        </w:trPr>
        <w:tc>
          <w:tcPr>
            <w:tcW w:w="10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RSUs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90"/>
              </w:rPr>
              <w:t>Per Share</w:t>
            </w:r>
          </w:p>
        </w:tc>
        <w:tc>
          <w:tcPr>
            <w:tcW w:w="80" w:type="dxa"/>
            <w:vAlign w:val="bottom"/>
          </w:tcPr>
          <w:p>
            <w:pPr>
              <w:spacing w:after="0"/>
              <w:rPr>
                <w:sz w:val="19"/>
                <w:szCs w:val="19"/>
                <w:color w:val="auto"/>
              </w:rPr>
            </w:pPr>
          </w:p>
        </w:tc>
      </w:tr>
      <w:tr>
        <w:trPr>
          <w:trHeight w:val="201"/>
        </w:trPr>
        <w:tc>
          <w:tcPr>
            <w:tcW w:w="10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r>
      <w:tr>
        <w:trPr>
          <w:trHeight w:val="201"/>
        </w:trPr>
        <w:tc>
          <w:tcPr>
            <w:tcW w:w="100" w:type="dxa"/>
            <w:vAlign w:val="bottom"/>
          </w:tcPr>
          <w:p>
            <w:pPr>
              <w:spacing w:after="0"/>
              <w:rPr>
                <w:sz w:val="17"/>
                <w:szCs w:val="17"/>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2020</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01"/>
        </w:trPr>
        <w:tc>
          <w:tcPr>
            <w:tcW w:w="100" w:type="dxa"/>
            <w:vAlign w:val="bottom"/>
          </w:tcPr>
          <w:p>
            <w:pPr>
              <w:spacing w:after="0"/>
              <w:rPr>
                <w:sz w:val="17"/>
                <w:szCs w:val="17"/>
                <w:color w:val="auto"/>
              </w:rPr>
            </w:pPr>
          </w:p>
        </w:tc>
        <w:tc>
          <w:tcPr>
            <w:tcW w:w="7480" w:type="dxa"/>
            <w:vAlign w:val="bottom"/>
          </w:tcPr>
          <w:p>
            <w:pPr>
              <w:ind w:left="320"/>
              <w:spacing w:after="0"/>
              <w:rPr>
                <w:sz w:val="20"/>
                <w:szCs w:val="20"/>
                <w:color w:val="auto"/>
              </w:rPr>
            </w:pPr>
            <w:r>
              <w:rPr>
                <w:rFonts w:ascii="Arial" w:cs="Arial" w:eastAsia="Arial" w:hAnsi="Arial"/>
                <w:sz w:val="17"/>
                <w:szCs w:val="17"/>
                <w:color w:val="auto"/>
              </w:rPr>
              <w:t>Granted</w:t>
            </w:r>
          </w:p>
        </w:tc>
        <w:tc>
          <w:tcPr>
            <w:tcW w:w="980" w:type="dxa"/>
            <w:vAlign w:val="bottom"/>
          </w:tcPr>
          <w:p>
            <w:pPr>
              <w:jc w:val="right"/>
              <w:spacing w:after="0"/>
              <w:rPr>
                <w:sz w:val="20"/>
                <w:szCs w:val="20"/>
                <w:color w:val="auto"/>
              </w:rPr>
            </w:pPr>
            <w:r>
              <w:rPr>
                <w:rFonts w:ascii="Arial" w:cs="Arial" w:eastAsia="Arial" w:hAnsi="Arial"/>
                <w:sz w:val="17"/>
                <w:szCs w:val="17"/>
                <w:color w:val="auto"/>
              </w:rPr>
              <w:t>2,532,873</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26.18</w:t>
            </w:r>
          </w:p>
        </w:tc>
      </w:tr>
      <w:tr>
        <w:trPr>
          <w:trHeight w:val="201"/>
        </w:trPr>
        <w:tc>
          <w:tcPr>
            <w:tcW w:w="100" w:type="dxa"/>
            <w:vAlign w:val="bottom"/>
          </w:tcPr>
          <w:p>
            <w:pPr>
              <w:spacing w:after="0"/>
              <w:rPr>
                <w:sz w:val="17"/>
                <w:szCs w:val="17"/>
                <w:color w:val="auto"/>
              </w:rPr>
            </w:pPr>
          </w:p>
        </w:tc>
        <w:tc>
          <w:tcPr>
            <w:tcW w:w="7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Forfeited</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(164,700)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25.72</w:t>
            </w:r>
          </w:p>
        </w:tc>
      </w:tr>
      <w:tr>
        <w:trPr>
          <w:trHeight w:val="206"/>
        </w:trPr>
        <w:tc>
          <w:tcPr>
            <w:tcW w:w="100" w:type="dxa"/>
            <w:vAlign w:val="bottom"/>
          </w:tcPr>
          <w:p>
            <w:pPr>
              <w:spacing w:after="0"/>
              <w:rPr>
                <w:sz w:val="17"/>
                <w:szCs w:val="17"/>
                <w:color w:val="auto"/>
              </w:rPr>
            </w:pPr>
          </w:p>
        </w:tc>
        <w:tc>
          <w:tcPr>
            <w:tcW w:w="7480" w:type="dxa"/>
            <w:vAlign w:val="bottom"/>
          </w:tcPr>
          <w:p>
            <w:pPr>
              <w:ind w:left="320"/>
              <w:spacing w:after="0"/>
              <w:rPr>
                <w:sz w:val="20"/>
                <w:szCs w:val="20"/>
                <w:color w:val="auto"/>
              </w:rPr>
            </w:pPr>
            <w:r>
              <w:rPr>
                <w:rFonts w:ascii="Arial" w:cs="Arial" w:eastAsia="Arial" w:hAnsi="Arial"/>
                <w:sz w:val="17"/>
                <w:szCs w:val="17"/>
                <w:color w:val="auto"/>
              </w:rPr>
              <w:t>Exercised</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(1,800)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27.34</w:t>
            </w:r>
          </w:p>
        </w:tc>
      </w:tr>
      <w:tr>
        <w:trPr>
          <w:trHeight w:val="241"/>
        </w:trPr>
        <w:tc>
          <w:tcPr>
            <w:tcW w:w="100" w:type="dxa"/>
            <w:vAlign w:val="bottom"/>
          </w:tcPr>
          <w:p>
            <w:pPr>
              <w:spacing w:after="0"/>
              <w:rPr>
                <w:sz w:val="20"/>
                <w:szCs w:val="20"/>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December 31,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2,366,373</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26.22</w:t>
            </w:r>
          </w:p>
        </w:tc>
      </w:tr>
    </w:tbl>
    <w:p>
      <w:pPr>
        <w:spacing w:after="0" w:line="188" w:lineRule="exact"/>
        <w:rPr>
          <w:sz w:val="20"/>
          <w:szCs w:val="20"/>
          <w:color w:val="auto"/>
        </w:rPr>
      </w:pPr>
    </w:p>
    <w:p>
      <w:pPr>
        <w:ind w:left="360"/>
        <w:spacing w:after="0" w:line="268" w:lineRule="auto"/>
        <w:rPr>
          <w:sz w:val="20"/>
          <w:szCs w:val="20"/>
          <w:color w:val="auto"/>
        </w:rPr>
      </w:pPr>
      <w:r>
        <w:rPr>
          <w:rFonts w:ascii="Arial" w:cs="Arial" w:eastAsia="Arial" w:hAnsi="Arial"/>
          <w:sz w:val="17"/>
          <w:szCs w:val="17"/>
          <w:color w:val="auto"/>
        </w:rPr>
        <w:t>As of December 31, 2021, there was approximately $57,244 of unrecognized share-based compensation expense related to unvested RSUs, which is being recognized over a weighted-average period of 3.7 years based on vesting under the award service conditions.</w:t>
      </w:r>
    </w:p>
    <w:p>
      <w:pPr>
        <w:spacing w:after="0" w:line="166" w:lineRule="exact"/>
        <w:rPr>
          <w:sz w:val="20"/>
          <w:szCs w:val="20"/>
          <w:color w:val="auto"/>
        </w:rPr>
      </w:pPr>
    </w:p>
    <w:p>
      <w:pPr>
        <w:ind w:left="360" w:hanging="360"/>
        <w:spacing w:after="0"/>
        <w:tabs>
          <w:tab w:leader="none" w:pos="3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Employee Share Purchase Plan</w:t>
      </w:r>
    </w:p>
    <w:p>
      <w:pPr>
        <w:spacing w:after="0" w:line="206" w:lineRule="exact"/>
        <w:rPr>
          <w:rFonts w:ascii="Arial" w:cs="Arial" w:eastAsia="Arial" w:hAnsi="Arial"/>
          <w:sz w:val="17"/>
          <w:szCs w:val="17"/>
          <w:color w:val="auto"/>
        </w:rPr>
      </w:pPr>
    </w:p>
    <w:p>
      <w:pPr>
        <w:jc w:val="both"/>
        <w:ind w:left="360"/>
        <w:spacing w:after="0" w:line="269" w:lineRule="auto"/>
        <w:rPr>
          <w:rFonts w:ascii="Arial" w:cs="Arial" w:eastAsia="Arial" w:hAnsi="Arial"/>
          <w:sz w:val="17"/>
          <w:szCs w:val="17"/>
          <w:color w:val="auto"/>
        </w:rPr>
      </w:pPr>
      <w:r>
        <w:rPr>
          <w:rFonts w:ascii="Arial" w:cs="Arial" w:eastAsia="Arial" w:hAnsi="Arial"/>
          <w:sz w:val="16"/>
          <w:szCs w:val="16"/>
          <w:color w:val="auto"/>
        </w:rPr>
        <w:t>In June 2021, the Company adopted the 2021 ESPP. Generally, all of the Company’s employees are eligible to participate if they are employed by the Company. The Company’s ESPP permits participants to purchase the Company’s ordinary shares through contributions in the form of payroll deductions or otherwise to the extent permitted by the Company, of up to 15% of their eligible compensation (as defined in the ESPP). Amounts contributed and accumulated by the participant will be used to purchase the Company’s ordinary shares at the end of each offering period. The purchase price of the shares will be 85% of the lower of the fair market value of the Company’s ordinary shares on the first trading day of the offering period or on the exercise date. As of December 31, 2021, a total of 1,824,988 shares were reserved for issuance under the ESPP.</w:t>
      </w:r>
    </w:p>
    <w:p>
      <w:pPr>
        <w:spacing w:after="0" w:line="168"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7"/>
          <w:szCs w:val="17"/>
          <w:color w:val="auto"/>
        </w:rPr>
        <w:t>The Company estimated the fair value of ESPP purchase rights using a Monte-Carlo option pricing model with the following assumptions: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860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3"/>
              </w:rPr>
              <w:t>Year ended</w:t>
            </w:r>
          </w:p>
        </w:tc>
      </w:tr>
      <w:tr>
        <w:trPr>
          <w:trHeight w:val="201"/>
        </w:trPr>
        <w:tc>
          <w:tcPr>
            <w:tcW w:w="86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9"/>
              </w:rPr>
              <w:t>December</w:t>
            </w:r>
          </w:p>
        </w:tc>
      </w:tr>
      <w:tr>
        <w:trPr>
          <w:trHeight w:val="201"/>
        </w:trPr>
        <w:tc>
          <w:tcPr>
            <w:tcW w:w="8600" w:type="dxa"/>
            <w:vAlign w:val="bottom"/>
          </w:tcPr>
          <w:p>
            <w:pPr>
              <w:spacing w:after="0"/>
              <w:rPr>
                <w:sz w:val="17"/>
                <w:szCs w:val="17"/>
                <w:color w:val="auto"/>
              </w:rPr>
            </w:pPr>
          </w:p>
        </w:tc>
        <w:tc>
          <w:tcPr>
            <w:tcW w:w="960" w:type="dxa"/>
            <w:vAlign w:val="bottom"/>
          </w:tcPr>
          <w:p>
            <w:pPr>
              <w:jc w:val="right"/>
              <w:ind w:right="296"/>
              <w:spacing w:after="0"/>
              <w:rPr>
                <w:sz w:val="20"/>
                <w:szCs w:val="20"/>
                <w:color w:val="auto"/>
              </w:rPr>
            </w:pPr>
            <w:r>
              <w:rPr>
                <w:rFonts w:ascii="Arial" w:cs="Arial" w:eastAsia="Arial" w:hAnsi="Arial"/>
                <w:sz w:val="17"/>
                <w:szCs w:val="17"/>
                <w:b w:val="1"/>
                <w:bCs w:val="1"/>
                <w:color w:val="auto"/>
              </w:rPr>
              <w:t>31,</w:t>
            </w:r>
          </w:p>
        </w:tc>
        <w:tc>
          <w:tcPr>
            <w:tcW w:w="140" w:type="dxa"/>
            <w:vAlign w:val="bottom"/>
          </w:tcPr>
          <w:p>
            <w:pPr>
              <w:spacing w:after="0"/>
              <w:rPr>
                <w:sz w:val="17"/>
                <w:szCs w:val="17"/>
                <w:color w:val="auto"/>
              </w:rPr>
            </w:pPr>
          </w:p>
        </w:tc>
      </w:tr>
      <w:tr>
        <w:trPr>
          <w:trHeight w:val="222"/>
        </w:trPr>
        <w:tc>
          <w:tcPr>
            <w:tcW w:w="8600" w:type="dxa"/>
            <w:vAlign w:val="bottom"/>
          </w:tcPr>
          <w:p>
            <w:pPr>
              <w:spacing w:after="0"/>
              <w:rPr>
                <w:sz w:val="19"/>
                <w:szCs w:val="19"/>
                <w:color w:val="auto"/>
              </w:rPr>
            </w:pPr>
          </w:p>
        </w:tc>
        <w:tc>
          <w:tcPr>
            <w:tcW w:w="96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2021</w:t>
            </w:r>
          </w:p>
        </w:tc>
        <w:tc>
          <w:tcPr>
            <w:tcW w:w="140" w:type="dxa"/>
            <w:vAlign w:val="bottom"/>
          </w:tcPr>
          <w:p>
            <w:pPr>
              <w:spacing w:after="0"/>
              <w:rPr>
                <w:sz w:val="19"/>
                <w:szCs w:val="19"/>
                <w:color w:val="auto"/>
              </w:rPr>
            </w:pPr>
          </w:p>
        </w:tc>
      </w:tr>
      <w:tr>
        <w:trPr>
          <w:trHeight w:val="201"/>
        </w:trPr>
        <w:tc>
          <w:tcPr>
            <w:tcW w:w="860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r>
      <w:tr>
        <w:trPr>
          <w:trHeight w:val="201"/>
        </w:trPr>
        <w:tc>
          <w:tcPr>
            <w:tcW w:w="8600" w:type="dxa"/>
            <w:vAlign w:val="bottom"/>
            <w:shd w:val="clear" w:color="auto" w:fill="CCEEFF"/>
          </w:tcPr>
          <w:p>
            <w:pPr>
              <w:ind w:left="40"/>
              <w:spacing w:after="0"/>
              <w:rPr>
                <w:sz w:val="20"/>
                <w:szCs w:val="20"/>
                <w:color w:val="auto"/>
              </w:rPr>
            </w:pPr>
            <w:r>
              <w:rPr>
                <w:rFonts w:ascii="Arial" w:cs="Arial" w:eastAsia="Arial" w:hAnsi="Arial"/>
                <w:sz w:val="17"/>
                <w:szCs w:val="17"/>
                <w:color w:val="auto"/>
              </w:rPr>
              <w:t>Expected volatility</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01"/>
        </w:trPr>
        <w:tc>
          <w:tcPr>
            <w:tcW w:w="8600" w:type="dxa"/>
            <w:vAlign w:val="bottom"/>
          </w:tcPr>
          <w:p>
            <w:pPr>
              <w:ind w:left="40"/>
              <w:spacing w:after="0"/>
              <w:rPr>
                <w:sz w:val="20"/>
                <w:szCs w:val="20"/>
                <w:color w:val="auto"/>
              </w:rPr>
            </w:pPr>
            <w:r>
              <w:rPr>
                <w:rFonts w:ascii="Arial" w:cs="Arial" w:eastAsia="Arial" w:hAnsi="Arial"/>
                <w:sz w:val="17"/>
                <w:szCs w:val="17"/>
                <w:color w:val="auto"/>
              </w:rPr>
              <w:t>Expected dividend yield</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r>
      <w:tr>
        <w:trPr>
          <w:trHeight w:val="201"/>
        </w:trPr>
        <w:tc>
          <w:tcPr>
            <w:tcW w:w="8600" w:type="dxa"/>
            <w:vAlign w:val="bottom"/>
            <w:shd w:val="clear" w:color="auto" w:fill="CCEEFF"/>
          </w:tcPr>
          <w:p>
            <w:pPr>
              <w:ind w:left="40"/>
              <w:spacing w:after="0"/>
              <w:rPr>
                <w:sz w:val="20"/>
                <w:szCs w:val="20"/>
                <w:color w:val="auto"/>
              </w:rPr>
            </w:pPr>
            <w:r>
              <w:rPr>
                <w:rFonts w:ascii="Arial" w:cs="Arial" w:eastAsia="Arial" w:hAnsi="Arial"/>
                <w:sz w:val="17"/>
                <w:szCs w:val="17"/>
                <w:color w:val="auto"/>
              </w:rPr>
              <w:t>Expected term (in years)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0.57</w:t>
            </w:r>
          </w:p>
        </w:tc>
      </w:tr>
      <w:tr>
        <w:trPr>
          <w:trHeight w:val="213"/>
        </w:trPr>
        <w:tc>
          <w:tcPr>
            <w:tcW w:w="8600" w:type="dxa"/>
            <w:vAlign w:val="bottom"/>
          </w:tcPr>
          <w:p>
            <w:pPr>
              <w:ind w:left="40"/>
              <w:spacing w:after="0"/>
              <w:rPr>
                <w:sz w:val="20"/>
                <w:szCs w:val="20"/>
                <w:color w:val="auto"/>
              </w:rPr>
            </w:pPr>
            <w:r>
              <w:rPr>
                <w:rFonts w:ascii="Arial" w:cs="Arial" w:eastAsia="Arial" w:hAnsi="Arial"/>
                <w:sz w:val="17"/>
                <w:szCs w:val="17"/>
                <w:color w:val="auto"/>
              </w:rPr>
              <w:t>Risk free interest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0.06%</w:t>
            </w:r>
          </w:p>
        </w:tc>
      </w:tr>
    </w:tbl>
    <w:p>
      <w:pPr>
        <w:spacing w:after="0" w:line="176" w:lineRule="exact"/>
        <w:rPr>
          <w:sz w:val="20"/>
          <w:szCs w:val="20"/>
          <w:color w:val="auto"/>
        </w:rPr>
      </w:pPr>
    </w:p>
    <w:p>
      <w:pPr>
        <w:ind w:left="360"/>
        <w:spacing w:after="0" w:line="268" w:lineRule="auto"/>
        <w:rPr>
          <w:sz w:val="20"/>
          <w:szCs w:val="20"/>
          <w:color w:val="auto"/>
        </w:rPr>
      </w:pPr>
      <w:r>
        <w:rPr>
          <w:rFonts w:ascii="Arial" w:cs="Arial" w:eastAsia="Arial" w:hAnsi="Arial"/>
          <w:sz w:val="17"/>
          <w:szCs w:val="17"/>
          <w:color w:val="auto"/>
        </w:rPr>
        <w:t>As of December 31, 2021, there was $452 of unrecognized share-based compensation expense related to the ESPP that is expected to be recognized over an average vesting period of 0.2 years.</w:t>
      </w:r>
    </w:p>
    <w:p>
      <w:pPr>
        <w:spacing w:after="0" w:line="166" w:lineRule="exact"/>
        <w:rPr>
          <w:sz w:val="20"/>
          <w:szCs w:val="20"/>
          <w:color w:val="auto"/>
        </w:rPr>
      </w:pPr>
    </w:p>
    <w:p>
      <w:pPr>
        <w:ind w:left="360" w:hanging="360"/>
        <w:spacing w:after="0"/>
        <w:tabs>
          <w:tab w:leader="none" w:pos="3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Share-based compensation expense by award type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6"/>
        </w:trPr>
        <w:tc>
          <w:tcPr>
            <w:tcW w:w="4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2020</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Share options</w:t>
            </w:r>
          </w:p>
        </w:tc>
        <w:tc>
          <w:tcPr>
            <w:tcW w:w="33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21,359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14,017</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3,080</w:t>
            </w:r>
          </w:p>
        </w:tc>
        <w:tc>
          <w:tcPr>
            <w:tcW w:w="80" w:type="dxa"/>
            <w:vAlign w:val="bottom"/>
            <w:shd w:val="clear" w:color="auto" w:fill="CCEEFF"/>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2940" w:type="dxa"/>
            <w:vAlign w:val="bottom"/>
          </w:tcPr>
          <w:p>
            <w:pPr>
              <w:spacing w:after="0"/>
              <w:rPr>
                <w:sz w:val="20"/>
                <w:szCs w:val="20"/>
                <w:color w:val="auto"/>
              </w:rPr>
            </w:pPr>
            <w:r>
              <w:rPr>
                <w:rFonts w:ascii="Arial" w:cs="Arial" w:eastAsia="Arial" w:hAnsi="Arial"/>
                <w:sz w:val="17"/>
                <w:szCs w:val="17"/>
                <w:color w:val="auto"/>
              </w:rPr>
              <w:t>RSUs</w:t>
            </w:r>
          </w:p>
        </w:tc>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4,842</w:t>
            </w:r>
          </w:p>
        </w:tc>
        <w:tc>
          <w:tcPr>
            <w:tcW w:w="2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ESPP</w:t>
            </w:r>
          </w:p>
        </w:tc>
        <w:tc>
          <w:tcPr>
            <w:tcW w:w="3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17"/>
                <w:szCs w:val="17"/>
                <w:color w:val="auto"/>
              </w:rPr>
            </w:pPr>
          </w:p>
        </w:tc>
      </w:tr>
      <w:tr>
        <w:trPr>
          <w:trHeight w:val="25"/>
        </w:trPr>
        <w:tc>
          <w:tcPr>
            <w:tcW w:w="460" w:type="dxa"/>
            <w:vAlign w:val="bottom"/>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tcPr>
          <w:p>
            <w:pPr>
              <w:spacing w:after="0"/>
              <w:rPr>
                <w:sz w:val="2"/>
                <w:szCs w:val="2"/>
                <w:color w:val="auto"/>
              </w:rPr>
            </w:pPr>
          </w:p>
        </w:tc>
      </w:tr>
      <w:tr>
        <w:trPr>
          <w:trHeight w:val="201"/>
        </w:trPr>
        <w:tc>
          <w:tcPr>
            <w:tcW w:w="4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580" w:type="dxa"/>
            <w:vAlign w:val="bottom"/>
            <w:gridSpan w:val="2"/>
          </w:tcPr>
          <w:p>
            <w:pPr>
              <w:jc w:val="right"/>
              <w:ind w:right="47"/>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27,332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14,017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3,080</w:t>
            </w:r>
          </w:p>
        </w:tc>
        <w:tc>
          <w:tcPr>
            <w:tcW w:w="108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567"/>
        </w:trPr>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580" w:type="dxa"/>
            <w:vAlign w:val="bottom"/>
            <w:gridSpan w:val="2"/>
          </w:tcPr>
          <w:p>
            <w:pPr>
              <w:jc w:val="right"/>
              <w:ind w:right="1087"/>
              <w:spacing w:after="0"/>
              <w:rPr>
                <w:sz w:val="20"/>
                <w:szCs w:val="20"/>
                <w:color w:val="auto"/>
              </w:rPr>
            </w:pPr>
            <w:r>
              <w:rPr>
                <w:rFonts w:ascii="Arial" w:cs="Arial" w:eastAsia="Arial" w:hAnsi="Arial"/>
                <w:sz w:val="17"/>
                <w:szCs w:val="17"/>
                <w:color w:val="auto"/>
              </w:rPr>
              <w:t>F - 23</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6"/>
        </w:trPr>
        <w:tc>
          <w:tcPr>
            <w:tcW w:w="46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3"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6"/>
          <w:szCs w:val="16"/>
          <w:b w:val="1"/>
          <w:bCs w:val="1"/>
          <w:color w:val="auto"/>
        </w:rPr>
        <w:t>CONVERTIBLE PREFERRED SHARES, SHAREHOLDERS’ EQUITY (DEFICIT) AND EQUITY INCENTIVE PLAN (Cont.)</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share-based compensation expense by line item in the accompanying consolidated statements of operations is summarized as follows: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6"/>
        </w:trPr>
        <w:tc>
          <w:tcPr>
            <w:tcW w:w="6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2020</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7"/>
                <w:szCs w:val="17"/>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80" w:type="dxa"/>
            <w:vAlign w:val="bottom"/>
            <w:shd w:val="clear" w:color="auto" w:fill="CCEEFF"/>
          </w:tcPr>
          <w:p>
            <w:pPr>
              <w:spacing w:after="0"/>
              <w:rPr>
                <w:sz w:val="17"/>
                <w:szCs w:val="17"/>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3,863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1,596</w:t>
            </w:r>
          </w:p>
        </w:tc>
        <w:tc>
          <w:tcPr>
            <w:tcW w:w="26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282</w:t>
            </w: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1,105</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427</w:t>
            </w:r>
          </w:p>
        </w:tc>
      </w:tr>
      <w:tr>
        <w:trPr>
          <w:trHeight w:val="206"/>
        </w:trPr>
        <w:tc>
          <w:tcPr>
            <w:tcW w:w="632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13,460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11,115</w:t>
            </w:r>
          </w:p>
        </w:tc>
        <w:tc>
          <w:tcPr>
            <w:tcW w:w="26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2,330</w:t>
            </w:r>
          </w:p>
        </w:tc>
      </w:tr>
      <w:tr>
        <w:trPr>
          <w:trHeight w:val="241"/>
        </w:trPr>
        <w:tc>
          <w:tcPr>
            <w:tcW w:w="6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27,332</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14,017</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3,080</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188" w:lineRule="exact"/>
        <w:rPr>
          <w:sz w:val="20"/>
          <w:szCs w:val="20"/>
          <w:color w:val="auto"/>
        </w:rPr>
      </w:pPr>
    </w:p>
    <w:p>
      <w:pPr>
        <w:ind w:left="360" w:hanging="360"/>
        <w:spacing w:after="0"/>
        <w:tabs>
          <w:tab w:leader="none" w:pos="3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Third-party share transactions:</w:t>
      </w:r>
    </w:p>
    <w:p>
      <w:pPr>
        <w:spacing w:after="0" w:line="206" w:lineRule="exact"/>
        <w:rPr>
          <w:rFonts w:ascii="Arial" w:cs="Arial" w:eastAsia="Arial" w:hAnsi="Arial"/>
          <w:sz w:val="17"/>
          <w:szCs w:val="17"/>
          <w:color w:val="auto"/>
        </w:rPr>
      </w:pPr>
    </w:p>
    <w:p>
      <w:pPr>
        <w:jc w:val="both"/>
        <w:ind w:left="360"/>
        <w:spacing w:after="0" w:line="293" w:lineRule="auto"/>
        <w:rPr>
          <w:rFonts w:ascii="Arial" w:cs="Arial" w:eastAsia="Arial" w:hAnsi="Arial"/>
          <w:sz w:val="17"/>
          <w:szCs w:val="17"/>
          <w:color w:val="auto"/>
        </w:rPr>
      </w:pPr>
      <w:r>
        <w:rPr>
          <w:rFonts w:ascii="Arial" w:cs="Arial" w:eastAsia="Arial" w:hAnsi="Arial"/>
          <w:sz w:val="15"/>
          <w:szCs w:val="15"/>
          <w:color w:val="auto"/>
        </w:rPr>
        <w:t>During the years ended December 31, 2020 and 2019 the Company facilitated several secondary transactions, in which certain current employees and shareholders, sold a portion of their Ordinary Shares to other shareholders. The Company recorded share-based compensation expenses for the amount realized by the employees in excess of the estimated fair value of their respective shares. In addition, the Company recorded a deemed dividend for the amount paid to other shareholders, in excess of the estimated fair value of their respective shares. The total amount resulted in $8,536 and $1,935 of incremental share-based compensation expense for the years ended December 31, 2020 and 2019, respectively, and $4,569 of deemed dividend for the year ended December 31, 2020.</w:t>
      </w:r>
    </w:p>
    <w:p>
      <w:pPr>
        <w:spacing w:after="0" w:line="14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6"/>
          <w:szCs w:val="16"/>
          <w:b w:val="1"/>
          <w:bCs w:val="1"/>
          <w:color w:val="auto"/>
        </w:rPr>
        <w:t>TAXES ON INCOME</w:t>
      </w:r>
    </w:p>
    <w:p>
      <w:pPr>
        <w:spacing w:after="0" w:line="210" w:lineRule="exact"/>
        <w:rPr>
          <w:sz w:val="20"/>
          <w:szCs w:val="20"/>
          <w:color w:val="auto"/>
        </w:rPr>
      </w:pPr>
    </w:p>
    <w:p>
      <w:pPr>
        <w:ind w:left="360" w:hanging="360"/>
        <w:spacing w:after="0"/>
        <w:tabs>
          <w:tab w:leader="none" w:pos="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Ordinary taxable income in Israel is subject to a corporate tax rate of 23%.</w:t>
      </w:r>
    </w:p>
    <w:p>
      <w:pPr>
        <w:spacing w:after="0" w:line="206" w:lineRule="exact"/>
        <w:rPr>
          <w:rFonts w:ascii="Arial" w:cs="Arial" w:eastAsia="Arial" w:hAnsi="Arial"/>
          <w:sz w:val="17"/>
          <w:szCs w:val="17"/>
          <w:color w:val="auto"/>
        </w:rPr>
      </w:pPr>
    </w:p>
    <w:p>
      <w:pPr>
        <w:ind w:left="360"/>
        <w:spacing w:after="0" w:line="299" w:lineRule="auto"/>
        <w:rPr>
          <w:rFonts w:ascii="Arial" w:cs="Arial" w:eastAsia="Arial" w:hAnsi="Arial"/>
          <w:sz w:val="17"/>
          <w:szCs w:val="17"/>
          <w:color w:val="auto"/>
        </w:rPr>
      </w:pPr>
      <w:r>
        <w:rPr>
          <w:rFonts w:ascii="Arial" w:cs="Arial" w:eastAsia="Arial" w:hAnsi="Arial"/>
          <w:sz w:val="16"/>
          <w:szCs w:val="16"/>
          <w:color w:val="auto"/>
        </w:rPr>
        <w:t>The Company applies various benefits allotted to it under the revised Investment Law as per Amendment 73, which includes a number of changes to the Investment Law regimes through regulations that have come into effect from January 1, 2017. Applicable benefits under the new regime include:</w:t>
      </w:r>
    </w:p>
    <w:p>
      <w:pPr>
        <w:spacing w:after="0" w:line="144" w:lineRule="exact"/>
        <w:rPr>
          <w:rFonts w:ascii="Arial" w:cs="Arial" w:eastAsia="Arial" w:hAnsi="Arial"/>
          <w:sz w:val="17"/>
          <w:szCs w:val="17"/>
          <w:color w:val="auto"/>
        </w:rPr>
      </w:pPr>
    </w:p>
    <w:p>
      <w:pPr>
        <w:jc w:val="both"/>
        <w:ind w:left="360"/>
        <w:spacing w:after="0" w:line="274" w:lineRule="auto"/>
        <w:rPr>
          <w:rFonts w:ascii="Arial" w:cs="Arial" w:eastAsia="Arial" w:hAnsi="Arial"/>
          <w:sz w:val="17"/>
          <w:szCs w:val="17"/>
          <w:color w:val="auto"/>
        </w:rPr>
      </w:pPr>
      <w:r>
        <w:rPr>
          <w:rFonts w:ascii="Arial" w:cs="Arial" w:eastAsia="Arial" w:hAnsi="Arial"/>
          <w:sz w:val="16"/>
          <w:szCs w:val="16"/>
          <w:color w:val="auto"/>
        </w:rPr>
        <w:t>Introduction of a benefit regime for “Preferred Technology Enterprises” (“PTE”), granting a 12% tax rate in central Israel on income deriving from Benefited Intangible Assets, subject to a number of conditions being fulfilled, including a minimal amount or ratio of annual R&amp;D expenditure and R&amp;D employees, as well as having at least 25% of annual income derived from exports to large markets. PTE is defined as an enterprise which meets the aforementioned conditions and for which total consolidated revenues of its parent company and all subsidiaries are less than NIS 10 billion.</w:t>
      </w:r>
    </w:p>
    <w:p>
      <w:pPr>
        <w:spacing w:after="0" w:line="164" w:lineRule="exact"/>
        <w:rPr>
          <w:rFonts w:ascii="Arial" w:cs="Arial" w:eastAsia="Arial" w:hAnsi="Arial"/>
          <w:sz w:val="17"/>
          <w:szCs w:val="17"/>
          <w:color w:val="auto"/>
        </w:rPr>
      </w:pPr>
    </w:p>
    <w:p>
      <w:pPr>
        <w:ind w:left="940" w:hanging="287"/>
        <w:spacing w:after="0" w:line="268" w:lineRule="auto"/>
        <w:tabs>
          <w:tab w:leader="none" w:pos="94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A 12% capital gains tax rate on the sale of a preferred intangible asset to a foreign affiliated enterprise, provided that the asset was initially purchased from a foreign resident at an amount of NIS 200 million or more.</w:t>
      </w:r>
    </w:p>
    <w:p>
      <w:pPr>
        <w:spacing w:after="0" w:line="165" w:lineRule="exact"/>
        <w:rPr>
          <w:rFonts w:ascii="Arial" w:cs="Arial" w:eastAsia="Arial" w:hAnsi="Arial"/>
          <w:sz w:val="17"/>
          <w:szCs w:val="17"/>
          <w:color w:val="auto"/>
        </w:rPr>
      </w:pPr>
    </w:p>
    <w:p>
      <w:pPr>
        <w:ind w:left="940" w:right="260" w:hanging="287"/>
        <w:spacing w:after="0" w:line="257" w:lineRule="auto"/>
        <w:tabs>
          <w:tab w:leader="none" w:pos="94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A withholding tax rate of 20% for dividends paid from PTE income (with an exemption from such withholding tax applying to dividends paid to an Israeli company) may be reduced to 4% on dividends paid to a foreign resident company, subject to certain conditions regarding percentage of foreign ownership of the distributing entity.</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 currently believes it is eligible for the PTE tax benefits.</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Company’s subsidiaries are separately taxed under the local tax laws of the jurisdiction of incorporation of each entity.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6"/>
          <w:szCs w:val="16"/>
          <w:b w:val="1"/>
          <w:bCs w:val="1"/>
          <w:color w:val="auto"/>
        </w:rPr>
        <w:t>TAXES ON INCOME (Cont.)</w:t>
      </w:r>
    </w:p>
    <w:p>
      <w:pPr>
        <w:spacing w:after="0" w:line="210" w:lineRule="exact"/>
        <w:rPr>
          <w:sz w:val="20"/>
          <w:szCs w:val="20"/>
          <w:color w:val="auto"/>
        </w:rPr>
      </w:pPr>
    </w:p>
    <w:p>
      <w:pPr>
        <w:ind w:left="360" w:hanging="360"/>
        <w:spacing w:after="0"/>
        <w:tabs>
          <w:tab w:leader="none" w:pos="3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Loss before income taxes is comprised as follows: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6"/>
        </w:trPr>
        <w:tc>
          <w:tcPr>
            <w:tcW w:w="6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2020</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7"/>
                <w:szCs w:val="17"/>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Israel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68,924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38,941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48,392</w:t>
            </w:r>
          </w:p>
        </w:tc>
        <w:tc>
          <w:tcPr>
            <w:tcW w:w="80" w:type="dxa"/>
            <w:vAlign w:val="bottom"/>
            <w:shd w:val="clear" w:color="auto" w:fill="CCEEFF"/>
          </w:tcPr>
          <w:p>
            <w:pPr>
              <w:spacing w:after="0"/>
              <w:rPr>
                <w:sz w:val="17"/>
                <w:szCs w:val="17"/>
                <w:color w:val="auto"/>
              </w:rPr>
            </w:pPr>
          </w:p>
        </w:tc>
      </w:tr>
      <w:tr>
        <w:trPr>
          <w:trHeight w:val="206"/>
        </w:trPr>
        <w:tc>
          <w:tcPr>
            <w:tcW w:w="6320" w:type="dxa"/>
            <w:vAlign w:val="bottom"/>
          </w:tcPr>
          <w:p>
            <w:pPr>
              <w:spacing w:after="0"/>
              <w:rPr>
                <w:sz w:val="20"/>
                <w:szCs w:val="20"/>
                <w:color w:val="auto"/>
              </w:rPr>
            </w:pPr>
            <w:r>
              <w:rPr>
                <w:rFonts w:ascii="Arial" w:cs="Arial" w:eastAsia="Arial" w:hAnsi="Arial"/>
                <w:sz w:val="17"/>
                <w:szCs w:val="17"/>
                <w:color w:val="auto"/>
              </w:rPr>
              <w:t>Foreign</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8,875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4,376</w:t>
            </w:r>
          </w:p>
        </w:tc>
        <w:tc>
          <w:tcPr>
            <w:tcW w:w="26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419</w:t>
            </w:r>
          </w:p>
        </w:tc>
      </w:tr>
      <w:tr>
        <w:trPr>
          <w:trHeight w:val="241"/>
        </w:trPr>
        <w:tc>
          <w:tcPr>
            <w:tcW w:w="6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77,799</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43,317</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48,811</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188" w:lineRule="exact"/>
        <w:rPr>
          <w:sz w:val="20"/>
          <w:szCs w:val="20"/>
          <w:color w:val="auto"/>
        </w:rPr>
      </w:pPr>
    </w:p>
    <w:p>
      <w:pPr>
        <w:ind w:left="360" w:hanging="360"/>
        <w:spacing w:after="0"/>
        <w:tabs>
          <w:tab w:leader="none" w:pos="3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Income taxes are comprised as follows: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38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6"/>
        </w:trPr>
        <w:tc>
          <w:tcPr>
            <w:tcW w:w="38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2020</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7"/>
                <w:szCs w:val="17"/>
                <w:color w:val="auto"/>
              </w:rPr>
            </w:pPr>
          </w:p>
        </w:tc>
      </w:tr>
      <w:tr>
        <w:trPr>
          <w:trHeight w:val="201"/>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2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1"/>
        </w:trPr>
        <w:tc>
          <w:tcPr>
            <w:tcW w:w="3820" w:type="dxa"/>
            <w:vAlign w:val="bottom"/>
          </w:tcPr>
          <w:p>
            <w:pPr>
              <w:ind w:left="460"/>
              <w:spacing w:after="0"/>
              <w:rPr>
                <w:sz w:val="20"/>
                <w:szCs w:val="20"/>
                <w:color w:val="auto"/>
              </w:rPr>
            </w:pPr>
            <w:r>
              <w:rPr>
                <w:rFonts w:ascii="Arial" w:cs="Arial" w:eastAsia="Arial" w:hAnsi="Arial"/>
                <w:sz w:val="17"/>
                <w:szCs w:val="17"/>
                <w:color w:val="auto"/>
              </w:rPr>
              <w:t>Israel</w:t>
            </w:r>
          </w:p>
        </w:tc>
        <w:tc>
          <w:tcPr>
            <w:tcW w:w="2700" w:type="dxa"/>
            <w:vAlign w:val="bottom"/>
            <w:gridSpan w:val="2"/>
          </w:tcPr>
          <w:p>
            <w:pPr>
              <w:jc w:val="right"/>
              <w:ind w:right="47"/>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103</w:t>
            </w:r>
          </w:p>
        </w:tc>
        <w:tc>
          <w:tcPr>
            <w:tcW w:w="20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153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92</w:t>
            </w:r>
          </w:p>
        </w:tc>
      </w:tr>
      <w:tr>
        <w:trPr>
          <w:trHeight w:val="201"/>
        </w:trPr>
        <w:tc>
          <w:tcPr>
            <w:tcW w:w="3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Foreign</w:t>
            </w:r>
          </w:p>
        </w:tc>
        <w:tc>
          <w:tcPr>
            <w:tcW w:w="2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481</w:t>
            </w:r>
          </w:p>
        </w:tc>
      </w:tr>
      <w:tr>
        <w:trPr>
          <w:trHeight w:val="25"/>
        </w:trPr>
        <w:tc>
          <w:tcPr>
            <w:tcW w:w="38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6"/>
        </w:trPr>
        <w:tc>
          <w:tcPr>
            <w:tcW w:w="3820" w:type="dxa"/>
            <w:vAlign w:val="bottom"/>
          </w:tcPr>
          <w:p>
            <w:pPr>
              <w:spacing w:after="0"/>
              <w:rPr>
                <w:sz w:val="20"/>
                <w:szCs w:val="20"/>
                <w:color w:val="auto"/>
              </w:rPr>
            </w:pPr>
            <w:r>
              <w:rPr>
                <w:rFonts w:ascii="Arial" w:cs="Arial" w:eastAsia="Arial" w:hAnsi="Arial"/>
                <w:sz w:val="17"/>
                <w:szCs w:val="17"/>
                <w:color w:val="auto"/>
              </w:rPr>
              <w:t>Total current taxes</w:t>
            </w:r>
          </w:p>
        </w:tc>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1,164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573</w:t>
            </w:r>
          </w:p>
        </w:tc>
      </w:tr>
      <w:tr>
        <w:trPr>
          <w:trHeight w:val="201"/>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Deferred:</w:t>
            </w:r>
          </w:p>
        </w:tc>
        <w:tc>
          <w:tcPr>
            <w:tcW w:w="25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1"/>
        </w:trPr>
        <w:tc>
          <w:tcPr>
            <w:tcW w:w="3820" w:type="dxa"/>
            <w:vAlign w:val="bottom"/>
          </w:tcPr>
          <w:p>
            <w:pPr>
              <w:ind w:left="460"/>
              <w:spacing w:after="0"/>
              <w:rPr>
                <w:sz w:val="20"/>
                <w:szCs w:val="20"/>
                <w:color w:val="auto"/>
              </w:rPr>
            </w:pPr>
            <w:r>
              <w:rPr>
                <w:rFonts w:ascii="Arial" w:cs="Arial" w:eastAsia="Arial" w:hAnsi="Arial"/>
                <w:sz w:val="17"/>
                <w:szCs w:val="17"/>
                <w:color w:val="auto"/>
              </w:rPr>
              <w:t>Israel</w:t>
            </w:r>
          </w:p>
        </w:tc>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1"/>
        </w:trPr>
        <w:tc>
          <w:tcPr>
            <w:tcW w:w="3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Foreign</w:t>
            </w:r>
          </w:p>
        </w:tc>
        <w:tc>
          <w:tcPr>
            <w:tcW w:w="2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734</w:t>
            </w:r>
          </w:p>
        </w:tc>
      </w:tr>
      <w:tr>
        <w:trPr>
          <w:trHeight w:val="25"/>
        </w:trPr>
        <w:tc>
          <w:tcPr>
            <w:tcW w:w="38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6"/>
        </w:trPr>
        <w:tc>
          <w:tcPr>
            <w:tcW w:w="3820" w:type="dxa"/>
            <w:vAlign w:val="bottom"/>
          </w:tcPr>
          <w:p>
            <w:pPr>
              <w:spacing w:after="0"/>
              <w:rPr>
                <w:sz w:val="20"/>
                <w:szCs w:val="20"/>
                <w:color w:val="auto"/>
              </w:rPr>
            </w:pPr>
            <w:r>
              <w:rPr>
                <w:rFonts w:ascii="Arial" w:cs="Arial" w:eastAsia="Arial" w:hAnsi="Arial"/>
                <w:sz w:val="17"/>
                <w:szCs w:val="17"/>
                <w:color w:val="auto"/>
              </w:rPr>
              <w:t>Total deferred taxes</w:t>
            </w:r>
          </w:p>
        </w:tc>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1,694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544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734</w:t>
            </w:r>
          </w:p>
        </w:tc>
      </w:tr>
      <w:tr>
        <w:trPr>
          <w:trHeight w:val="241"/>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income taxes</w:t>
            </w:r>
          </w:p>
        </w:tc>
        <w:tc>
          <w:tcPr>
            <w:tcW w:w="2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2,494</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1,708</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1,307</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188" w:lineRule="exact"/>
        <w:rPr>
          <w:sz w:val="20"/>
          <w:szCs w:val="20"/>
          <w:color w:val="auto"/>
        </w:rPr>
      </w:pPr>
    </w:p>
    <w:p>
      <w:pPr>
        <w:ind w:left="360" w:hanging="360"/>
        <w:spacing w:after="0"/>
        <w:tabs>
          <w:tab w:leader="none" w:pos="3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 reconciliation of the Company's theoretical income tax benefit to actual income tax expense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7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6"/>
        </w:trPr>
        <w:tc>
          <w:tcPr>
            <w:tcW w:w="4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2019</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66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2660" w:type="dxa"/>
            <w:vAlign w:val="bottom"/>
            <w:gridSpan w:val="2"/>
            <w:shd w:val="clear" w:color="auto" w:fill="CCEEFF"/>
          </w:tcPr>
          <w:p>
            <w:pPr>
              <w:jc w:val="right"/>
              <w:ind w:right="47"/>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77,799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43,317</w:t>
            </w:r>
          </w:p>
        </w:tc>
        <w:tc>
          <w:tcPr>
            <w:tcW w:w="28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48,811</w:t>
            </w:r>
          </w:p>
        </w:tc>
        <w:tc>
          <w:tcPr>
            <w:tcW w:w="140" w:type="dxa"/>
            <w:vAlign w:val="bottom"/>
            <w:shd w:val="clear" w:color="auto" w:fill="CCEEFF"/>
          </w:tcPr>
          <w:p>
            <w:pPr>
              <w:spacing w:after="0"/>
              <w:rPr>
                <w:sz w:val="17"/>
                <w:szCs w:val="17"/>
                <w:color w:val="auto"/>
              </w:rPr>
            </w:pPr>
          </w:p>
        </w:tc>
        <w:tc>
          <w:tcPr>
            <w:tcW w:w="1080" w:type="dxa"/>
            <w:vAlign w:val="bottom"/>
          </w:tcPr>
          <w:p>
            <w:pPr>
              <w:spacing w:after="0"/>
              <w:rPr>
                <w:sz w:val="17"/>
                <w:szCs w:val="17"/>
                <w:color w:val="auto"/>
              </w:rPr>
            </w:pPr>
          </w:p>
        </w:tc>
      </w:tr>
      <w:tr>
        <w:trPr>
          <w:trHeight w:val="206"/>
        </w:trPr>
        <w:tc>
          <w:tcPr>
            <w:tcW w:w="460" w:type="dxa"/>
            <w:vAlign w:val="bottom"/>
          </w:tcPr>
          <w:p>
            <w:pPr>
              <w:spacing w:after="0"/>
              <w:rPr>
                <w:sz w:val="17"/>
                <w:szCs w:val="17"/>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Statutory tax rate</w:t>
            </w: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23%</w:t>
            </w:r>
          </w:p>
        </w:tc>
        <w:tc>
          <w:tcPr>
            <w:tcW w:w="1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23%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23%</w:t>
            </w:r>
          </w:p>
        </w:tc>
        <w:tc>
          <w:tcPr>
            <w:tcW w:w="1080" w:type="dxa"/>
            <w:vAlign w:val="bottom"/>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Theoretical income tax benefit</w:t>
            </w:r>
          </w:p>
        </w:tc>
        <w:tc>
          <w:tcPr>
            <w:tcW w:w="24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(17,894)</w:t>
            </w: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(9,963)</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(11,302)</w:t>
            </w:r>
          </w:p>
        </w:tc>
        <w:tc>
          <w:tcPr>
            <w:tcW w:w="140" w:type="dxa"/>
            <w:vAlign w:val="bottom"/>
            <w:shd w:val="clear" w:color="auto" w:fill="CCEEFF"/>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3760" w:type="dxa"/>
            <w:vAlign w:val="bottom"/>
          </w:tcPr>
          <w:p>
            <w:pPr>
              <w:ind w:left="400"/>
              <w:spacing w:after="0"/>
              <w:rPr>
                <w:sz w:val="20"/>
                <w:szCs w:val="20"/>
                <w:color w:val="auto"/>
              </w:rPr>
            </w:pPr>
            <w:r>
              <w:rPr>
                <w:rFonts w:ascii="Arial" w:cs="Arial" w:eastAsia="Arial" w:hAnsi="Arial"/>
                <w:sz w:val="17"/>
                <w:szCs w:val="17"/>
                <w:color w:val="auto"/>
              </w:rPr>
              <w:t>Preferred technology enterprise</w:t>
            </w: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7,582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4,284</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5,323</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3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Foreign rate differential</w:t>
            </w:r>
          </w:p>
        </w:tc>
        <w:tc>
          <w:tcPr>
            <w:tcW w:w="2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(597)</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213</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119</w:t>
            </w:r>
          </w:p>
        </w:tc>
        <w:tc>
          <w:tcPr>
            <w:tcW w:w="1080" w:type="dxa"/>
            <w:vAlign w:val="bottom"/>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3760" w:type="dxa"/>
            <w:vAlign w:val="bottom"/>
          </w:tcPr>
          <w:p>
            <w:pPr>
              <w:ind w:left="400"/>
              <w:spacing w:after="0"/>
              <w:rPr>
                <w:sz w:val="20"/>
                <w:szCs w:val="20"/>
                <w:color w:val="auto"/>
              </w:rPr>
            </w:pPr>
            <w:r>
              <w:rPr>
                <w:rFonts w:ascii="Arial" w:cs="Arial" w:eastAsia="Arial" w:hAnsi="Arial"/>
                <w:sz w:val="17"/>
                <w:szCs w:val="17"/>
                <w:color w:val="auto"/>
              </w:rPr>
              <w:t>Unrecognized tax benefits</w:t>
            </w: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3,159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1,272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437</w:t>
            </w:r>
          </w:p>
        </w:tc>
        <w:tc>
          <w:tcPr>
            <w:tcW w:w="1080" w:type="dxa"/>
            <w:vAlign w:val="bottom"/>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3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Changes in valuation allowance</w:t>
            </w:r>
          </w:p>
        </w:tc>
        <w:tc>
          <w:tcPr>
            <w:tcW w:w="2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3,827</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6,410</w:t>
            </w:r>
          </w:p>
        </w:tc>
        <w:tc>
          <w:tcPr>
            <w:tcW w:w="140" w:type="dxa"/>
            <w:vAlign w:val="bottom"/>
            <w:shd w:val="clear" w:color="auto" w:fill="CCEEFF"/>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3760" w:type="dxa"/>
            <w:vAlign w:val="bottom"/>
          </w:tcPr>
          <w:p>
            <w:pPr>
              <w:ind w:left="400"/>
              <w:spacing w:after="0"/>
              <w:rPr>
                <w:sz w:val="20"/>
                <w:szCs w:val="20"/>
                <w:color w:val="auto"/>
              </w:rPr>
            </w:pPr>
            <w:r>
              <w:rPr>
                <w:rFonts w:ascii="Arial" w:cs="Arial" w:eastAsia="Arial" w:hAnsi="Arial"/>
                <w:sz w:val="17"/>
                <w:szCs w:val="17"/>
                <w:color w:val="auto"/>
              </w:rPr>
              <w:t>Share-based compensation</w:t>
            </w: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2,519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1,327</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355</w:t>
            </w:r>
          </w:p>
        </w:tc>
        <w:tc>
          <w:tcPr>
            <w:tcW w:w="1080" w:type="dxa"/>
            <w:vAlign w:val="bottom"/>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37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Non-deductible expenses</w:t>
            </w:r>
          </w:p>
        </w:tc>
        <w:tc>
          <w:tcPr>
            <w:tcW w:w="2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234</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790</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w:t>
            </w:r>
          </w:p>
        </w:tc>
        <w:tc>
          <w:tcPr>
            <w:tcW w:w="1080" w:type="dxa"/>
            <w:vAlign w:val="bottom"/>
          </w:tcPr>
          <w:p>
            <w:pPr>
              <w:spacing w:after="0"/>
              <w:rPr>
                <w:sz w:val="17"/>
                <w:szCs w:val="17"/>
                <w:color w:val="auto"/>
              </w:rPr>
            </w:pPr>
          </w:p>
        </w:tc>
      </w:tr>
      <w:tr>
        <w:trPr>
          <w:trHeight w:val="206"/>
        </w:trPr>
        <w:tc>
          <w:tcPr>
            <w:tcW w:w="460" w:type="dxa"/>
            <w:vAlign w:val="bottom"/>
          </w:tcPr>
          <w:p>
            <w:pPr>
              <w:spacing w:after="0"/>
              <w:rPr>
                <w:sz w:val="17"/>
                <w:szCs w:val="17"/>
                <w:color w:val="auto"/>
              </w:rPr>
            </w:pPr>
          </w:p>
        </w:tc>
        <w:tc>
          <w:tcPr>
            <w:tcW w:w="3760" w:type="dxa"/>
            <w:vAlign w:val="bottom"/>
          </w:tcPr>
          <w:p>
            <w:pPr>
              <w:ind w:left="400"/>
              <w:spacing w:after="0"/>
              <w:rPr>
                <w:sz w:val="20"/>
                <w:szCs w:val="20"/>
                <w:color w:val="auto"/>
              </w:rPr>
            </w:pPr>
            <w:r>
              <w:rPr>
                <w:rFonts w:ascii="Arial" w:cs="Arial" w:eastAsia="Arial" w:hAnsi="Arial"/>
                <w:sz w:val="17"/>
                <w:szCs w:val="17"/>
                <w:color w:val="auto"/>
              </w:rPr>
              <w:t>Other</w:t>
            </w: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(7)</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(42)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(270)</w:t>
            </w:r>
          </w:p>
        </w:tc>
        <w:tc>
          <w:tcPr>
            <w:tcW w:w="1080" w:type="dxa"/>
            <w:vAlign w:val="bottom"/>
          </w:tcPr>
          <w:p>
            <w:pPr>
              <w:spacing w:after="0"/>
              <w:rPr>
                <w:sz w:val="17"/>
                <w:szCs w:val="17"/>
                <w:color w:val="auto"/>
              </w:rPr>
            </w:pPr>
          </w:p>
        </w:tc>
      </w:tr>
      <w:tr>
        <w:trPr>
          <w:trHeight w:val="241"/>
        </w:trPr>
        <w:tc>
          <w:tcPr>
            <w:tcW w:w="460" w:type="dxa"/>
            <w:vAlign w:val="bottom"/>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Actual tax expense</w:t>
            </w:r>
          </w:p>
        </w:tc>
        <w:tc>
          <w:tcPr>
            <w:tcW w:w="24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2,494</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1,708</w:t>
            </w:r>
          </w:p>
        </w:tc>
        <w:tc>
          <w:tcPr>
            <w:tcW w:w="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1,307</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Pr>
          <w:p>
            <w:pPr>
              <w:spacing w:after="0"/>
              <w:rPr>
                <w:sz w:val="20"/>
                <w:szCs w:val="20"/>
                <w:color w:val="auto"/>
              </w:rPr>
            </w:pPr>
          </w:p>
        </w:tc>
      </w:tr>
      <w:tr>
        <w:trPr>
          <w:trHeight w:val="567"/>
        </w:trPr>
        <w:tc>
          <w:tcPr>
            <w:tcW w:w="4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660" w:type="dxa"/>
            <w:vAlign w:val="bottom"/>
            <w:gridSpan w:val="2"/>
          </w:tcPr>
          <w:p>
            <w:pPr>
              <w:jc w:val="right"/>
              <w:ind w:right="987"/>
              <w:spacing w:after="0"/>
              <w:rPr>
                <w:sz w:val="20"/>
                <w:szCs w:val="20"/>
                <w:color w:val="auto"/>
              </w:rPr>
            </w:pPr>
            <w:r>
              <w:rPr>
                <w:rFonts w:ascii="Arial" w:cs="Arial" w:eastAsia="Arial" w:hAnsi="Arial"/>
                <w:sz w:val="17"/>
                <w:szCs w:val="17"/>
                <w:color w:val="auto"/>
              </w:rPr>
              <w:t>F - 25</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6"/>
        </w:trPr>
        <w:tc>
          <w:tcPr>
            <w:tcW w:w="46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3"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6"/>
          <w:szCs w:val="16"/>
          <w:b w:val="1"/>
          <w:bCs w:val="1"/>
          <w:color w:val="auto"/>
        </w:rPr>
        <w:t>TAXES ON INCOME (Cont.)</w:t>
      </w:r>
    </w:p>
    <w:p>
      <w:pPr>
        <w:spacing w:after="0" w:line="210" w:lineRule="exact"/>
        <w:rPr>
          <w:sz w:val="20"/>
          <w:szCs w:val="20"/>
          <w:color w:val="auto"/>
        </w:rPr>
      </w:pPr>
    </w:p>
    <w:p>
      <w:pPr>
        <w:ind w:left="360" w:hanging="360"/>
        <w:spacing w:after="0"/>
        <w:tabs>
          <w:tab w:leader="none" w:pos="3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following table presents the significant components of the Company's deferred taxes: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50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5"/>
          </w:tcPr>
          <w:p>
            <w:pPr>
              <w:jc w:val="right"/>
              <w:ind w:right="660"/>
              <w:spacing w:after="0"/>
              <w:rPr>
                <w:sz w:val="20"/>
                <w:szCs w:val="20"/>
                <w:color w:val="auto"/>
              </w:rPr>
            </w:pPr>
            <w:r>
              <w:rPr>
                <w:rFonts w:ascii="Arial" w:cs="Arial" w:eastAsia="Arial" w:hAnsi="Arial"/>
                <w:sz w:val="17"/>
                <w:szCs w:val="17"/>
                <w:b w:val="1"/>
                <w:bCs w:val="1"/>
                <w:color w:val="auto"/>
              </w:rPr>
              <w:t>December 31,</w:t>
            </w:r>
          </w:p>
        </w:tc>
      </w:tr>
      <w:tr>
        <w:trPr>
          <w:trHeight w:val="206"/>
        </w:trPr>
        <w:tc>
          <w:tcPr>
            <w:tcW w:w="50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7"/>
                <w:szCs w:val="17"/>
                <w:color w:val="auto"/>
              </w:rPr>
            </w:pPr>
          </w:p>
        </w:tc>
      </w:tr>
      <w:tr>
        <w:trPr>
          <w:trHeight w:val="201"/>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2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1"/>
        </w:trPr>
        <w:tc>
          <w:tcPr>
            <w:tcW w:w="5080" w:type="dxa"/>
            <w:vAlign w:val="bottom"/>
          </w:tcPr>
          <w:p>
            <w:pPr>
              <w:ind w:left="220"/>
              <w:spacing w:after="0"/>
              <w:rPr>
                <w:sz w:val="20"/>
                <w:szCs w:val="20"/>
                <w:color w:val="auto"/>
              </w:rPr>
            </w:pPr>
            <w:r>
              <w:rPr>
                <w:rFonts w:ascii="Arial" w:cs="Arial" w:eastAsia="Arial" w:hAnsi="Arial"/>
                <w:sz w:val="17"/>
                <w:szCs w:val="17"/>
                <w:color w:val="auto"/>
              </w:rPr>
              <w:t>Net operating loss carryforwards</w:t>
            </w:r>
          </w:p>
        </w:tc>
        <w:tc>
          <w:tcPr>
            <w:tcW w:w="2600" w:type="dxa"/>
            <w:vAlign w:val="bottom"/>
            <w:gridSpan w:val="2"/>
          </w:tcPr>
          <w:p>
            <w:pPr>
              <w:jc w:val="right"/>
              <w:ind w:right="47"/>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36,373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27,049</w:t>
            </w:r>
          </w:p>
        </w:tc>
      </w:tr>
      <w:tr>
        <w:trPr>
          <w:trHeight w:val="201"/>
        </w:trPr>
        <w:tc>
          <w:tcPr>
            <w:tcW w:w="5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Research and development expenses</w:t>
            </w:r>
          </w:p>
        </w:tc>
        <w:tc>
          <w:tcPr>
            <w:tcW w:w="2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4,304</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3,046</w:t>
            </w:r>
          </w:p>
        </w:tc>
      </w:tr>
      <w:tr>
        <w:trPr>
          <w:trHeight w:val="201"/>
        </w:trPr>
        <w:tc>
          <w:tcPr>
            <w:tcW w:w="5080" w:type="dxa"/>
            <w:vAlign w:val="bottom"/>
          </w:tcPr>
          <w:p>
            <w:pPr>
              <w:ind w:left="220"/>
              <w:spacing w:after="0"/>
              <w:rPr>
                <w:sz w:val="20"/>
                <w:szCs w:val="20"/>
                <w:color w:val="auto"/>
              </w:rPr>
            </w:pPr>
            <w:r>
              <w:rPr>
                <w:rFonts w:ascii="Arial" w:cs="Arial" w:eastAsia="Arial" w:hAnsi="Arial"/>
                <w:sz w:val="17"/>
                <w:szCs w:val="17"/>
                <w:color w:val="auto"/>
              </w:rPr>
              <w:t>Accruals and reserves</w:t>
            </w: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2,541</w:t>
            </w: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2,454</w:t>
            </w:r>
          </w:p>
        </w:tc>
      </w:tr>
      <w:tr>
        <w:trPr>
          <w:trHeight w:val="201"/>
        </w:trPr>
        <w:tc>
          <w:tcPr>
            <w:tcW w:w="5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Issuance costs</w:t>
            </w:r>
          </w:p>
        </w:tc>
        <w:tc>
          <w:tcPr>
            <w:tcW w:w="2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1,827</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01"/>
        </w:trPr>
        <w:tc>
          <w:tcPr>
            <w:tcW w:w="5080" w:type="dxa"/>
            <w:vAlign w:val="bottom"/>
          </w:tcPr>
          <w:p>
            <w:pPr>
              <w:ind w:left="200"/>
              <w:spacing w:after="0"/>
              <w:rPr>
                <w:sz w:val="20"/>
                <w:szCs w:val="20"/>
                <w:color w:val="auto"/>
              </w:rPr>
            </w:pPr>
            <w:r>
              <w:rPr>
                <w:rFonts w:ascii="Arial" w:cs="Arial" w:eastAsia="Arial" w:hAnsi="Arial"/>
                <w:sz w:val="17"/>
                <w:szCs w:val="17"/>
                <w:color w:val="auto"/>
              </w:rPr>
              <w:t>Share-based compensation</w:t>
            </w: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1,576</w:t>
            </w: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163</w:t>
            </w:r>
          </w:p>
        </w:tc>
      </w:tr>
      <w:tr>
        <w:trPr>
          <w:trHeight w:val="201"/>
        </w:trPr>
        <w:tc>
          <w:tcPr>
            <w:tcW w:w="5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deferred assets</w:t>
            </w:r>
          </w:p>
        </w:tc>
        <w:tc>
          <w:tcPr>
            <w:tcW w:w="2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636</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878</w:t>
            </w:r>
          </w:p>
        </w:tc>
      </w:tr>
      <w:tr>
        <w:trPr>
          <w:trHeight w:val="25"/>
        </w:trPr>
        <w:tc>
          <w:tcPr>
            <w:tcW w:w="50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1"/>
        </w:trPr>
        <w:tc>
          <w:tcPr>
            <w:tcW w:w="5080" w:type="dxa"/>
            <w:vAlign w:val="bottom"/>
          </w:tcPr>
          <w:p>
            <w:pPr>
              <w:ind w:left="460"/>
              <w:spacing w:after="0"/>
              <w:rPr>
                <w:sz w:val="20"/>
                <w:szCs w:val="20"/>
                <w:color w:val="auto"/>
              </w:rPr>
            </w:pPr>
            <w:r>
              <w:rPr>
                <w:rFonts w:ascii="Arial" w:cs="Arial" w:eastAsia="Arial" w:hAnsi="Arial"/>
                <w:sz w:val="17"/>
                <w:szCs w:val="17"/>
                <w:color w:val="auto"/>
              </w:rPr>
              <w:t>Gross deferred tax assets</w:t>
            </w: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47,257</w:t>
            </w: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33,590</w:t>
            </w:r>
          </w:p>
        </w:tc>
      </w:tr>
      <w:tr>
        <w:trPr>
          <w:trHeight w:val="201"/>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w:t>
            </w:r>
          </w:p>
        </w:tc>
        <w:tc>
          <w:tcPr>
            <w:tcW w:w="2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(40,019)</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(29,780)</w:t>
            </w:r>
          </w:p>
        </w:tc>
      </w:tr>
      <w:tr>
        <w:trPr>
          <w:trHeight w:val="25"/>
        </w:trPr>
        <w:tc>
          <w:tcPr>
            <w:tcW w:w="50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1"/>
        </w:trPr>
        <w:tc>
          <w:tcPr>
            <w:tcW w:w="5080" w:type="dxa"/>
            <w:vAlign w:val="bottom"/>
          </w:tcPr>
          <w:p>
            <w:pPr>
              <w:spacing w:after="0"/>
              <w:rPr>
                <w:sz w:val="20"/>
                <w:szCs w:val="20"/>
                <w:color w:val="auto"/>
              </w:rPr>
            </w:pPr>
            <w:r>
              <w:rPr>
                <w:rFonts w:ascii="Arial" w:cs="Arial" w:eastAsia="Arial" w:hAnsi="Arial"/>
                <w:sz w:val="17"/>
                <w:szCs w:val="17"/>
                <w:color w:val="auto"/>
              </w:rPr>
              <w:t>Total deferred tax assets</w:t>
            </w: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7,238</w:t>
            </w: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3,810</w:t>
            </w:r>
          </w:p>
        </w:tc>
      </w:tr>
      <w:tr>
        <w:trPr>
          <w:trHeight w:val="201"/>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2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1"/>
        </w:trPr>
        <w:tc>
          <w:tcPr>
            <w:tcW w:w="5080" w:type="dxa"/>
            <w:vAlign w:val="bottom"/>
          </w:tcPr>
          <w:p>
            <w:pPr>
              <w:ind w:left="200"/>
              <w:spacing w:after="0"/>
              <w:rPr>
                <w:sz w:val="20"/>
                <w:szCs w:val="20"/>
                <w:color w:val="auto"/>
              </w:rPr>
            </w:pPr>
            <w:r>
              <w:rPr>
                <w:rFonts w:ascii="Arial" w:cs="Arial" w:eastAsia="Arial" w:hAnsi="Arial"/>
                <w:sz w:val="17"/>
                <w:szCs w:val="17"/>
                <w:color w:val="auto"/>
              </w:rPr>
              <w:t>Deferred contract costs</w:t>
            </w: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(11,687)</w:t>
            </w:r>
          </w:p>
        </w:tc>
        <w:tc>
          <w:tcPr>
            <w:tcW w:w="20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(6,294)</w:t>
            </w:r>
          </w:p>
        </w:tc>
      </w:tr>
      <w:tr>
        <w:trPr>
          <w:trHeight w:val="201"/>
        </w:trPr>
        <w:tc>
          <w:tcPr>
            <w:tcW w:w="5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deferred tax liabilities</w:t>
            </w:r>
          </w:p>
        </w:tc>
        <w:tc>
          <w:tcPr>
            <w:tcW w:w="2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(346)</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(617)</w:t>
            </w:r>
          </w:p>
        </w:tc>
      </w:tr>
      <w:tr>
        <w:trPr>
          <w:trHeight w:val="25"/>
        </w:trPr>
        <w:tc>
          <w:tcPr>
            <w:tcW w:w="50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6"/>
        </w:trPr>
        <w:tc>
          <w:tcPr>
            <w:tcW w:w="5080" w:type="dxa"/>
            <w:vAlign w:val="bottom"/>
          </w:tcPr>
          <w:p>
            <w:pPr>
              <w:ind w:left="460"/>
              <w:spacing w:after="0"/>
              <w:rPr>
                <w:sz w:val="20"/>
                <w:szCs w:val="20"/>
                <w:color w:val="auto"/>
              </w:rPr>
            </w:pPr>
            <w:r>
              <w:rPr>
                <w:rFonts w:ascii="Arial" w:cs="Arial" w:eastAsia="Arial" w:hAnsi="Arial"/>
                <w:sz w:val="17"/>
                <w:szCs w:val="17"/>
                <w:color w:val="auto"/>
              </w:rPr>
              <w:t>Gross deferred tax liabilities</w:t>
            </w: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(12,033)</w:t>
            </w:r>
          </w:p>
        </w:tc>
        <w:tc>
          <w:tcPr>
            <w:tcW w:w="20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(6,911)</w:t>
            </w:r>
          </w:p>
        </w:tc>
      </w:tr>
      <w:tr>
        <w:trPr>
          <w:trHeight w:val="241"/>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deferred taxes</w:t>
            </w:r>
          </w:p>
        </w:tc>
        <w:tc>
          <w:tcPr>
            <w:tcW w:w="24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(4,795)</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(3,101)</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188" w:lineRule="exact"/>
        <w:rPr>
          <w:sz w:val="20"/>
          <w:szCs w:val="20"/>
          <w:color w:val="auto"/>
        </w:rPr>
      </w:pPr>
    </w:p>
    <w:p>
      <w:pPr>
        <w:jc w:val="both"/>
        <w:ind w:left="360"/>
        <w:spacing w:after="0" w:line="257" w:lineRule="auto"/>
        <w:rPr>
          <w:sz w:val="20"/>
          <w:szCs w:val="20"/>
          <w:color w:val="auto"/>
        </w:rPr>
      </w:pPr>
      <w:r>
        <w:rPr>
          <w:rFonts w:ascii="Arial" w:cs="Arial" w:eastAsia="Arial" w:hAnsi="Arial"/>
          <w:sz w:val="17"/>
          <w:szCs w:val="17"/>
          <w:color w:val="auto"/>
        </w:rPr>
        <w:t>A valuation allowance is provided when it is more likely than not that the deferred tax assets will not be realized. The Company has established a valuation allowance to offset certain deferred tax assets at December 31, 2021 and 2020 due to the uncertainty of realizing future tax benefits from its net operating loss carryforwards and other deferred tax assets.</w:t>
      </w:r>
    </w:p>
    <w:p>
      <w:pPr>
        <w:spacing w:after="0" w:line="175" w:lineRule="exact"/>
        <w:rPr>
          <w:sz w:val="20"/>
          <w:szCs w:val="20"/>
          <w:color w:val="auto"/>
        </w:rPr>
      </w:pPr>
    </w:p>
    <w:p>
      <w:pPr>
        <w:ind w:left="360" w:hanging="360"/>
        <w:spacing w:after="0"/>
        <w:tabs>
          <w:tab w:leader="none" w:pos="3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Net operating losses carry forward:</w:t>
      </w:r>
    </w:p>
    <w:p>
      <w:pPr>
        <w:spacing w:after="0" w:line="206"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6"/>
          <w:szCs w:val="16"/>
          <w:color w:val="auto"/>
        </w:rPr>
        <w:t>As of December 31, 2021, the Company had approximately $248,447 in net operating loss carryforwards in Israel that can be carried forward indefinitely.</w:t>
      </w:r>
    </w:p>
    <w:p>
      <w:pPr>
        <w:spacing w:after="0" w:line="217" w:lineRule="exact"/>
        <w:rPr>
          <w:rFonts w:ascii="Arial" w:cs="Arial" w:eastAsia="Arial" w:hAnsi="Arial"/>
          <w:sz w:val="17"/>
          <w:szCs w:val="17"/>
          <w:color w:val="auto"/>
        </w:rPr>
      </w:pPr>
    </w:p>
    <w:p>
      <w:pPr>
        <w:jc w:val="both"/>
        <w:ind w:left="360"/>
        <w:spacing w:after="0" w:line="257" w:lineRule="auto"/>
        <w:rPr>
          <w:rFonts w:ascii="Arial" w:cs="Arial" w:eastAsia="Arial" w:hAnsi="Arial"/>
          <w:sz w:val="17"/>
          <w:szCs w:val="17"/>
          <w:color w:val="auto"/>
        </w:rPr>
      </w:pPr>
      <w:r>
        <w:rPr>
          <w:rFonts w:ascii="Arial" w:cs="Arial" w:eastAsia="Arial" w:hAnsi="Arial"/>
          <w:sz w:val="17"/>
          <w:szCs w:val="17"/>
          <w:color w:val="auto"/>
        </w:rPr>
        <w:t>As of December 31, 2021, the U.S. subsidiary had $21,707 of federal and $51,121 of state net operating loss carryforwards available to offset future taxable income. If not utilized, the state net operating loss carryforwards will expire in varying amounts between the years ended 2031 and 2041. Federal operating loss carryforwards can be carried forward indefinitely.</w:t>
      </w:r>
    </w:p>
    <w:p>
      <w:pPr>
        <w:spacing w:after="0" w:line="175" w:lineRule="exact"/>
        <w:rPr>
          <w:rFonts w:ascii="Arial" w:cs="Arial" w:eastAsia="Arial" w:hAnsi="Arial"/>
          <w:sz w:val="17"/>
          <w:szCs w:val="17"/>
          <w:color w:val="auto"/>
        </w:rPr>
      </w:pPr>
    </w:p>
    <w:p>
      <w:pPr>
        <w:ind w:left="360" w:hanging="360"/>
        <w:spacing w:after="0"/>
        <w:tabs>
          <w:tab w:leader="none" w:pos="3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Carryback U.S:</w:t>
      </w:r>
    </w:p>
    <w:p>
      <w:pPr>
        <w:spacing w:after="0" w:line="206" w:lineRule="exact"/>
        <w:rPr>
          <w:rFonts w:ascii="Arial" w:cs="Arial" w:eastAsia="Arial" w:hAnsi="Arial"/>
          <w:sz w:val="17"/>
          <w:szCs w:val="17"/>
          <w:color w:val="auto"/>
        </w:rPr>
      </w:pPr>
    </w:p>
    <w:p>
      <w:pPr>
        <w:jc w:val="both"/>
        <w:ind w:left="360"/>
        <w:spacing w:after="0" w:line="253" w:lineRule="auto"/>
        <w:rPr>
          <w:rFonts w:ascii="Arial" w:cs="Arial" w:eastAsia="Arial" w:hAnsi="Arial"/>
          <w:sz w:val="17"/>
          <w:szCs w:val="17"/>
          <w:color w:val="auto"/>
        </w:rPr>
      </w:pPr>
      <w:r>
        <w:rPr>
          <w:rFonts w:ascii="Arial" w:cs="Arial" w:eastAsia="Arial" w:hAnsi="Arial"/>
          <w:sz w:val="17"/>
          <w:szCs w:val="17"/>
          <w:color w:val="auto"/>
        </w:rPr>
        <w:t>On March 27, 2020, the Coronavirus Aid, Relief and Economic Security (“CARES Act”) was signed into law. The CARES Act is a relief package intended to assist many aspects of the U.S. economy of which certain components of the Act impacted the U.S subsidiary’s 2020 income tax provision. Specifically, the CARES Act temporarily reinstated a five-year carryback period for all NOLs generated in the tax years 2018, 2019 and 2020. Therefore, the Company’s NOLs from 2019 were carried back to 2018, 2017 and 2016.</w:t>
      </w:r>
    </w:p>
    <w:p>
      <w:pPr>
        <w:spacing w:after="0" w:line="179" w:lineRule="exact"/>
        <w:rPr>
          <w:rFonts w:ascii="Arial" w:cs="Arial" w:eastAsia="Arial" w:hAnsi="Arial"/>
          <w:sz w:val="17"/>
          <w:szCs w:val="17"/>
          <w:color w:val="auto"/>
        </w:rPr>
      </w:pPr>
    </w:p>
    <w:p>
      <w:pPr>
        <w:ind w:left="360" w:hanging="360"/>
        <w:spacing w:after="0"/>
        <w:tabs>
          <w:tab w:leader="none" w:pos="3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Tax assessments</w:t>
      </w:r>
    </w:p>
    <w:p>
      <w:pPr>
        <w:spacing w:after="0" w:line="206" w:lineRule="exact"/>
        <w:rPr>
          <w:rFonts w:ascii="Arial" w:cs="Arial" w:eastAsia="Arial" w:hAnsi="Arial"/>
          <w:sz w:val="17"/>
          <w:szCs w:val="17"/>
          <w:color w:val="auto"/>
        </w:rPr>
      </w:pPr>
    </w:p>
    <w:p>
      <w:pPr>
        <w:ind w:left="360"/>
        <w:spacing w:after="0" w:line="268" w:lineRule="auto"/>
        <w:rPr>
          <w:rFonts w:ascii="Arial" w:cs="Arial" w:eastAsia="Arial" w:hAnsi="Arial"/>
          <w:sz w:val="17"/>
          <w:szCs w:val="17"/>
          <w:color w:val="auto"/>
        </w:rPr>
      </w:pPr>
      <w:r>
        <w:rPr>
          <w:rFonts w:ascii="Arial" w:cs="Arial" w:eastAsia="Arial" w:hAnsi="Arial"/>
          <w:sz w:val="17"/>
          <w:szCs w:val="17"/>
          <w:color w:val="auto"/>
        </w:rPr>
        <w:t>The Company has net operating losses from prior tax periods which may be subjected to examination in future periods. As of December 31, 2021, the Company’s tax years until December 31, 2016 are subject to statute of limitation in Israel.</w:t>
      </w:r>
    </w:p>
    <w:p>
      <w:pPr>
        <w:spacing w:after="0" w:line="165"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7"/>
          <w:szCs w:val="17"/>
          <w:color w:val="auto"/>
        </w:rPr>
        <w:t>As of that date, the U.S. subsidiary’s tax years until December 31, 2016 are subject to statute of limitation in the U.S.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6"/>
          <w:szCs w:val="16"/>
          <w:b w:val="1"/>
          <w:bCs w:val="1"/>
          <w:color w:val="auto"/>
        </w:rPr>
        <w:t>TAXES ON INCOME (Cont.)</w:t>
      </w:r>
    </w:p>
    <w:p>
      <w:pPr>
        <w:spacing w:after="0" w:line="210" w:lineRule="exact"/>
        <w:rPr>
          <w:sz w:val="20"/>
          <w:szCs w:val="20"/>
          <w:color w:val="auto"/>
        </w:rPr>
      </w:pPr>
    </w:p>
    <w:p>
      <w:pPr>
        <w:ind w:left="360" w:hanging="360"/>
        <w:spacing w:after="0"/>
        <w:tabs>
          <w:tab w:leader="none" w:pos="3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Unrecognized tax benefits</w:t>
      </w:r>
    </w:p>
    <w:p>
      <w:pPr>
        <w:spacing w:after="0" w:line="206" w:lineRule="exact"/>
        <w:rPr>
          <w:rFonts w:ascii="Arial" w:cs="Arial" w:eastAsia="Arial" w:hAnsi="Arial"/>
          <w:sz w:val="17"/>
          <w:szCs w:val="17"/>
          <w:color w:val="auto"/>
        </w:rPr>
      </w:pPr>
    </w:p>
    <w:p>
      <w:pPr>
        <w:ind w:left="360"/>
        <w:spacing w:after="0" w:line="299" w:lineRule="auto"/>
        <w:rPr>
          <w:rFonts w:ascii="Arial" w:cs="Arial" w:eastAsia="Arial" w:hAnsi="Arial"/>
          <w:sz w:val="17"/>
          <w:szCs w:val="17"/>
          <w:color w:val="auto"/>
        </w:rPr>
      </w:pPr>
      <w:r>
        <w:rPr>
          <w:rFonts w:ascii="Arial" w:cs="Arial" w:eastAsia="Arial" w:hAnsi="Arial"/>
          <w:sz w:val="16"/>
          <w:szCs w:val="16"/>
          <w:color w:val="auto"/>
        </w:rPr>
        <w:t>Consistent with the provisions of ASC 740, Income Taxes, the Company recognizes the effect of income tax positions only if those positions are more likely than not of being sustained. Recognized income tax positions are measured at the largest amount that is greater than 50% likely of being realized.</w:t>
      </w:r>
    </w:p>
    <w:p>
      <w:pPr>
        <w:spacing w:after="0" w:line="144"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7"/>
          <w:szCs w:val="17"/>
          <w:color w:val="auto"/>
        </w:rPr>
        <w:t>Changes in recognition or measurement are reflected in the period in which the change in judgment occurs.</w:t>
      </w:r>
    </w:p>
    <w:p>
      <w:pPr>
        <w:spacing w:after="0" w:line="206"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7"/>
          <w:szCs w:val="17"/>
          <w:color w:val="auto"/>
        </w:rPr>
        <w:t>The following table shows the changes in the gross amount of unrecognized tax benefits as of December 31, 2021 and 2020:</w:t>
      </w:r>
    </w:p>
    <w:p>
      <w:pPr>
        <w:spacing w:after="0" w:line="202" w:lineRule="exact"/>
        <w:rPr>
          <w:sz w:val="20"/>
          <w:szCs w:val="20"/>
          <w:color w:val="auto"/>
        </w:rPr>
      </w:pPr>
    </w:p>
    <w:tbl>
      <w:tblPr>
        <w:tblLayout w:type="fixed"/>
        <w:tblInd w:w="600" w:type="dxa"/>
        <w:tblCellMar>
          <w:top w:w="0" w:type="dxa"/>
          <w:left w:w="0" w:type="dxa"/>
          <w:bottom w:w="0" w:type="dxa"/>
          <w:right w:w="0" w:type="dxa"/>
        </w:tblCellMar>
      </w:tblPr>
      <w:tr>
        <w:trPr>
          <w:trHeight w:val="201"/>
        </w:trPr>
        <w:tc>
          <w:tcPr>
            <w:tcW w:w="6860" w:type="dxa"/>
            <w:vAlign w:val="bottom"/>
          </w:tcPr>
          <w:p>
            <w:pPr>
              <w:spacing w:after="0"/>
              <w:rPr>
                <w:sz w:val="17"/>
                <w:szCs w:val="17"/>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87"/>
              </w:rPr>
              <w:t>Unrecognized</w:t>
            </w:r>
          </w:p>
        </w:tc>
      </w:tr>
      <w:tr>
        <w:trPr>
          <w:trHeight w:val="222"/>
        </w:trPr>
        <w:tc>
          <w:tcPr>
            <w:tcW w:w="6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7"/>
              </w:rPr>
              <w:t>Tax Benefits</w:t>
            </w:r>
          </w:p>
        </w:tc>
      </w:tr>
      <w:tr>
        <w:trPr>
          <w:trHeight w:val="201"/>
        </w:trPr>
        <w:tc>
          <w:tcPr>
            <w:tcW w:w="6860" w:type="dxa"/>
            <w:vAlign w:val="bottom"/>
            <w:shd w:val="clear" w:color="auto" w:fill="CCEEFF"/>
          </w:tcPr>
          <w:p>
            <w:pPr>
              <w:spacing w:after="0"/>
              <w:rPr>
                <w:sz w:val="20"/>
                <w:szCs w:val="20"/>
                <w:color w:val="auto"/>
              </w:rPr>
            </w:pPr>
            <w:r>
              <w:rPr>
                <w:rFonts w:ascii="Arial" w:cs="Arial" w:eastAsia="Arial" w:hAnsi="Arial"/>
                <w:sz w:val="17"/>
                <w:szCs w:val="17"/>
                <w:color w:val="auto"/>
              </w:rPr>
              <w:t>Balance – January 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r>
        <w:trPr>
          <w:trHeight w:val="206"/>
        </w:trPr>
        <w:tc>
          <w:tcPr>
            <w:tcW w:w="6860" w:type="dxa"/>
            <w:vAlign w:val="bottom"/>
          </w:tcPr>
          <w:p>
            <w:pPr>
              <w:ind w:left="500"/>
              <w:spacing w:after="0"/>
              <w:rPr>
                <w:sz w:val="20"/>
                <w:szCs w:val="20"/>
                <w:color w:val="auto"/>
              </w:rPr>
            </w:pPr>
            <w:r>
              <w:rPr>
                <w:rFonts w:ascii="Arial" w:cs="Arial" w:eastAsia="Arial" w:hAnsi="Arial"/>
                <w:sz w:val="17"/>
                <w:szCs w:val="17"/>
                <w:color w:val="auto"/>
              </w:rPr>
              <w:t>Increases related to current years’ tax positions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437</w:t>
            </w:r>
          </w:p>
        </w:tc>
        <w:tc>
          <w:tcPr>
            <w:tcW w:w="60" w:type="dxa"/>
            <w:vAlign w:val="bottom"/>
          </w:tcPr>
          <w:p>
            <w:pPr>
              <w:spacing w:after="0"/>
              <w:rPr>
                <w:sz w:val="17"/>
                <w:szCs w:val="17"/>
                <w:color w:val="auto"/>
              </w:rPr>
            </w:pPr>
          </w:p>
        </w:tc>
      </w:tr>
      <w:tr>
        <w:trPr>
          <w:trHeight w:val="201"/>
        </w:trPr>
        <w:tc>
          <w:tcPr>
            <w:tcW w:w="6860" w:type="dxa"/>
            <w:vAlign w:val="bottom"/>
            <w:shd w:val="clear" w:color="auto" w:fill="CCEEFF"/>
          </w:tcPr>
          <w:p>
            <w:pPr>
              <w:spacing w:after="0"/>
              <w:rPr>
                <w:sz w:val="20"/>
                <w:szCs w:val="20"/>
                <w:color w:val="auto"/>
              </w:rPr>
            </w:pPr>
            <w:r>
              <w:rPr>
                <w:rFonts w:ascii="Arial" w:cs="Arial" w:eastAsia="Arial" w:hAnsi="Arial"/>
                <w:sz w:val="17"/>
                <w:szCs w:val="17"/>
                <w:color w:val="auto"/>
              </w:rPr>
              <w:t>Balance - December 31, 2019</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60" w:type="dxa"/>
            <w:vAlign w:val="bottom"/>
            <w:shd w:val="clear" w:color="auto" w:fill="CCEEFF"/>
          </w:tcPr>
          <w:p>
            <w:pPr>
              <w:spacing w:after="0"/>
              <w:rPr>
                <w:sz w:val="17"/>
                <w:szCs w:val="17"/>
                <w:color w:val="auto"/>
              </w:rPr>
            </w:pPr>
          </w:p>
        </w:tc>
      </w:tr>
      <w:tr>
        <w:trPr>
          <w:trHeight w:val="201"/>
        </w:trPr>
        <w:tc>
          <w:tcPr>
            <w:tcW w:w="6860" w:type="dxa"/>
            <w:vAlign w:val="bottom"/>
          </w:tcPr>
          <w:p>
            <w:pPr>
              <w:ind w:left="500"/>
              <w:spacing w:after="0"/>
              <w:rPr>
                <w:sz w:val="20"/>
                <w:szCs w:val="20"/>
                <w:color w:val="auto"/>
              </w:rPr>
            </w:pPr>
            <w:r>
              <w:rPr>
                <w:rFonts w:ascii="Arial" w:cs="Arial" w:eastAsia="Arial" w:hAnsi="Arial"/>
                <w:sz w:val="17"/>
                <w:szCs w:val="17"/>
                <w:color w:val="auto"/>
              </w:rPr>
              <w:t>Increases related to prior years’ tax positions</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209</w:t>
            </w:r>
          </w:p>
        </w:tc>
        <w:tc>
          <w:tcPr>
            <w:tcW w:w="60" w:type="dxa"/>
            <w:vAlign w:val="bottom"/>
          </w:tcPr>
          <w:p>
            <w:pPr>
              <w:spacing w:after="0"/>
              <w:rPr>
                <w:sz w:val="17"/>
                <w:szCs w:val="17"/>
                <w:color w:val="auto"/>
              </w:rPr>
            </w:pPr>
          </w:p>
        </w:tc>
      </w:tr>
      <w:tr>
        <w:trPr>
          <w:trHeight w:val="206"/>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Increases related to current years’ tax positions</w:t>
            </w: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1,063</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01"/>
        </w:trPr>
        <w:tc>
          <w:tcPr>
            <w:tcW w:w="6860" w:type="dxa"/>
            <w:vAlign w:val="bottom"/>
          </w:tcPr>
          <w:p>
            <w:pPr>
              <w:spacing w:after="0"/>
              <w:rPr>
                <w:sz w:val="20"/>
                <w:szCs w:val="20"/>
                <w:color w:val="auto"/>
              </w:rPr>
            </w:pPr>
            <w:r>
              <w:rPr>
                <w:rFonts w:ascii="Arial" w:cs="Arial" w:eastAsia="Arial" w:hAnsi="Arial"/>
                <w:sz w:val="17"/>
                <w:szCs w:val="17"/>
                <w:color w:val="auto"/>
              </w:rPr>
              <w:t>Balance - December 31, 2020</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1,709</w:t>
            </w:r>
          </w:p>
        </w:tc>
        <w:tc>
          <w:tcPr>
            <w:tcW w:w="60" w:type="dxa"/>
            <w:vAlign w:val="bottom"/>
          </w:tcPr>
          <w:p>
            <w:pPr>
              <w:spacing w:after="0"/>
              <w:rPr>
                <w:sz w:val="17"/>
                <w:szCs w:val="17"/>
                <w:color w:val="auto"/>
              </w:rPr>
            </w:pPr>
          </w:p>
        </w:tc>
      </w:tr>
      <w:tr>
        <w:trPr>
          <w:trHeight w:val="201"/>
        </w:trPr>
        <w:tc>
          <w:tcPr>
            <w:tcW w:w="68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Increases related to prior years’ tax positions</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60" w:type="dxa"/>
            <w:vAlign w:val="bottom"/>
            <w:shd w:val="clear" w:color="auto" w:fill="CCEEFF"/>
          </w:tcPr>
          <w:p>
            <w:pPr>
              <w:spacing w:after="0"/>
              <w:rPr>
                <w:sz w:val="17"/>
                <w:szCs w:val="17"/>
                <w:color w:val="auto"/>
              </w:rPr>
            </w:pPr>
          </w:p>
        </w:tc>
      </w:tr>
      <w:tr>
        <w:trPr>
          <w:trHeight w:val="206"/>
        </w:trPr>
        <w:tc>
          <w:tcPr>
            <w:tcW w:w="6860" w:type="dxa"/>
            <w:vAlign w:val="bottom"/>
          </w:tcPr>
          <w:p>
            <w:pPr>
              <w:ind w:left="500"/>
              <w:spacing w:after="0"/>
              <w:rPr>
                <w:sz w:val="20"/>
                <w:szCs w:val="20"/>
                <w:color w:val="auto"/>
              </w:rPr>
            </w:pPr>
            <w:r>
              <w:rPr>
                <w:rFonts w:ascii="Arial" w:cs="Arial" w:eastAsia="Arial" w:hAnsi="Arial"/>
                <w:sz w:val="17"/>
                <w:szCs w:val="17"/>
                <w:color w:val="auto"/>
              </w:rPr>
              <w:t>Increases related to current years’ tax positions</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2,984</w:t>
            </w:r>
          </w:p>
        </w:tc>
        <w:tc>
          <w:tcPr>
            <w:tcW w:w="60" w:type="dxa"/>
            <w:vAlign w:val="bottom"/>
          </w:tcPr>
          <w:p>
            <w:pPr>
              <w:spacing w:after="0"/>
              <w:rPr>
                <w:sz w:val="17"/>
                <w:szCs w:val="17"/>
                <w:color w:val="auto"/>
              </w:rPr>
            </w:pPr>
          </w:p>
        </w:tc>
      </w:tr>
      <w:tr>
        <w:trPr>
          <w:trHeight w:val="241"/>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 December 31,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4,868</w:t>
            </w:r>
          </w:p>
        </w:tc>
        <w:tc>
          <w:tcPr>
            <w:tcW w:w="60" w:type="dxa"/>
            <w:vAlign w:val="bottom"/>
            <w:tcBorders>
              <w:bottom w:val="single" w:sz="8" w:color="CCEEFF"/>
            </w:tcBorders>
            <w:shd w:val="clear" w:color="auto" w:fill="CCEEFF"/>
          </w:tcPr>
          <w:p>
            <w:pPr>
              <w:spacing w:after="0"/>
              <w:rPr>
                <w:sz w:val="20"/>
                <w:szCs w:val="20"/>
                <w:color w:val="auto"/>
              </w:rPr>
            </w:pPr>
          </w:p>
        </w:tc>
      </w:tr>
    </w:tbl>
    <w:p>
      <w:pPr>
        <w:spacing w:after="0" w:line="188" w:lineRule="exact"/>
        <w:rPr>
          <w:sz w:val="20"/>
          <w:szCs w:val="20"/>
          <w:color w:val="auto"/>
        </w:rPr>
      </w:pPr>
    </w:p>
    <w:p>
      <w:pPr>
        <w:ind w:left="360"/>
        <w:spacing w:after="0" w:line="335" w:lineRule="auto"/>
        <w:rPr>
          <w:sz w:val="20"/>
          <w:szCs w:val="20"/>
          <w:color w:val="auto"/>
        </w:rPr>
      </w:pPr>
      <w:r>
        <w:rPr>
          <w:rFonts w:ascii="Arial" w:cs="Arial" w:eastAsia="Arial" w:hAnsi="Arial"/>
          <w:sz w:val="15"/>
          <w:szCs w:val="15"/>
          <w:color w:val="auto"/>
        </w:rPr>
        <w:t>As of December 31, 2021, the total amount of gross unrecognized tax benefits that would favorably impact the Company’s effective tax rate, if recognized, was $2,097. The remaining amount of $2,771 would be offset by the reversal of related deferred tax assets which are subject to a full valuation allowance.</w:t>
      </w:r>
    </w:p>
    <w:p>
      <w:pPr>
        <w:spacing w:after="0" w:line="121" w:lineRule="exact"/>
        <w:rPr>
          <w:sz w:val="20"/>
          <w:szCs w:val="20"/>
          <w:color w:val="auto"/>
        </w:rPr>
      </w:pPr>
    </w:p>
    <w:p>
      <w:pPr>
        <w:ind w:left="360"/>
        <w:spacing w:after="0" w:line="268" w:lineRule="auto"/>
        <w:rPr>
          <w:sz w:val="20"/>
          <w:szCs w:val="20"/>
          <w:color w:val="auto"/>
        </w:rPr>
      </w:pPr>
      <w:r>
        <w:rPr>
          <w:rFonts w:ascii="Arial" w:cs="Arial" w:eastAsia="Arial" w:hAnsi="Arial"/>
          <w:sz w:val="17"/>
          <w:szCs w:val="17"/>
          <w:color w:val="auto"/>
        </w:rPr>
        <w:t>The Company recognizes interest and penalties related to unrecognized tax benefits as income tax expense. As of December 31, 2021, the Company has accumulated $78 in both interest and penalties related to uncertain tax positions.</w:t>
      </w:r>
    </w:p>
    <w:p>
      <w:pPr>
        <w:spacing w:after="0" w:line="166" w:lineRule="exact"/>
        <w:rPr>
          <w:sz w:val="20"/>
          <w:szCs w:val="20"/>
          <w:color w:val="auto"/>
        </w:rPr>
      </w:pPr>
    </w:p>
    <w:p>
      <w:pPr>
        <w:ind w:left="360"/>
        <w:spacing w:after="0" w:line="299" w:lineRule="auto"/>
        <w:rPr>
          <w:sz w:val="20"/>
          <w:szCs w:val="20"/>
          <w:color w:val="auto"/>
        </w:rPr>
      </w:pPr>
      <w:r>
        <w:rPr>
          <w:rFonts w:ascii="Arial" w:cs="Arial" w:eastAsia="Arial" w:hAnsi="Arial"/>
          <w:sz w:val="16"/>
          <w:szCs w:val="16"/>
          <w:color w:val="auto"/>
        </w:rPr>
        <w:t>Although the Company believes that it has adequately provided for any reasonably foreseeable outcomes related to tax audits and settlement, there is no assurance that the final tax outcome of its tax audits will not be different from that which is reflected in the Company’s income tax provisions.</w:t>
      </w:r>
    </w:p>
    <w:p>
      <w:pPr>
        <w:spacing w:after="0" w:line="140"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6"/>
          <w:szCs w:val="16"/>
          <w:b w:val="1"/>
          <w:bCs w:val="1"/>
          <w:color w:val="auto"/>
        </w:rPr>
        <w:t>REPORTING SEGMENTS AND GEOGRAPHIC INFORMATION</w:t>
      </w:r>
    </w:p>
    <w:p>
      <w:pPr>
        <w:spacing w:after="0" w:line="210" w:lineRule="exact"/>
        <w:rPr>
          <w:sz w:val="20"/>
          <w:szCs w:val="20"/>
          <w:color w:val="auto"/>
        </w:rPr>
      </w:pPr>
    </w:p>
    <w:p>
      <w:pPr>
        <w:ind w:left="360" w:hanging="360"/>
        <w:spacing w:after="0"/>
        <w:tabs>
          <w:tab w:leader="none" w:pos="3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Operating segments</w:t>
      </w:r>
    </w:p>
    <w:p>
      <w:pPr>
        <w:spacing w:after="0" w:line="206" w:lineRule="exact"/>
        <w:rPr>
          <w:rFonts w:ascii="Arial" w:cs="Arial" w:eastAsia="Arial" w:hAnsi="Arial"/>
          <w:sz w:val="17"/>
          <w:szCs w:val="17"/>
          <w:color w:val="auto"/>
        </w:rPr>
      </w:pPr>
    </w:p>
    <w:p>
      <w:pPr>
        <w:jc w:val="both"/>
        <w:ind w:left="360"/>
        <w:spacing w:after="0" w:line="253" w:lineRule="auto"/>
        <w:rPr>
          <w:rFonts w:ascii="Arial" w:cs="Arial" w:eastAsia="Arial" w:hAnsi="Arial"/>
          <w:sz w:val="17"/>
          <w:szCs w:val="17"/>
          <w:color w:val="auto"/>
        </w:rPr>
      </w:pPr>
      <w:r>
        <w:rPr>
          <w:rFonts w:ascii="Arial" w:cs="Arial" w:eastAsia="Arial" w:hAnsi="Arial"/>
          <w:sz w:val="17"/>
          <w:szCs w:val="17"/>
          <w:color w:val="auto"/>
        </w:rPr>
        <w:t>The Company operates as one operating segment. Operating segments are defined as components of an enterprise for which separate financial information is available and evaluated regularly by the chief operating decision maker, which is the Company’s chief executive officer, in deciding how to make operating decisions, allocate resources and assess performance. The Company’s chief operating decision maker allocates resources and assesses performance at the consolidated level.</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141845" cy="158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7"/>
          <w:szCs w:val="17"/>
          <w:b w:val="1"/>
          <w:bCs w:val="1"/>
          <w:color w:val="auto"/>
        </w:rPr>
        <w:t>WALKME LTD. AND ITS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4184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dollars in thousands (except share and per share data)</w:t>
      </w:r>
    </w:p>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6"/>
          <w:szCs w:val="16"/>
          <w:b w:val="1"/>
          <w:bCs w:val="1"/>
          <w:color w:val="auto"/>
        </w:rPr>
        <w:t>REPORTING SEGMENTS AND GEOGRAPHIC INFORMATION (Cont.)</w:t>
      </w:r>
    </w:p>
    <w:p>
      <w:pPr>
        <w:spacing w:after="0" w:line="210" w:lineRule="exact"/>
        <w:rPr>
          <w:sz w:val="20"/>
          <w:szCs w:val="20"/>
          <w:color w:val="auto"/>
        </w:rPr>
      </w:pPr>
    </w:p>
    <w:p>
      <w:pPr>
        <w:ind w:left="360" w:hanging="360"/>
        <w:spacing w:after="0"/>
        <w:tabs>
          <w:tab w:leader="none" w:pos="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Geographical information</w:t>
      </w:r>
    </w:p>
    <w:p>
      <w:pPr>
        <w:spacing w:after="0" w:line="206"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7"/>
          <w:szCs w:val="17"/>
          <w:color w:val="auto"/>
        </w:rPr>
        <w:t>The following table summarizes revenue by region based on the shipping address of customers:</w:t>
      </w:r>
    </w:p>
    <w:p>
      <w:pPr>
        <w:spacing w:after="0" w:line="202" w:lineRule="exact"/>
        <w:rPr>
          <w:sz w:val="20"/>
          <w:szCs w:val="20"/>
          <w:color w:val="auto"/>
        </w:rPr>
      </w:pPr>
    </w:p>
    <w:p>
      <w:pPr>
        <w:ind w:left="7520"/>
        <w:spacing w:after="0"/>
        <w:rPr>
          <w:sz w:val="20"/>
          <w:szCs w:val="20"/>
          <w:color w:val="auto"/>
        </w:rPr>
      </w:pPr>
      <w:r>
        <w:rPr>
          <w:rFonts w:ascii="Arial" w:cs="Arial" w:eastAsia="Arial" w:hAnsi="Arial"/>
          <w:sz w:val="17"/>
          <w:szCs w:val="17"/>
          <w:b w:val="1"/>
          <w:bCs w:val="1"/>
          <w:color w:val="auto"/>
        </w:rPr>
        <w:t>Year ended December 31,</w:t>
      </w:r>
    </w:p>
    <w:p>
      <w:pPr>
        <w:spacing w:after="0" w:line="22" w:lineRule="exact"/>
        <w:rPr>
          <w:sz w:val="20"/>
          <w:szCs w:val="20"/>
          <w:color w:val="auto"/>
        </w:rPr>
      </w:pPr>
    </w:p>
    <w:tbl>
      <w:tblPr>
        <w:tblLayout w:type="fixed"/>
        <w:tblInd w:w="460" w:type="dxa"/>
        <w:tblCellMar>
          <w:top w:w="0" w:type="dxa"/>
          <w:left w:w="0" w:type="dxa"/>
          <w:bottom w:w="0" w:type="dxa"/>
          <w:right w:w="0" w:type="dxa"/>
        </w:tblCellMar>
      </w:tblPr>
      <w:tr>
        <w:trPr>
          <w:trHeight w:val="211"/>
        </w:trPr>
        <w:tc>
          <w:tcPr>
            <w:tcW w:w="63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8"/>
                <w:szCs w:val="18"/>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135,291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105,321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75,072</w:t>
            </w:r>
          </w:p>
        </w:tc>
        <w:tc>
          <w:tcPr>
            <w:tcW w:w="80" w:type="dxa"/>
            <w:vAlign w:val="bottom"/>
            <w:shd w:val="clear" w:color="auto" w:fill="CCEEFF"/>
          </w:tcPr>
          <w:p>
            <w:pPr>
              <w:spacing w:after="0"/>
              <w:rPr>
                <w:sz w:val="17"/>
                <w:szCs w:val="17"/>
                <w:color w:val="auto"/>
              </w:rPr>
            </w:pPr>
          </w:p>
        </w:tc>
      </w:tr>
      <w:tr>
        <w:trPr>
          <w:trHeight w:val="201"/>
        </w:trPr>
        <w:tc>
          <w:tcPr>
            <w:tcW w:w="6520" w:type="dxa"/>
            <w:vAlign w:val="bottom"/>
            <w:gridSpan w:val="2"/>
          </w:tcPr>
          <w:p>
            <w:pPr>
              <w:spacing w:after="0"/>
              <w:rPr>
                <w:sz w:val="20"/>
                <w:szCs w:val="20"/>
                <w:color w:val="auto"/>
              </w:rPr>
            </w:pPr>
            <w:r>
              <w:rPr>
                <w:rFonts w:ascii="Arial" w:cs="Arial" w:eastAsia="Arial" w:hAnsi="Arial"/>
                <w:sz w:val="17"/>
                <w:szCs w:val="17"/>
                <w:color w:val="auto"/>
              </w:rPr>
              <w:t>Rest of world</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56,914</w:t>
            </w:r>
          </w:p>
        </w:tc>
        <w:tc>
          <w:tcPr>
            <w:tcW w:w="2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42,138</w:t>
            </w: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28,687</w:t>
            </w: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Israel</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1,370</w:t>
            </w:r>
          </w:p>
        </w:tc>
      </w:tr>
      <w:tr>
        <w:trPr>
          <w:trHeight w:val="25"/>
        </w:trPr>
        <w:tc>
          <w:tcPr>
            <w:tcW w:w="6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1"/>
        </w:trPr>
        <w:tc>
          <w:tcPr>
            <w:tcW w:w="65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193,303</w:t>
            </w:r>
          </w:p>
        </w:tc>
        <w:tc>
          <w:tcPr>
            <w:tcW w:w="20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148,306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105,129</w:t>
            </w:r>
          </w:p>
        </w:tc>
      </w:tr>
      <w:tr>
        <w:trPr>
          <w:trHeight w:val="25"/>
        </w:trPr>
        <w:tc>
          <w:tcPr>
            <w:tcW w:w="6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Other than the United States, no other individual country accounted for 10% or more of total revenue for the years ended December 31, 2021, 2020 and 2019.</w:t>
      </w:r>
    </w:p>
    <w:p>
      <w:pPr>
        <w:spacing w:after="0" w:line="218" w:lineRule="exact"/>
        <w:rPr>
          <w:sz w:val="20"/>
          <w:szCs w:val="20"/>
          <w:color w:val="auto"/>
        </w:rPr>
      </w:pPr>
    </w:p>
    <w:tbl>
      <w:tblPr>
        <w:tblLayout w:type="fixed"/>
        <w:tblInd w:w="360" w:type="dxa"/>
        <w:tblCellMar>
          <w:top w:w="0" w:type="dxa"/>
          <w:left w:w="0" w:type="dxa"/>
          <w:bottom w:w="0" w:type="dxa"/>
          <w:right w:w="0" w:type="dxa"/>
        </w:tblCellMar>
      </w:tblPr>
      <w:tr>
        <w:trPr>
          <w:trHeight w:val="213"/>
        </w:trPr>
        <w:tc>
          <w:tcPr>
            <w:tcW w:w="7580" w:type="dxa"/>
            <w:vAlign w:val="bottom"/>
            <w:gridSpan w:val="2"/>
          </w:tcPr>
          <w:p>
            <w:pPr>
              <w:spacing w:after="0"/>
              <w:rPr>
                <w:sz w:val="20"/>
                <w:szCs w:val="20"/>
                <w:color w:val="auto"/>
              </w:rPr>
            </w:pPr>
            <w:r>
              <w:rPr>
                <w:rFonts w:ascii="Arial" w:cs="Arial" w:eastAsia="Arial" w:hAnsi="Arial"/>
                <w:sz w:val="17"/>
                <w:szCs w:val="17"/>
                <w:color w:val="auto"/>
              </w:rPr>
              <w:t>The following table summarizes property and equipment, net by region:</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7"/>
        </w:trPr>
        <w:tc>
          <w:tcPr>
            <w:tcW w:w="1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5"/>
          </w:tcPr>
          <w:p>
            <w:pPr>
              <w:jc w:val="right"/>
              <w:ind w:right="660"/>
              <w:spacing w:after="0"/>
              <w:rPr>
                <w:sz w:val="20"/>
                <w:szCs w:val="20"/>
                <w:color w:val="auto"/>
              </w:rPr>
            </w:pPr>
            <w:r>
              <w:rPr>
                <w:rFonts w:ascii="Arial" w:cs="Arial" w:eastAsia="Arial" w:hAnsi="Arial"/>
                <w:sz w:val="17"/>
                <w:szCs w:val="17"/>
                <w:b w:val="1"/>
                <w:bCs w:val="1"/>
                <w:color w:val="auto"/>
              </w:rPr>
              <w:t>December 31,</w:t>
            </w:r>
          </w:p>
        </w:tc>
      </w:tr>
      <w:tr>
        <w:trPr>
          <w:trHeight w:val="206"/>
        </w:trPr>
        <w:tc>
          <w:tcPr>
            <w:tcW w:w="10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2020</w:t>
            </w:r>
          </w:p>
        </w:tc>
        <w:tc>
          <w:tcPr>
            <w:tcW w:w="80" w:type="dxa"/>
            <w:vAlign w:val="bottom"/>
          </w:tcPr>
          <w:p>
            <w:pPr>
              <w:spacing w:after="0"/>
              <w:rPr>
                <w:sz w:val="17"/>
                <w:szCs w:val="17"/>
                <w:color w:val="auto"/>
              </w:rPr>
            </w:pPr>
          </w:p>
        </w:tc>
      </w:tr>
      <w:tr>
        <w:trPr>
          <w:trHeight w:val="201"/>
        </w:trPr>
        <w:tc>
          <w:tcPr>
            <w:tcW w:w="100" w:type="dxa"/>
            <w:vAlign w:val="bottom"/>
          </w:tcPr>
          <w:p>
            <w:pPr>
              <w:spacing w:after="0"/>
              <w:rPr>
                <w:sz w:val="17"/>
                <w:szCs w:val="17"/>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Israel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7,244</w:t>
            </w:r>
          </w:p>
        </w:tc>
        <w:tc>
          <w:tcPr>
            <w:tcW w:w="80" w:type="dxa"/>
            <w:vAlign w:val="bottom"/>
            <w:shd w:val="clear" w:color="auto" w:fill="CCEEFF"/>
          </w:tcPr>
          <w:p>
            <w:pPr>
              <w:spacing w:after="0"/>
              <w:rPr>
                <w:sz w:val="17"/>
                <w:szCs w:val="17"/>
                <w:color w:val="auto"/>
              </w:rPr>
            </w:pPr>
          </w:p>
        </w:tc>
      </w:tr>
      <w:tr>
        <w:trPr>
          <w:trHeight w:val="201"/>
        </w:trPr>
        <w:tc>
          <w:tcPr>
            <w:tcW w:w="10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Arial" w:cs="Arial" w:eastAsia="Arial" w:hAnsi="Arial"/>
                <w:sz w:val="17"/>
                <w:szCs w:val="17"/>
                <w:color w:val="auto"/>
              </w:rPr>
              <w:t>United States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1,778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1,283</w:t>
            </w:r>
          </w:p>
        </w:tc>
      </w:tr>
      <w:tr>
        <w:trPr>
          <w:trHeight w:val="201"/>
        </w:trPr>
        <w:tc>
          <w:tcPr>
            <w:tcW w:w="100" w:type="dxa"/>
            <w:vAlign w:val="bottom"/>
          </w:tcPr>
          <w:p>
            <w:pPr>
              <w:spacing w:after="0"/>
              <w:rPr>
                <w:sz w:val="17"/>
                <w:szCs w:val="17"/>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Rest of world</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102</w:t>
            </w:r>
          </w:p>
        </w:tc>
      </w:tr>
      <w:tr>
        <w:trPr>
          <w:trHeight w:val="25"/>
        </w:trPr>
        <w:tc>
          <w:tcPr>
            <w:tcW w:w="100" w:type="dxa"/>
            <w:vAlign w:val="bottom"/>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1"/>
        </w:trPr>
        <w:tc>
          <w:tcPr>
            <w:tcW w:w="100" w:type="dxa"/>
            <w:vAlign w:val="bottom"/>
          </w:tcPr>
          <w:p>
            <w:pPr>
              <w:spacing w:after="0"/>
              <w:rPr>
                <w:sz w:val="17"/>
                <w:szCs w:val="17"/>
                <w:color w:val="auto"/>
              </w:rPr>
            </w:pPr>
          </w:p>
        </w:tc>
        <w:tc>
          <w:tcPr>
            <w:tcW w:w="7480" w:type="dxa"/>
            <w:vAlign w:val="bottom"/>
          </w:tcPr>
          <w:p>
            <w:pPr>
              <w:spacing w:after="0"/>
              <w:rPr>
                <w:sz w:val="20"/>
                <w:szCs w:val="20"/>
                <w:color w:val="auto"/>
              </w:rPr>
            </w:pPr>
            <w:r>
              <w:rPr>
                <w:rFonts w:ascii="Arial" w:cs="Arial" w:eastAsia="Arial" w:hAnsi="Arial"/>
                <w:sz w:val="17"/>
                <w:szCs w:val="17"/>
                <w:color w:val="auto"/>
              </w:rPr>
              <w:t>Total property and equipment, net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10,885</w:t>
            </w:r>
          </w:p>
        </w:tc>
        <w:tc>
          <w:tcPr>
            <w:tcW w:w="20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8,629</w:t>
            </w:r>
          </w:p>
        </w:tc>
      </w:tr>
      <w:tr>
        <w:trPr>
          <w:trHeight w:val="20"/>
        </w:trPr>
        <w:tc>
          <w:tcPr>
            <w:tcW w:w="1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5"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NOTE 10:-</w:t>
      </w:r>
      <w:r>
        <w:rPr>
          <w:sz w:val="20"/>
          <w:szCs w:val="20"/>
          <w:color w:val="auto"/>
        </w:rPr>
        <w:tab/>
      </w:r>
      <w:r>
        <w:rPr>
          <w:rFonts w:ascii="Arial" w:cs="Arial" w:eastAsia="Arial" w:hAnsi="Arial"/>
          <w:sz w:val="16"/>
          <w:szCs w:val="16"/>
          <w:b w:val="1"/>
          <w:bCs w:val="1"/>
          <w:color w:val="auto"/>
        </w:rPr>
        <w:t>NET LOSS PER SHARE ATTRIBUTABLE TO ORDINARY SHAREHOLDERS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basic and diluted net loss per share attributable to ordinary shareholders for the periods presented:</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Year ende December 31,</w:t>
            </w: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6"/>
        </w:trPr>
        <w:tc>
          <w:tcPr>
            <w:tcW w:w="6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2021</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2020</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7"/>
                <w:szCs w:val="17"/>
                <w:color w:val="auto"/>
              </w:rPr>
            </w:pPr>
          </w:p>
        </w:tc>
      </w:tr>
      <w:tr>
        <w:trPr>
          <w:trHeight w:val="201"/>
        </w:trPr>
        <w:tc>
          <w:tcPr>
            <w:tcW w:w="6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Numerator:</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1"/>
        </w:trPr>
        <w:tc>
          <w:tcPr>
            <w:tcW w:w="6020" w:type="dxa"/>
            <w:vAlign w:val="bottom"/>
          </w:tcPr>
          <w:p>
            <w:pPr>
              <w:spacing w:after="0"/>
              <w:rPr>
                <w:sz w:val="20"/>
                <w:szCs w:val="20"/>
                <w:color w:val="auto"/>
              </w:rPr>
            </w:pPr>
            <w:r>
              <w:rPr>
                <w:rFonts w:ascii="Arial" w:cs="Arial" w:eastAsia="Arial" w:hAnsi="Arial"/>
                <w:sz w:val="17"/>
                <w:szCs w:val="17"/>
                <w:color w:val="auto"/>
              </w:rPr>
              <w:t>Net loss</w:t>
            </w: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(80,293)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(45,025)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(50,118)</w:t>
            </w:r>
          </w:p>
        </w:tc>
      </w:tr>
      <w:tr>
        <w:trPr>
          <w:trHeight w:val="201"/>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non-controlling interest</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(1,169)</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(1,311)</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(696)</w:t>
            </w:r>
          </w:p>
        </w:tc>
      </w:tr>
      <w:tr>
        <w:trPr>
          <w:trHeight w:val="201"/>
        </w:trPr>
        <w:tc>
          <w:tcPr>
            <w:tcW w:w="6020" w:type="dxa"/>
            <w:vAlign w:val="bottom"/>
          </w:tcPr>
          <w:p>
            <w:pPr>
              <w:ind w:left="180"/>
              <w:spacing w:after="0"/>
              <w:rPr>
                <w:sz w:val="20"/>
                <w:szCs w:val="20"/>
                <w:color w:val="auto"/>
              </w:rPr>
            </w:pPr>
            <w:r>
              <w:rPr>
                <w:rFonts w:ascii="Arial" w:cs="Arial" w:eastAsia="Arial" w:hAnsi="Arial"/>
                <w:sz w:val="17"/>
                <w:szCs w:val="17"/>
                <w:color w:val="auto"/>
              </w:rPr>
              <w:t>Adjustment attributable to non-controlling interest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16,689</w:t>
            </w: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5,487</w:t>
            </w: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475</w:t>
            </w:r>
          </w:p>
        </w:tc>
      </w:tr>
      <w:tr>
        <w:trPr>
          <w:trHeight w:val="201"/>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Deemed dividend to ordinary shareholders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5"/>
        </w:trPr>
        <w:tc>
          <w:tcPr>
            <w:tcW w:w="6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1"/>
        </w:trPr>
        <w:tc>
          <w:tcPr>
            <w:tcW w:w="6020" w:type="dxa"/>
            <w:vAlign w:val="bottom"/>
          </w:tcPr>
          <w:p>
            <w:pPr>
              <w:spacing w:after="0"/>
              <w:rPr>
                <w:sz w:val="20"/>
                <w:szCs w:val="20"/>
                <w:color w:val="auto"/>
              </w:rPr>
            </w:pPr>
            <w:r>
              <w:rPr>
                <w:rFonts w:ascii="Arial" w:cs="Arial" w:eastAsia="Arial" w:hAnsi="Arial"/>
                <w:sz w:val="17"/>
                <w:szCs w:val="17"/>
                <w:color w:val="auto"/>
              </w:rPr>
              <w:t>Net loss attributable to WalkMe Ltd.</w:t>
            </w: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(95,813)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(53,770)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(49,897)</w:t>
            </w:r>
          </w:p>
        </w:tc>
      </w:tr>
      <w:tr>
        <w:trPr>
          <w:trHeight w:val="201"/>
        </w:trPr>
        <w:tc>
          <w:tcPr>
            <w:tcW w:w="6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Denominator:</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8"/>
        </w:trPr>
        <w:tc>
          <w:tcPr>
            <w:tcW w:w="6020" w:type="dxa"/>
            <w:vAlign w:val="bottom"/>
          </w:tcPr>
          <w:p>
            <w:pPr>
              <w:spacing w:after="0" w:line="189" w:lineRule="exact"/>
              <w:rPr>
                <w:sz w:val="20"/>
                <w:szCs w:val="20"/>
                <w:color w:val="auto"/>
              </w:rPr>
            </w:pPr>
            <w:r>
              <w:rPr>
                <w:rFonts w:ascii="Arial" w:cs="Arial" w:eastAsia="Arial" w:hAnsi="Arial"/>
                <w:sz w:val="17"/>
                <w:szCs w:val="17"/>
                <w:color w:val="auto"/>
                <w:w w:val="92"/>
              </w:rPr>
              <w:t>Weighted-average shares used in computing net loss per share attributable to ordinary</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6020" w:type="dxa"/>
            <w:vAlign w:val="bottom"/>
          </w:tcPr>
          <w:p>
            <w:pPr>
              <w:spacing w:after="0"/>
              <w:rPr>
                <w:sz w:val="20"/>
                <w:szCs w:val="20"/>
                <w:color w:val="auto"/>
              </w:rPr>
            </w:pPr>
            <w:r>
              <w:rPr>
                <w:rFonts w:ascii="Arial" w:cs="Arial" w:eastAsia="Arial" w:hAnsi="Arial"/>
                <w:sz w:val="17"/>
                <w:szCs w:val="17"/>
                <w:color w:val="auto"/>
              </w:rPr>
              <w:t>shareholders, basic and diluted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51,763,032</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w w:val="93"/>
              </w:rPr>
              <w:t>13,217,183</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w w:val="86"/>
              </w:rPr>
              <w:t>12,011,502</w:t>
            </w:r>
          </w:p>
        </w:tc>
      </w:tr>
      <w:tr>
        <w:trPr>
          <w:trHeight w:val="221"/>
        </w:trPr>
        <w:tc>
          <w:tcPr>
            <w:tcW w:w="602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attributable to ordinary shareholders, basic and diluted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(4.15)</w:t>
            </w: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right="480"/>
        <w:spacing w:after="0" w:line="268" w:lineRule="auto"/>
        <w:rPr>
          <w:sz w:val="20"/>
          <w:szCs w:val="20"/>
          <w:color w:val="auto"/>
        </w:rPr>
      </w:pPr>
      <w:r>
        <w:rPr>
          <w:rFonts w:ascii="Arial" w:cs="Arial" w:eastAsia="Arial" w:hAnsi="Arial"/>
          <w:sz w:val="17"/>
          <w:szCs w:val="17"/>
          <w:color w:val="auto"/>
        </w:rPr>
        <w:t>The potential shares of ordinary shares that were excluded from the computation of diluted net loss per share attributable to ordinary shareholders for the periods presented because including them would have been anti-dilutive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380" w:type="dxa"/>
            <w:vAlign w:val="bottom"/>
            <w:gridSpan w:val="6"/>
          </w:tcPr>
          <w:p>
            <w:pPr>
              <w:jc w:val="right"/>
              <w:ind w:right="820"/>
              <w:spacing w:after="0"/>
              <w:rPr>
                <w:sz w:val="20"/>
                <w:szCs w:val="20"/>
                <w:color w:val="auto"/>
              </w:rPr>
            </w:pPr>
            <w:r>
              <w:rPr>
                <w:rFonts w:ascii="Arial" w:cs="Arial" w:eastAsia="Arial" w:hAnsi="Arial"/>
                <w:sz w:val="17"/>
                <w:szCs w:val="17"/>
                <w:b w:val="1"/>
                <w:bCs w:val="1"/>
                <w:color w:val="auto"/>
              </w:rPr>
              <w:t>Year ended December 31,</w:t>
            </w:r>
          </w:p>
        </w:tc>
        <w:tc>
          <w:tcPr>
            <w:tcW w:w="1080" w:type="dxa"/>
            <w:vAlign w:val="bottom"/>
          </w:tcPr>
          <w:p>
            <w:pPr>
              <w:spacing w:after="0"/>
              <w:rPr>
                <w:sz w:val="19"/>
                <w:szCs w:val="19"/>
                <w:color w:val="auto"/>
              </w:rPr>
            </w:pPr>
          </w:p>
        </w:tc>
      </w:tr>
      <w:tr>
        <w:trPr>
          <w:trHeight w:val="206"/>
        </w:trPr>
        <w:tc>
          <w:tcPr>
            <w:tcW w:w="4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2021</w:t>
            </w: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Convertible preferred shares</w:t>
            </w:r>
          </w:p>
        </w:tc>
        <w:tc>
          <w:tcPr>
            <w:tcW w:w="28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26,972,186</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58,724,580</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56,969,441</w:t>
            </w:r>
          </w:p>
        </w:tc>
        <w:tc>
          <w:tcPr>
            <w:tcW w:w="80" w:type="dxa"/>
            <w:vAlign w:val="bottom"/>
            <w:shd w:val="clear" w:color="auto" w:fill="CCEEFF"/>
          </w:tcPr>
          <w:p>
            <w:pPr>
              <w:spacing w:after="0"/>
              <w:rPr>
                <w:sz w:val="17"/>
                <w:szCs w:val="17"/>
                <w:color w:val="auto"/>
              </w:rPr>
            </w:pPr>
          </w:p>
        </w:tc>
        <w:tc>
          <w:tcPr>
            <w:tcW w:w="1080" w:type="dxa"/>
            <w:vAlign w:val="bottom"/>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RSU’s</w:t>
            </w:r>
          </w:p>
        </w:tc>
        <w:tc>
          <w:tcPr>
            <w:tcW w:w="4060" w:type="dxa"/>
            <w:vAlign w:val="bottom"/>
            <w:gridSpan w:val="3"/>
          </w:tcPr>
          <w:p>
            <w:pPr>
              <w:jc w:val="right"/>
              <w:ind w:right="200"/>
              <w:spacing w:after="0"/>
              <w:rPr>
                <w:sz w:val="20"/>
                <w:szCs w:val="20"/>
                <w:color w:val="auto"/>
              </w:rPr>
            </w:pPr>
            <w:r>
              <w:rPr>
                <w:rFonts w:ascii="Arial" w:cs="Arial" w:eastAsia="Arial" w:hAnsi="Arial"/>
                <w:sz w:val="17"/>
                <w:szCs w:val="17"/>
                <w:color w:val="auto"/>
              </w:rPr>
              <w:t>732,157</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Outstanding share options</w:t>
            </w:r>
          </w:p>
        </w:tc>
        <w:tc>
          <w:tcPr>
            <w:tcW w:w="28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14,143,816</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10,428,813</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7,566,875</w:t>
            </w:r>
          </w:p>
        </w:tc>
        <w:tc>
          <w:tcPr>
            <w:tcW w:w="1080" w:type="dxa"/>
            <w:vAlign w:val="bottom"/>
          </w:tcPr>
          <w:p>
            <w:pPr>
              <w:spacing w:after="0"/>
              <w:rPr>
                <w:sz w:val="17"/>
                <w:szCs w:val="17"/>
                <w:color w:val="auto"/>
              </w:rPr>
            </w:pPr>
          </w:p>
        </w:tc>
      </w:tr>
      <w:tr>
        <w:trPr>
          <w:trHeight w:val="25"/>
        </w:trPr>
        <w:tc>
          <w:tcPr>
            <w:tcW w:w="460" w:type="dxa"/>
            <w:vAlign w:val="bottom"/>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tcPr>
          <w:p>
            <w:pPr>
              <w:spacing w:after="0"/>
              <w:rPr>
                <w:sz w:val="2"/>
                <w:szCs w:val="2"/>
                <w:color w:val="auto"/>
              </w:rPr>
            </w:pPr>
          </w:p>
        </w:tc>
      </w:tr>
      <w:tr>
        <w:trPr>
          <w:trHeight w:val="201"/>
        </w:trPr>
        <w:tc>
          <w:tcPr>
            <w:tcW w:w="46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Total</w:t>
            </w:r>
          </w:p>
        </w:tc>
        <w:tc>
          <w:tcPr>
            <w:tcW w:w="28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41,848,159</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69,153,393</w:t>
            </w:r>
          </w:p>
        </w:tc>
        <w:tc>
          <w:tcPr>
            <w:tcW w:w="1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64,536,316</w:t>
            </w:r>
          </w:p>
        </w:tc>
        <w:tc>
          <w:tcPr>
            <w:tcW w:w="108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593"/>
        </w:trPr>
        <w:tc>
          <w:tcPr>
            <w:tcW w:w="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60" w:type="dxa"/>
            <w:vAlign w:val="bottom"/>
            <w:gridSpan w:val="3"/>
          </w:tcPr>
          <w:p>
            <w:pPr>
              <w:ind w:left="1520"/>
              <w:spacing w:after="0"/>
              <w:rPr>
                <w:sz w:val="20"/>
                <w:szCs w:val="20"/>
                <w:color w:val="auto"/>
              </w:rPr>
            </w:pPr>
            <w:r>
              <w:rPr>
                <w:rFonts w:ascii="Arial" w:cs="Arial" w:eastAsia="Arial" w:hAnsi="Arial"/>
                <w:sz w:val="17"/>
                <w:szCs w:val="17"/>
                <w:color w:val="auto"/>
              </w:rPr>
              <w:t>F - 28</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8"/>
        </w:trPr>
        <w:tc>
          <w:tcPr>
            <w:tcW w:w="460" w:type="dxa"/>
            <w:vAlign w:val="bottom"/>
            <w:tcBorders>
              <w:bottom w:val="single" w:sz="8" w:color="auto"/>
            </w:tcBorders>
          </w:tcPr>
          <w:p>
            <w:pPr>
              <w:spacing w:after="0"/>
              <w:rPr>
                <w:sz w:val="7"/>
                <w:szCs w:val="7"/>
                <w:color w:val="auto"/>
              </w:rPr>
            </w:pPr>
          </w:p>
        </w:tc>
        <w:tc>
          <w:tcPr>
            <w:tcW w:w="3440" w:type="dxa"/>
            <w:vAlign w:val="bottom"/>
            <w:tcBorders>
              <w:bottom w:val="single" w:sz="8" w:color="auto"/>
            </w:tcBorders>
          </w:tcPr>
          <w:p>
            <w:pPr>
              <w:spacing w:after="0"/>
              <w:rPr>
                <w:sz w:val="7"/>
                <w:szCs w:val="7"/>
                <w:color w:val="auto"/>
              </w:rPr>
            </w:pPr>
          </w:p>
        </w:tc>
        <w:tc>
          <w:tcPr>
            <w:tcW w:w="28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r>
      <w:tr>
        <w:trPr>
          <w:trHeight w:val="148"/>
        </w:trPr>
        <w:tc>
          <w:tcPr>
            <w:tcW w:w="46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bl>
    <w:p>
      <w:pPr>
        <w:sectPr>
          <w:pgSz w:w="11900" w:h="16838" w:orient="portrait"/>
          <w:cols w:equalWidth="0" w:num="1">
            <w:col w:w="11240"/>
          </w:cols>
          <w:pgMar w:left="320" w:top="123"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20"/>
          <w:szCs w:val="20"/>
          <w:b w:val="1"/>
          <w:bCs w:val="1"/>
          <w:u w:val="single" w:color="auto"/>
          <w:color w:val="auto"/>
        </w:rPr>
        <w:t>Exhibit 1.1</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COMPANIES LAW, 1999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 LIMITED LIABILITY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ARTICLES OF ASSOCIATION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WALKME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Adopted on June 18, 2021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PRELIMINARY</w:t>
      </w:r>
    </w:p>
    <w:p>
      <w:pPr>
        <w:spacing w:after="0" w:line="268" w:lineRule="exact"/>
        <w:rPr>
          <w:sz w:val="20"/>
          <w:szCs w:val="20"/>
          <w:color w:val="auto"/>
        </w:rPr>
      </w:pPr>
    </w:p>
    <w:p>
      <w:pPr>
        <w:ind w:left="560" w:hanging="560"/>
        <w:spacing w:after="0"/>
        <w:tabs>
          <w:tab w:leader="none" w:pos="560" w:val="left"/>
        </w:tabs>
        <w:numPr>
          <w:ilvl w:val="0"/>
          <w:numId w:val="127"/>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DEFINITIONS; INTERPRETATION</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240" w:hanging="7"/>
        <w:spacing w:after="0" w:line="290" w:lineRule="auto"/>
        <w:tabs>
          <w:tab w:leader="none" w:pos="79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In these Articles, the following terms (whether or not capitalized) shall bear the meanings set forth opposite them, respectively, unless the subject or context requires otherwise.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660" w:type="dxa"/>
            <w:vAlign w:val="bottom"/>
          </w:tcPr>
          <w:p>
            <w:pPr>
              <w:spacing w:after="0"/>
              <w:rPr>
                <w:sz w:val="20"/>
                <w:szCs w:val="20"/>
                <w:color w:val="auto"/>
              </w:rPr>
            </w:pPr>
            <w:r>
              <w:rPr>
                <w:rFonts w:ascii="Arial" w:cs="Arial" w:eastAsia="Arial" w:hAnsi="Arial"/>
                <w:sz w:val="17"/>
                <w:szCs w:val="17"/>
                <w:color w:val="auto"/>
              </w:rPr>
              <w:t>“Affiliate”</w:t>
            </w:r>
          </w:p>
        </w:tc>
        <w:tc>
          <w:tcPr>
            <w:tcW w:w="8580" w:type="dxa"/>
            <w:vAlign w:val="bottom"/>
          </w:tcPr>
          <w:p>
            <w:pPr>
              <w:ind w:left="620"/>
              <w:spacing w:after="0"/>
              <w:rPr>
                <w:sz w:val="20"/>
                <w:szCs w:val="20"/>
                <w:color w:val="auto"/>
              </w:rPr>
            </w:pPr>
            <w:r>
              <w:rPr>
                <w:rFonts w:ascii="Arial" w:cs="Arial" w:eastAsia="Arial" w:hAnsi="Arial"/>
                <w:sz w:val="17"/>
                <w:szCs w:val="17"/>
                <w:color w:val="auto"/>
                <w:w w:val="93"/>
              </w:rPr>
              <w:t>with respect to any specified person, shall mean, any other person who or which, directly or indirectly, controls, is</w:t>
            </w:r>
          </w:p>
        </w:tc>
      </w:tr>
      <w:tr>
        <w:trPr>
          <w:trHeight w:val="213"/>
        </w:trPr>
        <w:tc>
          <w:tcPr>
            <w:tcW w:w="2660" w:type="dxa"/>
            <w:vAlign w:val="bottom"/>
          </w:tcPr>
          <w:p>
            <w:pPr>
              <w:spacing w:after="0"/>
              <w:rPr>
                <w:sz w:val="18"/>
                <w:szCs w:val="18"/>
                <w:color w:val="auto"/>
              </w:rPr>
            </w:pPr>
          </w:p>
        </w:tc>
        <w:tc>
          <w:tcPr>
            <w:tcW w:w="8580" w:type="dxa"/>
            <w:vAlign w:val="bottom"/>
          </w:tcPr>
          <w:p>
            <w:pPr>
              <w:ind w:left="620"/>
              <w:spacing w:after="0"/>
              <w:rPr>
                <w:sz w:val="20"/>
                <w:szCs w:val="20"/>
                <w:color w:val="auto"/>
              </w:rPr>
            </w:pPr>
            <w:r>
              <w:rPr>
                <w:rFonts w:ascii="Arial" w:cs="Arial" w:eastAsia="Arial" w:hAnsi="Arial"/>
                <w:sz w:val="17"/>
                <w:szCs w:val="17"/>
                <w:color w:val="auto"/>
              </w:rPr>
              <w:t>controlled by, or is under common control with such specified person.</w:t>
            </w:r>
          </w:p>
        </w:tc>
      </w:tr>
      <w:tr>
        <w:trPr>
          <w:trHeight w:val="402"/>
        </w:trPr>
        <w:tc>
          <w:tcPr>
            <w:tcW w:w="2660" w:type="dxa"/>
            <w:vAlign w:val="bottom"/>
          </w:tcPr>
          <w:p>
            <w:pPr>
              <w:spacing w:after="0"/>
              <w:rPr>
                <w:sz w:val="20"/>
                <w:szCs w:val="20"/>
                <w:color w:val="auto"/>
              </w:rPr>
            </w:pPr>
            <w:r>
              <w:rPr>
                <w:rFonts w:ascii="Arial" w:cs="Arial" w:eastAsia="Arial" w:hAnsi="Arial"/>
                <w:sz w:val="17"/>
                <w:szCs w:val="17"/>
                <w:color w:val="auto"/>
              </w:rPr>
              <w:t>“Articles”</w:t>
            </w:r>
          </w:p>
        </w:tc>
        <w:tc>
          <w:tcPr>
            <w:tcW w:w="8580" w:type="dxa"/>
            <w:vAlign w:val="bottom"/>
          </w:tcPr>
          <w:p>
            <w:pPr>
              <w:ind w:left="620"/>
              <w:spacing w:after="0"/>
              <w:rPr>
                <w:sz w:val="20"/>
                <w:szCs w:val="20"/>
                <w:color w:val="auto"/>
              </w:rPr>
            </w:pPr>
            <w:r>
              <w:rPr>
                <w:rFonts w:ascii="Arial" w:cs="Arial" w:eastAsia="Arial" w:hAnsi="Arial"/>
                <w:sz w:val="17"/>
                <w:szCs w:val="17"/>
                <w:color w:val="auto"/>
              </w:rPr>
              <w:t>shall mean these Amended and Restated Articles of Association, as amended from time to time.</w:t>
            </w:r>
          </w:p>
        </w:tc>
      </w:tr>
      <w:tr>
        <w:trPr>
          <w:trHeight w:val="402"/>
        </w:trPr>
        <w:tc>
          <w:tcPr>
            <w:tcW w:w="2660" w:type="dxa"/>
            <w:vAlign w:val="bottom"/>
          </w:tcPr>
          <w:p>
            <w:pPr>
              <w:spacing w:after="0"/>
              <w:rPr>
                <w:sz w:val="20"/>
                <w:szCs w:val="20"/>
                <w:color w:val="auto"/>
              </w:rPr>
            </w:pPr>
            <w:r>
              <w:rPr>
                <w:rFonts w:ascii="Arial" w:cs="Arial" w:eastAsia="Arial" w:hAnsi="Arial"/>
                <w:sz w:val="17"/>
                <w:szCs w:val="17"/>
                <w:color w:val="auto"/>
              </w:rPr>
              <w:t>“Board of Directors”</w:t>
            </w:r>
          </w:p>
        </w:tc>
        <w:tc>
          <w:tcPr>
            <w:tcW w:w="8580" w:type="dxa"/>
            <w:vAlign w:val="bottom"/>
          </w:tcPr>
          <w:p>
            <w:pPr>
              <w:ind w:left="620"/>
              <w:spacing w:after="0"/>
              <w:rPr>
                <w:sz w:val="20"/>
                <w:szCs w:val="20"/>
                <w:color w:val="auto"/>
              </w:rPr>
            </w:pPr>
            <w:r>
              <w:rPr>
                <w:rFonts w:ascii="Arial" w:cs="Arial" w:eastAsia="Arial" w:hAnsi="Arial"/>
                <w:sz w:val="17"/>
                <w:szCs w:val="17"/>
                <w:color w:val="auto"/>
              </w:rPr>
              <w:t>shall mean the Board of Directors of the Company.</w:t>
            </w:r>
          </w:p>
        </w:tc>
      </w:tr>
      <w:tr>
        <w:trPr>
          <w:trHeight w:val="389"/>
        </w:trPr>
        <w:tc>
          <w:tcPr>
            <w:tcW w:w="2660" w:type="dxa"/>
            <w:vAlign w:val="bottom"/>
          </w:tcPr>
          <w:p>
            <w:pPr>
              <w:spacing w:after="0"/>
              <w:rPr>
                <w:sz w:val="20"/>
                <w:szCs w:val="20"/>
                <w:color w:val="auto"/>
              </w:rPr>
            </w:pPr>
            <w:r>
              <w:rPr>
                <w:rFonts w:ascii="Arial" w:cs="Arial" w:eastAsia="Arial" w:hAnsi="Arial"/>
                <w:sz w:val="17"/>
                <w:szCs w:val="17"/>
                <w:color w:val="auto"/>
              </w:rPr>
              <w:t>“Chairperson”</w:t>
            </w:r>
          </w:p>
        </w:tc>
        <w:tc>
          <w:tcPr>
            <w:tcW w:w="8580" w:type="dxa"/>
            <w:vAlign w:val="bottom"/>
          </w:tcPr>
          <w:p>
            <w:pPr>
              <w:ind w:left="620"/>
              <w:spacing w:after="0"/>
              <w:rPr>
                <w:sz w:val="20"/>
                <w:szCs w:val="20"/>
                <w:color w:val="auto"/>
              </w:rPr>
            </w:pPr>
            <w:r>
              <w:rPr>
                <w:rFonts w:ascii="Arial" w:cs="Arial" w:eastAsia="Arial" w:hAnsi="Arial"/>
                <w:sz w:val="17"/>
                <w:szCs w:val="17"/>
                <w:color w:val="auto"/>
                <w:w w:val="94"/>
              </w:rPr>
              <w:t>shall mean the Chairperson of the Board of Directors, or the Chairperson of the General Meeting, as the context</w:t>
            </w:r>
          </w:p>
        </w:tc>
      </w:tr>
      <w:tr>
        <w:trPr>
          <w:trHeight w:val="213"/>
        </w:trPr>
        <w:tc>
          <w:tcPr>
            <w:tcW w:w="2660" w:type="dxa"/>
            <w:vAlign w:val="bottom"/>
          </w:tcPr>
          <w:p>
            <w:pPr>
              <w:spacing w:after="0"/>
              <w:rPr>
                <w:sz w:val="18"/>
                <w:szCs w:val="18"/>
                <w:color w:val="auto"/>
              </w:rPr>
            </w:pPr>
          </w:p>
        </w:tc>
        <w:tc>
          <w:tcPr>
            <w:tcW w:w="8580" w:type="dxa"/>
            <w:vAlign w:val="bottom"/>
          </w:tcPr>
          <w:p>
            <w:pPr>
              <w:ind w:left="620"/>
              <w:spacing w:after="0"/>
              <w:rPr>
                <w:sz w:val="20"/>
                <w:szCs w:val="20"/>
                <w:color w:val="auto"/>
              </w:rPr>
            </w:pPr>
            <w:r>
              <w:rPr>
                <w:rFonts w:ascii="Arial" w:cs="Arial" w:eastAsia="Arial" w:hAnsi="Arial"/>
                <w:sz w:val="17"/>
                <w:szCs w:val="17"/>
                <w:color w:val="auto"/>
              </w:rPr>
              <w:t>implies;</w:t>
            </w:r>
          </w:p>
        </w:tc>
      </w:tr>
      <w:tr>
        <w:trPr>
          <w:trHeight w:val="389"/>
        </w:trPr>
        <w:tc>
          <w:tcPr>
            <w:tcW w:w="2660" w:type="dxa"/>
            <w:vAlign w:val="bottom"/>
          </w:tcPr>
          <w:p>
            <w:pPr>
              <w:spacing w:after="0"/>
              <w:rPr>
                <w:sz w:val="20"/>
                <w:szCs w:val="20"/>
                <w:color w:val="auto"/>
              </w:rPr>
            </w:pPr>
            <w:r>
              <w:rPr>
                <w:rFonts w:ascii="Arial" w:cs="Arial" w:eastAsia="Arial" w:hAnsi="Arial"/>
                <w:sz w:val="17"/>
                <w:szCs w:val="17"/>
                <w:color w:val="auto"/>
              </w:rPr>
              <w:t>“Companies Law”</w:t>
            </w:r>
          </w:p>
        </w:tc>
        <w:tc>
          <w:tcPr>
            <w:tcW w:w="8580" w:type="dxa"/>
            <w:vAlign w:val="bottom"/>
          </w:tcPr>
          <w:p>
            <w:pPr>
              <w:ind w:left="620"/>
              <w:spacing w:after="0"/>
              <w:rPr>
                <w:sz w:val="20"/>
                <w:szCs w:val="20"/>
                <w:color w:val="auto"/>
              </w:rPr>
            </w:pPr>
            <w:r>
              <w:rPr>
                <w:rFonts w:ascii="Arial" w:cs="Arial" w:eastAsia="Arial" w:hAnsi="Arial"/>
                <w:sz w:val="17"/>
                <w:szCs w:val="17"/>
                <w:color w:val="auto"/>
                <w:w w:val="90"/>
              </w:rPr>
              <w:t>shall mean the Israeli Companies Law, 5759-1999 and the regulations promulgated thereunder. The Companies Law</w:t>
            </w:r>
          </w:p>
        </w:tc>
      </w:tr>
      <w:tr>
        <w:trPr>
          <w:trHeight w:val="201"/>
        </w:trPr>
        <w:tc>
          <w:tcPr>
            <w:tcW w:w="2660" w:type="dxa"/>
            <w:vAlign w:val="bottom"/>
          </w:tcPr>
          <w:p>
            <w:pPr>
              <w:spacing w:after="0"/>
              <w:rPr>
                <w:sz w:val="17"/>
                <w:szCs w:val="17"/>
                <w:color w:val="auto"/>
              </w:rPr>
            </w:pPr>
          </w:p>
        </w:tc>
        <w:tc>
          <w:tcPr>
            <w:tcW w:w="8580" w:type="dxa"/>
            <w:vAlign w:val="bottom"/>
          </w:tcPr>
          <w:p>
            <w:pPr>
              <w:ind w:left="620"/>
              <w:spacing w:after="0"/>
              <w:rPr>
                <w:sz w:val="20"/>
                <w:szCs w:val="20"/>
                <w:color w:val="auto"/>
              </w:rPr>
            </w:pPr>
            <w:r>
              <w:rPr>
                <w:rFonts w:ascii="Arial" w:cs="Arial" w:eastAsia="Arial" w:hAnsi="Arial"/>
                <w:sz w:val="17"/>
                <w:szCs w:val="17"/>
                <w:color w:val="auto"/>
                <w:w w:val="90"/>
              </w:rPr>
              <w:t>shall include reference to the Companies Ordinance (New Version), 5743-1983, of the State of Israel, to the extent in</w:t>
            </w:r>
          </w:p>
        </w:tc>
      </w:tr>
      <w:tr>
        <w:trPr>
          <w:trHeight w:val="213"/>
        </w:trPr>
        <w:tc>
          <w:tcPr>
            <w:tcW w:w="2660" w:type="dxa"/>
            <w:vAlign w:val="bottom"/>
          </w:tcPr>
          <w:p>
            <w:pPr>
              <w:spacing w:after="0"/>
              <w:rPr>
                <w:sz w:val="18"/>
                <w:szCs w:val="18"/>
                <w:color w:val="auto"/>
              </w:rPr>
            </w:pPr>
          </w:p>
        </w:tc>
        <w:tc>
          <w:tcPr>
            <w:tcW w:w="8580" w:type="dxa"/>
            <w:vAlign w:val="bottom"/>
          </w:tcPr>
          <w:p>
            <w:pPr>
              <w:ind w:left="620"/>
              <w:spacing w:after="0"/>
              <w:rPr>
                <w:sz w:val="20"/>
                <w:szCs w:val="20"/>
                <w:color w:val="auto"/>
              </w:rPr>
            </w:pPr>
            <w:r>
              <w:rPr>
                <w:rFonts w:ascii="Arial" w:cs="Arial" w:eastAsia="Arial" w:hAnsi="Arial"/>
                <w:sz w:val="17"/>
                <w:szCs w:val="17"/>
                <w:color w:val="auto"/>
              </w:rPr>
              <w:t>effect according to the provisions thereof.</w:t>
            </w:r>
          </w:p>
        </w:tc>
      </w:tr>
      <w:tr>
        <w:trPr>
          <w:trHeight w:val="402"/>
        </w:trPr>
        <w:tc>
          <w:tcPr>
            <w:tcW w:w="2660" w:type="dxa"/>
            <w:vAlign w:val="bottom"/>
          </w:tcPr>
          <w:p>
            <w:pPr>
              <w:spacing w:after="0"/>
              <w:rPr>
                <w:sz w:val="20"/>
                <w:szCs w:val="20"/>
                <w:color w:val="auto"/>
              </w:rPr>
            </w:pPr>
            <w:r>
              <w:rPr>
                <w:rFonts w:ascii="Arial" w:cs="Arial" w:eastAsia="Arial" w:hAnsi="Arial"/>
                <w:sz w:val="17"/>
                <w:szCs w:val="17"/>
                <w:color w:val="auto"/>
              </w:rPr>
              <w:t>“Company”</w:t>
            </w:r>
          </w:p>
        </w:tc>
        <w:tc>
          <w:tcPr>
            <w:tcW w:w="8580" w:type="dxa"/>
            <w:vAlign w:val="bottom"/>
          </w:tcPr>
          <w:p>
            <w:pPr>
              <w:ind w:left="620"/>
              <w:spacing w:after="0"/>
              <w:rPr>
                <w:sz w:val="20"/>
                <w:szCs w:val="20"/>
                <w:color w:val="auto"/>
              </w:rPr>
            </w:pPr>
            <w:r>
              <w:rPr>
                <w:rFonts w:ascii="Arial" w:cs="Arial" w:eastAsia="Arial" w:hAnsi="Arial"/>
                <w:sz w:val="17"/>
                <w:szCs w:val="17"/>
                <w:color w:val="auto"/>
              </w:rPr>
              <w:t>shall mean WalkMe Ltd.</w:t>
            </w:r>
          </w:p>
        </w:tc>
      </w:tr>
      <w:tr>
        <w:trPr>
          <w:trHeight w:val="402"/>
        </w:trPr>
        <w:tc>
          <w:tcPr>
            <w:tcW w:w="2660" w:type="dxa"/>
            <w:vAlign w:val="bottom"/>
          </w:tcPr>
          <w:p>
            <w:pPr>
              <w:spacing w:after="0"/>
              <w:rPr>
                <w:sz w:val="20"/>
                <w:szCs w:val="20"/>
                <w:color w:val="auto"/>
              </w:rPr>
            </w:pPr>
            <w:r>
              <w:rPr>
                <w:rFonts w:ascii="Arial" w:cs="Arial" w:eastAsia="Arial" w:hAnsi="Arial"/>
                <w:sz w:val="17"/>
                <w:szCs w:val="17"/>
                <w:color w:val="auto"/>
              </w:rPr>
              <w:t>“Director(s)”</w:t>
            </w:r>
          </w:p>
        </w:tc>
        <w:tc>
          <w:tcPr>
            <w:tcW w:w="8580" w:type="dxa"/>
            <w:vAlign w:val="bottom"/>
          </w:tcPr>
          <w:p>
            <w:pPr>
              <w:ind w:left="620"/>
              <w:spacing w:after="0"/>
              <w:rPr>
                <w:sz w:val="20"/>
                <w:szCs w:val="20"/>
                <w:color w:val="auto"/>
              </w:rPr>
            </w:pPr>
            <w:r>
              <w:rPr>
                <w:rFonts w:ascii="Arial" w:cs="Arial" w:eastAsia="Arial" w:hAnsi="Arial"/>
                <w:sz w:val="17"/>
                <w:szCs w:val="17"/>
                <w:color w:val="auto"/>
              </w:rPr>
              <w:t>shall mean the member(s) of the Board of Directors holding office at a given time.</w:t>
            </w:r>
          </w:p>
        </w:tc>
      </w:tr>
      <w:tr>
        <w:trPr>
          <w:trHeight w:val="402"/>
        </w:trPr>
        <w:tc>
          <w:tcPr>
            <w:tcW w:w="2660" w:type="dxa"/>
            <w:vAlign w:val="bottom"/>
          </w:tcPr>
          <w:p>
            <w:pPr>
              <w:spacing w:after="0"/>
              <w:rPr>
                <w:sz w:val="20"/>
                <w:szCs w:val="20"/>
                <w:color w:val="auto"/>
              </w:rPr>
            </w:pPr>
            <w:r>
              <w:rPr>
                <w:rFonts w:ascii="Arial" w:cs="Arial" w:eastAsia="Arial" w:hAnsi="Arial"/>
                <w:sz w:val="17"/>
                <w:szCs w:val="17"/>
                <w:color w:val="auto"/>
              </w:rPr>
              <w:t>“Economic Competition Law”</w:t>
            </w:r>
          </w:p>
        </w:tc>
        <w:tc>
          <w:tcPr>
            <w:tcW w:w="8580" w:type="dxa"/>
            <w:vAlign w:val="bottom"/>
          </w:tcPr>
          <w:p>
            <w:pPr>
              <w:ind w:left="620"/>
              <w:spacing w:after="0"/>
              <w:rPr>
                <w:sz w:val="20"/>
                <w:szCs w:val="20"/>
                <w:color w:val="auto"/>
              </w:rPr>
            </w:pPr>
            <w:r>
              <w:rPr>
                <w:rFonts w:ascii="Arial" w:cs="Arial" w:eastAsia="Arial" w:hAnsi="Arial"/>
                <w:sz w:val="17"/>
                <w:szCs w:val="17"/>
                <w:color w:val="auto"/>
                <w:w w:val="98"/>
              </w:rPr>
              <w:t>shall mean the Israeli Economic Competition Law, 5758-1988 and the regulations promulgated thereunder.</w:t>
            </w:r>
          </w:p>
        </w:tc>
      </w:tr>
      <w:tr>
        <w:trPr>
          <w:trHeight w:val="402"/>
        </w:trPr>
        <w:tc>
          <w:tcPr>
            <w:tcW w:w="2660" w:type="dxa"/>
            <w:vAlign w:val="bottom"/>
          </w:tcPr>
          <w:p>
            <w:pPr>
              <w:spacing w:after="0"/>
              <w:rPr>
                <w:sz w:val="20"/>
                <w:szCs w:val="20"/>
                <w:color w:val="auto"/>
              </w:rPr>
            </w:pPr>
            <w:r>
              <w:rPr>
                <w:rFonts w:ascii="Arial" w:cs="Arial" w:eastAsia="Arial" w:hAnsi="Arial"/>
                <w:sz w:val="17"/>
                <w:szCs w:val="17"/>
                <w:color w:val="auto"/>
              </w:rPr>
              <w:t>“External Director(s)”</w:t>
            </w:r>
          </w:p>
        </w:tc>
        <w:tc>
          <w:tcPr>
            <w:tcW w:w="8580" w:type="dxa"/>
            <w:vAlign w:val="bottom"/>
          </w:tcPr>
          <w:p>
            <w:pPr>
              <w:ind w:left="620"/>
              <w:spacing w:after="0"/>
              <w:rPr>
                <w:sz w:val="20"/>
                <w:szCs w:val="20"/>
                <w:color w:val="auto"/>
              </w:rPr>
            </w:pPr>
            <w:r>
              <w:rPr>
                <w:rFonts w:ascii="Arial" w:cs="Arial" w:eastAsia="Arial" w:hAnsi="Arial"/>
                <w:sz w:val="17"/>
                <w:szCs w:val="17"/>
                <w:color w:val="auto"/>
              </w:rPr>
              <w:t>shall have the meaning provided for such term in the Companies Law.</w:t>
            </w:r>
          </w:p>
        </w:tc>
      </w:tr>
      <w:tr>
        <w:trPr>
          <w:trHeight w:val="389"/>
        </w:trPr>
        <w:tc>
          <w:tcPr>
            <w:tcW w:w="2660" w:type="dxa"/>
            <w:vAlign w:val="bottom"/>
          </w:tcPr>
          <w:p>
            <w:pPr>
              <w:spacing w:after="0"/>
              <w:rPr>
                <w:sz w:val="20"/>
                <w:szCs w:val="20"/>
                <w:color w:val="auto"/>
              </w:rPr>
            </w:pPr>
            <w:r>
              <w:rPr>
                <w:rFonts w:ascii="Arial" w:cs="Arial" w:eastAsia="Arial" w:hAnsi="Arial"/>
                <w:sz w:val="17"/>
                <w:szCs w:val="17"/>
                <w:color w:val="auto"/>
              </w:rPr>
              <w:t>“General Meeting”</w:t>
            </w:r>
          </w:p>
        </w:tc>
        <w:tc>
          <w:tcPr>
            <w:tcW w:w="8580" w:type="dxa"/>
            <w:vAlign w:val="bottom"/>
          </w:tcPr>
          <w:p>
            <w:pPr>
              <w:ind w:left="620"/>
              <w:spacing w:after="0"/>
              <w:rPr>
                <w:sz w:val="20"/>
                <w:szCs w:val="20"/>
                <w:color w:val="auto"/>
              </w:rPr>
            </w:pPr>
            <w:r>
              <w:rPr>
                <w:rFonts w:ascii="Arial" w:cs="Arial" w:eastAsia="Arial" w:hAnsi="Arial"/>
                <w:sz w:val="17"/>
                <w:szCs w:val="17"/>
                <w:color w:val="auto"/>
                <w:w w:val="90"/>
              </w:rPr>
              <w:t>shall mean an Annual General Meeting or Special General Meeting of the Shareholders (each as defined in Article 23</w:t>
            </w:r>
          </w:p>
        </w:tc>
      </w:tr>
      <w:tr>
        <w:trPr>
          <w:trHeight w:val="213"/>
        </w:trPr>
        <w:tc>
          <w:tcPr>
            <w:tcW w:w="2660" w:type="dxa"/>
            <w:vAlign w:val="bottom"/>
          </w:tcPr>
          <w:p>
            <w:pPr>
              <w:spacing w:after="0"/>
              <w:rPr>
                <w:sz w:val="18"/>
                <w:szCs w:val="18"/>
                <w:color w:val="auto"/>
              </w:rPr>
            </w:pPr>
          </w:p>
        </w:tc>
        <w:tc>
          <w:tcPr>
            <w:tcW w:w="8580" w:type="dxa"/>
            <w:vAlign w:val="bottom"/>
          </w:tcPr>
          <w:p>
            <w:pPr>
              <w:ind w:left="620"/>
              <w:spacing w:after="0"/>
              <w:rPr>
                <w:sz w:val="20"/>
                <w:szCs w:val="20"/>
                <w:color w:val="auto"/>
              </w:rPr>
            </w:pPr>
            <w:r>
              <w:rPr>
                <w:rFonts w:ascii="Arial" w:cs="Arial" w:eastAsia="Arial" w:hAnsi="Arial"/>
                <w:sz w:val="17"/>
                <w:szCs w:val="17"/>
                <w:color w:val="auto"/>
              </w:rPr>
              <w:t>of these Articles), as the case may be.</w:t>
            </w:r>
          </w:p>
        </w:tc>
      </w:tr>
      <w:tr>
        <w:trPr>
          <w:trHeight w:val="402"/>
        </w:trPr>
        <w:tc>
          <w:tcPr>
            <w:tcW w:w="2660" w:type="dxa"/>
            <w:vAlign w:val="bottom"/>
          </w:tcPr>
          <w:p>
            <w:pPr>
              <w:spacing w:after="0"/>
              <w:rPr>
                <w:sz w:val="20"/>
                <w:szCs w:val="20"/>
                <w:color w:val="auto"/>
              </w:rPr>
            </w:pPr>
            <w:r>
              <w:rPr>
                <w:rFonts w:ascii="Arial" w:cs="Arial" w:eastAsia="Arial" w:hAnsi="Arial"/>
                <w:sz w:val="17"/>
                <w:szCs w:val="17"/>
                <w:color w:val="auto"/>
              </w:rPr>
              <w:t>“NIS”</w:t>
            </w:r>
          </w:p>
        </w:tc>
        <w:tc>
          <w:tcPr>
            <w:tcW w:w="8580" w:type="dxa"/>
            <w:vAlign w:val="bottom"/>
          </w:tcPr>
          <w:p>
            <w:pPr>
              <w:ind w:left="620"/>
              <w:spacing w:after="0"/>
              <w:rPr>
                <w:sz w:val="20"/>
                <w:szCs w:val="20"/>
                <w:color w:val="auto"/>
              </w:rPr>
            </w:pPr>
            <w:r>
              <w:rPr>
                <w:rFonts w:ascii="Arial" w:cs="Arial" w:eastAsia="Arial" w:hAnsi="Arial"/>
                <w:sz w:val="17"/>
                <w:szCs w:val="17"/>
                <w:color w:val="auto"/>
              </w:rPr>
              <w:t>shall mean New Israeli Shekels.</w:t>
            </w:r>
          </w:p>
        </w:tc>
      </w:tr>
      <w:tr>
        <w:trPr>
          <w:trHeight w:val="402"/>
        </w:trPr>
        <w:tc>
          <w:tcPr>
            <w:tcW w:w="2660" w:type="dxa"/>
            <w:vAlign w:val="bottom"/>
          </w:tcPr>
          <w:p>
            <w:pPr>
              <w:spacing w:after="0"/>
              <w:rPr>
                <w:sz w:val="20"/>
                <w:szCs w:val="20"/>
                <w:color w:val="auto"/>
              </w:rPr>
            </w:pPr>
            <w:r>
              <w:rPr>
                <w:rFonts w:ascii="Arial" w:cs="Arial" w:eastAsia="Arial" w:hAnsi="Arial"/>
                <w:sz w:val="17"/>
                <w:szCs w:val="17"/>
                <w:color w:val="auto"/>
              </w:rPr>
              <w:t>“Office”</w:t>
            </w:r>
          </w:p>
        </w:tc>
        <w:tc>
          <w:tcPr>
            <w:tcW w:w="8580" w:type="dxa"/>
            <w:vAlign w:val="bottom"/>
          </w:tcPr>
          <w:p>
            <w:pPr>
              <w:ind w:left="620"/>
              <w:spacing w:after="0"/>
              <w:rPr>
                <w:sz w:val="20"/>
                <w:szCs w:val="20"/>
                <w:color w:val="auto"/>
              </w:rPr>
            </w:pPr>
            <w:r>
              <w:rPr>
                <w:rFonts w:ascii="Arial" w:cs="Arial" w:eastAsia="Arial" w:hAnsi="Arial"/>
                <w:sz w:val="17"/>
                <w:szCs w:val="17"/>
                <w:color w:val="auto"/>
              </w:rPr>
              <w:t>shall mean the registered office of the Company at any given time.</w:t>
            </w:r>
          </w:p>
        </w:tc>
      </w:tr>
      <w:tr>
        <w:trPr>
          <w:trHeight w:val="402"/>
        </w:trPr>
        <w:tc>
          <w:tcPr>
            <w:tcW w:w="2660" w:type="dxa"/>
            <w:vAlign w:val="bottom"/>
          </w:tcPr>
          <w:p>
            <w:pPr>
              <w:spacing w:after="0"/>
              <w:rPr>
                <w:sz w:val="20"/>
                <w:szCs w:val="20"/>
                <w:color w:val="auto"/>
              </w:rPr>
            </w:pPr>
            <w:r>
              <w:rPr>
                <w:rFonts w:ascii="Arial" w:cs="Arial" w:eastAsia="Arial" w:hAnsi="Arial"/>
                <w:sz w:val="17"/>
                <w:szCs w:val="17"/>
                <w:color w:val="auto"/>
              </w:rPr>
              <w:t>“Office Holder” or “Officer”</w:t>
            </w:r>
          </w:p>
        </w:tc>
        <w:tc>
          <w:tcPr>
            <w:tcW w:w="8580" w:type="dxa"/>
            <w:vAlign w:val="bottom"/>
          </w:tcPr>
          <w:p>
            <w:pPr>
              <w:ind w:left="620"/>
              <w:spacing w:after="0"/>
              <w:rPr>
                <w:sz w:val="20"/>
                <w:szCs w:val="20"/>
                <w:color w:val="auto"/>
              </w:rPr>
            </w:pPr>
            <w:r>
              <w:rPr>
                <w:rFonts w:ascii="Arial" w:cs="Arial" w:eastAsia="Arial" w:hAnsi="Arial"/>
                <w:sz w:val="17"/>
                <w:szCs w:val="17"/>
                <w:color w:val="auto"/>
              </w:rPr>
              <w:t>shall have the meaning provided for such term in the Companies Law.</w:t>
            </w:r>
          </w:p>
        </w:tc>
      </w:tr>
      <w:tr>
        <w:trPr>
          <w:trHeight w:val="402"/>
        </w:trPr>
        <w:tc>
          <w:tcPr>
            <w:tcW w:w="2660" w:type="dxa"/>
            <w:vAlign w:val="bottom"/>
          </w:tcPr>
          <w:p>
            <w:pPr>
              <w:spacing w:after="0"/>
              <w:rPr>
                <w:sz w:val="20"/>
                <w:szCs w:val="20"/>
                <w:color w:val="auto"/>
              </w:rPr>
            </w:pPr>
            <w:r>
              <w:rPr>
                <w:rFonts w:ascii="Arial" w:cs="Arial" w:eastAsia="Arial" w:hAnsi="Arial"/>
                <w:sz w:val="17"/>
                <w:szCs w:val="17"/>
                <w:color w:val="auto"/>
              </w:rPr>
              <w:t>“Securities Law”</w:t>
            </w:r>
          </w:p>
        </w:tc>
        <w:tc>
          <w:tcPr>
            <w:tcW w:w="8580" w:type="dxa"/>
            <w:vAlign w:val="bottom"/>
          </w:tcPr>
          <w:p>
            <w:pPr>
              <w:ind w:left="620"/>
              <w:spacing w:after="0"/>
              <w:rPr>
                <w:sz w:val="20"/>
                <w:szCs w:val="20"/>
                <w:color w:val="auto"/>
              </w:rPr>
            </w:pPr>
            <w:r>
              <w:rPr>
                <w:rFonts w:ascii="Arial" w:cs="Arial" w:eastAsia="Arial" w:hAnsi="Arial"/>
                <w:sz w:val="17"/>
                <w:szCs w:val="17"/>
                <w:color w:val="auto"/>
              </w:rPr>
              <w:t>shall mean the Israeli Securities Law, 5728-1968, and the regulations promulgated thereunder.</w:t>
            </w:r>
          </w:p>
        </w:tc>
      </w:tr>
      <w:tr>
        <w:trPr>
          <w:trHeight w:val="402"/>
        </w:trPr>
        <w:tc>
          <w:tcPr>
            <w:tcW w:w="2660" w:type="dxa"/>
            <w:vAlign w:val="bottom"/>
          </w:tcPr>
          <w:p>
            <w:pPr>
              <w:spacing w:after="0"/>
              <w:rPr>
                <w:sz w:val="20"/>
                <w:szCs w:val="20"/>
                <w:color w:val="auto"/>
              </w:rPr>
            </w:pPr>
            <w:r>
              <w:rPr>
                <w:rFonts w:ascii="Arial" w:cs="Arial" w:eastAsia="Arial" w:hAnsi="Arial"/>
                <w:sz w:val="17"/>
                <w:szCs w:val="17"/>
                <w:color w:val="auto"/>
              </w:rPr>
              <w:t>“Shareholder(s)”</w:t>
            </w:r>
          </w:p>
        </w:tc>
        <w:tc>
          <w:tcPr>
            <w:tcW w:w="8580" w:type="dxa"/>
            <w:vAlign w:val="bottom"/>
          </w:tcPr>
          <w:p>
            <w:pPr>
              <w:ind w:left="620"/>
              <w:spacing w:after="0"/>
              <w:rPr>
                <w:sz w:val="20"/>
                <w:szCs w:val="20"/>
                <w:color w:val="auto"/>
              </w:rPr>
            </w:pPr>
            <w:r>
              <w:rPr>
                <w:rFonts w:ascii="Arial" w:cs="Arial" w:eastAsia="Arial" w:hAnsi="Arial"/>
                <w:sz w:val="17"/>
                <w:szCs w:val="17"/>
                <w:color w:val="auto"/>
              </w:rPr>
              <w:t>shall mean the shareholder(s) of the Company, at any given time.</w:t>
            </w:r>
          </w:p>
        </w:tc>
      </w:tr>
      <w:tr>
        <w:trPr>
          <w:trHeight w:val="389"/>
        </w:trPr>
        <w:tc>
          <w:tcPr>
            <w:tcW w:w="2660" w:type="dxa"/>
            <w:vAlign w:val="bottom"/>
          </w:tcPr>
          <w:p>
            <w:pPr>
              <w:spacing w:after="0"/>
              <w:rPr>
                <w:sz w:val="24"/>
                <w:szCs w:val="24"/>
                <w:color w:val="auto"/>
              </w:rPr>
            </w:pPr>
          </w:p>
        </w:tc>
        <w:tc>
          <w:tcPr>
            <w:tcW w:w="8580" w:type="dxa"/>
            <w:vAlign w:val="bottom"/>
          </w:tcPr>
          <w:p>
            <w:pPr>
              <w:ind w:left="620"/>
              <w:spacing w:after="0"/>
              <w:rPr>
                <w:sz w:val="20"/>
                <w:szCs w:val="20"/>
                <w:color w:val="auto"/>
              </w:rPr>
            </w:pPr>
            <w:r>
              <w:rPr>
                <w:rFonts w:ascii="Arial" w:cs="Arial" w:eastAsia="Arial" w:hAnsi="Arial"/>
                <w:sz w:val="17"/>
                <w:szCs w:val="17"/>
                <w:color w:val="auto"/>
                <w:w w:val="91"/>
              </w:rPr>
              <w:t>shall mean the Nasdaq Stock Market or on any other stock exchange on which the Company’s Ordinary Shares are</w:t>
            </w:r>
          </w:p>
        </w:tc>
      </w:tr>
      <w:tr>
        <w:trPr>
          <w:trHeight w:val="213"/>
        </w:trPr>
        <w:tc>
          <w:tcPr>
            <w:tcW w:w="2660" w:type="dxa"/>
            <w:vAlign w:val="bottom"/>
          </w:tcPr>
          <w:p>
            <w:pPr>
              <w:spacing w:after="0"/>
              <w:rPr>
                <w:sz w:val="20"/>
                <w:szCs w:val="20"/>
                <w:color w:val="auto"/>
              </w:rPr>
            </w:pPr>
            <w:r>
              <w:rPr>
                <w:rFonts w:ascii="Arial" w:cs="Arial" w:eastAsia="Arial" w:hAnsi="Arial"/>
                <w:sz w:val="17"/>
                <w:szCs w:val="17"/>
                <w:color w:val="auto"/>
              </w:rPr>
              <w:t>“Stock Exchange”</w:t>
            </w:r>
          </w:p>
        </w:tc>
        <w:tc>
          <w:tcPr>
            <w:tcW w:w="8580" w:type="dxa"/>
            <w:vAlign w:val="bottom"/>
          </w:tcPr>
          <w:p>
            <w:pPr>
              <w:ind w:left="620"/>
              <w:spacing w:after="0"/>
              <w:rPr>
                <w:sz w:val="20"/>
                <w:szCs w:val="20"/>
                <w:color w:val="auto"/>
              </w:rPr>
            </w:pPr>
            <w:r>
              <w:rPr>
                <w:rFonts w:ascii="Arial" w:cs="Arial" w:eastAsia="Arial" w:hAnsi="Arial"/>
                <w:sz w:val="17"/>
                <w:szCs w:val="17"/>
                <w:color w:val="auto"/>
              </w:rPr>
              <w:t>then listed for trading.</w:t>
            </w:r>
          </w:p>
        </w:tc>
      </w:tr>
      <w:tr>
        <w:trPr>
          <w:trHeight w:val="645"/>
        </w:trPr>
        <w:tc>
          <w:tcPr>
            <w:tcW w:w="266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7" w:right="339" w:bottom="1440" w:gutter="0" w:footer="0" w:header="0"/>
        </w:sectPr>
      </w:pPr>
    </w:p>
    <w:bookmarkStart w:id="174" w:name="page175"/>
    <w:bookmarkEnd w:id="174"/>
    <w:p>
      <w:pPr>
        <w:ind w:left="520" w:hanging="7"/>
        <w:spacing w:after="0" w:line="294" w:lineRule="auto"/>
        <w:tabs>
          <w:tab w:leader="none" w:pos="80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Unless the context shall otherwise require: words in the singular shall also include the plural, and vice versa; any pronoun shall include the corresponding masculine, feminine and neuter forms; the words “include”, “includes” and “including” shall be deemed to be followed by the phrase “without limitation”; the words “herein”, “hereof” and “hereunder” and words of similar import refer to these Articles in their entirety and not to any part hereof; all references herein to Articles or clauses shall be deemed references to Articles or clauses of these Articles; any references to any agreement or other instrument or law, statute or regulation are to it as amended, supplemented or restated, from time to time (and, in the case of any law, to any successor provisions or re-enactment or modification thereof being in force at the time); any reference to “law” shall include any law (‘</w:t>
      </w:r>
      <w:r>
        <w:rPr>
          <w:rFonts w:ascii="Arial" w:cs="Arial" w:eastAsia="Arial" w:hAnsi="Arial"/>
          <w:sz w:val="18"/>
          <w:szCs w:val="18"/>
          <w:i w:val="1"/>
          <w:iCs w:val="1"/>
          <w:color w:val="auto"/>
        </w:rPr>
        <w:t>din</w:t>
      </w:r>
      <w:r>
        <w:rPr>
          <w:rFonts w:ascii="Arial" w:cs="Arial" w:eastAsia="Arial" w:hAnsi="Arial"/>
          <w:sz w:val="18"/>
          <w:szCs w:val="18"/>
          <w:color w:val="auto"/>
        </w:rPr>
        <w:t>’) as defined in the Interpretation Law, 5741-1981 and any applicable supranational, national, federal, state, local, or foreign statute or law and shall be deemed also to refer to all rules and regulations promulgated thereunder; any reference to a “day” or a number of “days” (without any explicit reference otherwise, such as to business days) shall be interpreted as a reference to a calendar day or number of calendar days; any reference to a business day shall mean each calendar day other than any calendar day on which commercial banks in New York, New York or Tel-Aviv, Israel are authorized or required by applicable law to close; reference to a month or year means according to the Gregorian calendar; any reference to a “person” shall mean any individual, partnership, corporation, limited liability company, association, estate, any political, governmental, regulatory or similar agency or body, or other legal entity; and reference to “written” or “in writing” shall include written, printed, photocopied, typed, any electronic communication (including email, facsimile, signed electronically (in Adobe PDF, DocuSign or any other format)) or produced by any visible substitute for writing, or partly one and partly another, and signed shall be construed accordingly.</w:t>
      </w:r>
    </w:p>
    <w:p>
      <w:pPr>
        <w:spacing w:after="0" w:line="208" w:lineRule="exact"/>
        <w:rPr>
          <w:rFonts w:ascii="Arial" w:cs="Arial" w:eastAsia="Arial" w:hAnsi="Arial"/>
          <w:sz w:val="18"/>
          <w:szCs w:val="18"/>
          <w:color w:val="auto"/>
        </w:rPr>
      </w:pPr>
    </w:p>
    <w:p>
      <w:pPr>
        <w:ind w:left="520" w:right="680" w:hanging="7"/>
        <w:spacing w:after="0" w:line="290" w:lineRule="auto"/>
        <w:tabs>
          <w:tab w:leader="none" w:pos="793" w:val="left"/>
        </w:tabs>
        <w:numPr>
          <w:ilvl w:val="1"/>
          <w:numId w:val="129"/>
        </w:numPr>
        <w:rPr>
          <w:rFonts w:ascii="Arial" w:cs="Arial" w:eastAsia="Arial" w:hAnsi="Arial"/>
          <w:sz w:val="20"/>
          <w:szCs w:val="20"/>
          <w:color w:val="auto"/>
        </w:rPr>
      </w:pPr>
      <w:r>
        <w:rPr>
          <w:rFonts w:ascii="Arial" w:cs="Arial" w:eastAsia="Arial" w:hAnsi="Arial"/>
          <w:sz w:val="20"/>
          <w:szCs w:val="20"/>
          <w:color w:val="auto"/>
        </w:rPr>
        <w:t>The captions in these Articles are for convenience only and shall not be deemed a part hereof or affect the construction or interpretation of any provision hereof.</w:t>
      </w:r>
    </w:p>
    <w:p>
      <w:pPr>
        <w:spacing w:after="0" w:line="197" w:lineRule="exact"/>
        <w:rPr>
          <w:rFonts w:ascii="Arial" w:cs="Arial" w:eastAsia="Arial" w:hAnsi="Arial"/>
          <w:sz w:val="20"/>
          <w:szCs w:val="20"/>
          <w:color w:val="auto"/>
        </w:rPr>
      </w:pPr>
    </w:p>
    <w:p>
      <w:pPr>
        <w:ind w:left="800" w:hanging="287"/>
        <w:spacing w:after="0"/>
        <w:tabs>
          <w:tab w:leader="none" w:pos="8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specific provisions of these Articles shall supersede the provisions of the Companies Law to the extent permitted thereunder.</w:t>
      </w:r>
    </w:p>
    <w:p>
      <w:pPr>
        <w:spacing w:after="0" w:line="291" w:lineRule="exact"/>
        <w:rPr>
          <w:rFonts w:ascii="Arial" w:cs="Arial" w:eastAsia="Arial" w:hAnsi="Arial"/>
          <w:sz w:val="18"/>
          <w:szCs w:val="18"/>
          <w:color w:val="auto"/>
        </w:rPr>
      </w:pPr>
    </w:p>
    <w:p>
      <w:pPr>
        <w:ind w:left="4620"/>
        <w:spacing w:after="0"/>
        <w:rPr>
          <w:rFonts w:ascii="Arial" w:cs="Arial" w:eastAsia="Arial" w:hAnsi="Arial"/>
          <w:sz w:val="18"/>
          <w:szCs w:val="18"/>
          <w:color w:val="auto"/>
        </w:rPr>
      </w:pPr>
      <w:r>
        <w:rPr>
          <w:rFonts w:ascii="Arial" w:cs="Arial" w:eastAsia="Arial" w:hAnsi="Arial"/>
          <w:sz w:val="20"/>
          <w:szCs w:val="20"/>
          <w:b w:val="1"/>
          <w:bCs w:val="1"/>
          <w:color w:val="auto"/>
        </w:rPr>
        <w:t>LIMITED LIABILITY</w:t>
      </w:r>
    </w:p>
    <w:p>
      <w:pPr>
        <w:spacing w:after="0" w:line="272" w:lineRule="exact"/>
        <w:rPr>
          <w:rFonts w:ascii="Arial" w:cs="Arial" w:eastAsia="Arial" w:hAnsi="Arial"/>
          <w:sz w:val="18"/>
          <w:szCs w:val="18"/>
          <w:color w:val="auto"/>
        </w:rPr>
      </w:pPr>
    </w:p>
    <w:p>
      <w:pPr>
        <w:jc w:val="both"/>
        <w:ind w:left="560" w:right="200" w:hanging="560"/>
        <w:spacing w:after="0" w:line="257" w:lineRule="auto"/>
        <w:tabs>
          <w:tab w:leader="none" w:pos="5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Company is a limited liability company and each Shareholder’s liability for the Company’s debt is therefore limited (in addition to any liabilities under any contract) to the payment of the full amount (par value (if any) and premium) such Shareholder was required to pay the Company for such Shareholder’s Shares (as defined below) and which amount has not yet been paid by such Shareholder.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COMPANY’S OBJECTIVES</w:t>
      </w:r>
    </w:p>
    <w:p>
      <w:pPr>
        <w:spacing w:after="0" w:line="268" w:lineRule="exact"/>
        <w:rPr>
          <w:sz w:val="20"/>
          <w:szCs w:val="20"/>
          <w:color w:val="auto"/>
        </w:rPr>
      </w:pPr>
    </w:p>
    <w:p>
      <w:pPr>
        <w:ind w:left="560" w:hanging="560"/>
        <w:spacing w:after="0"/>
        <w:tabs>
          <w:tab w:leader="none" w:pos="560" w:val="left"/>
        </w:tabs>
        <w:numPr>
          <w:ilvl w:val="0"/>
          <w:numId w:val="131"/>
        </w:numPr>
        <w:rPr>
          <w:rFonts w:ascii="Arial" w:cs="Arial" w:eastAsia="Arial" w:hAnsi="Arial"/>
          <w:sz w:val="17"/>
          <w:szCs w:val="17"/>
          <w:color w:val="auto"/>
        </w:rPr>
      </w:pPr>
      <w:r>
        <w:rPr>
          <w:rFonts w:ascii="Arial" w:cs="Arial" w:eastAsia="Arial" w:hAnsi="Arial"/>
          <w:sz w:val="17"/>
          <w:szCs w:val="17"/>
          <w:b w:val="1"/>
          <w:bCs w:val="1"/>
          <w:u w:val="single" w:color="auto"/>
          <w:color w:val="auto"/>
        </w:rPr>
        <w:t>OBJECTIVES</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20"/>
          <w:szCs w:val="20"/>
          <w:color w:val="auto"/>
        </w:rPr>
        <w:t>The Company’s objectives are to carry on any business, and do any act, which is not prohibited by law.</w:t>
      </w:r>
    </w:p>
    <w:p>
      <w:pPr>
        <w:spacing w:after="0" w:line="264" w:lineRule="exact"/>
        <w:rPr>
          <w:sz w:val="20"/>
          <w:szCs w:val="20"/>
          <w:color w:val="auto"/>
        </w:rPr>
      </w:pPr>
    </w:p>
    <w:p>
      <w:pPr>
        <w:ind w:left="560" w:hanging="560"/>
        <w:spacing w:after="0"/>
        <w:tabs>
          <w:tab w:leader="none" w:pos="560" w:val="left"/>
        </w:tabs>
        <w:numPr>
          <w:ilvl w:val="0"/>
          <w:numId w:val="132"/>
        </w:numPr>
        <w:rPr>
          <w:rFonts w:ascii="Arial" w:cs="Arial" w:eastAsia="Arial" w:hAnsi="Arial"/>
          <w:sz w:val="17"/>
          <w:szCs w:val="17"/>
          <w:color w:val="auto"/>
        </w:rPr>
      </w:pPr>
      <w:r>
        <w:rPr>
          <w:rFonts w:ascii="Arial" w:cs="Arial" w:eastAsia="Arial" w:hAnsi="Arial"/>
          <w:sz w:val="17"/>
          <w:szCs w:val="17"/>
          <w:b w:val="1"/>
          <w:bCs w:val="1"/>
          <w:u w:val="single" w:color="auto"/>
          <w:color w:val="auto"/>
        </w:rPr>
        <w:t>DONATIONS</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200"/>
        <w:spacing w:after="0" w:line="276" w:lineRule="auto"/>
        <w:rPr>
          <w:sz w:val="20"/>
          <w:szCs w:val="20"/>
          <w:color w:val="auto"/>
        </w:rPr>
      </w:pPr>
      <w:r>
        <w:rPr>
          <w:rFonts w:ascii="Arial" w:cs="Arial" w:eastAsia="Arial" w:hAnsi="Arial"/>
          <w:sz w:val="20"/>
          <w:szCs w:val="20"/>
          <w:color w:val="auto"/>
        </w:rPr>
        <w:t>The Company may donate a reasonable amount of money (in cash or in kind, including the Company’s securities) to worthy purposes such as the Board of Directors may determine in its discretion, even if such donations are not made on the basis or within the scope of business considerations of the Company.</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SHARE CAPITAL</w:t>
      </w:r>
    </w:p>
    <w:p>
      <w:pPr>
        <w:spacing w:after="0" w:line="268" w:lineRule="exact"/>
        <w:rPr>
          <w:sz w:val="20"/>
          <w:szCs w:val="20"/>
          <w:color w:val="auto"/>
        </w:rPr>
      </w:pPr>
    </w:p>
    <w:p>
      <w:pPr>
        <w:ind w:left="560" w:hanging="560"/>
        <w:spacing w:after="0"/>
        <w:tabs>
          <w:tab w:leader="none" w:pos="560" w:val="left"/>
        </w:tabs>
        <w:numPr>
          <w:ilvl w:val="0"/>
          <w:numId w:val="133"/>
        </w:numPr>
        <w:rPr>
          <w:rFonts w:ascii="Arial" w:cs="Arial" w:eastAsia="Arial" w:hAnsi="Arial"/>
          <w:sz w:val="17"/>
          <w:szCs w:val="17"/>
          <w:color w:val="auto"/>
        </w:rPr>
      </w:pPr>
      <w:r>
        <w:rPr>
          <w:rFonts w:ascii="Arial" w:cs="Arial" w:eastAsia="Arial" w:hAnsi="Arial"/>
          <w:sz w:val="17"/>
          <w:szCs w:val="17"/>
          <w:b w:val="1"/>
          <w:bCs w:val="1"/>
          <w:u w:val="single" w:color="auto"/>
          <w:color w:val="auto"/>
        </w:rPr>
        <w:t>AUTHORIZED SHARE CAPITAL</w:t>
      </w:r>
      <w:r>
        <w:rPr>
          <w:rFonts w:ascii="Arial" w:cs="Arial" w:eastAsia="Arial" w:hAnsi="Arial"/>
          <w:sz w:val="17"/>
          <w:szCs w:val="17"/>
          <w:u w:val="single" w:color="auto"/>
          <w:color w:val="auto"/>
        </w:rPr>
        <w:t>.</w:t>
      </w:r>
    </w:p>
    <w:p>
      <w:pPr>
        <w:spacing w:after="0" w:line="260" w:lineRule="exact"/>
        <w:rPr>
          <w:rFonts w:ascii="Arial" w:cs="Arial" w:eastAsia="Arial" w:hAnsi="Arial"/>
          <w:sz w:val="17"/>
          <w:szCs w:val="17"/>
          <w:color w:val="auto"/>
        </w:rPr>
      </w:pPr>
    </w:p>
    <w:p>
      <w:pPr>
        <w:ind w:left="780" w:hanging="267"/>
        <w:spacing w:after="0"/>
        <w:tabs>
          <w:tab w:leader="none" w:pos="78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The authorized share capital of the Company shall consist of 900,000,000 Ordinary Shares without par value (the “</w:t>
      </w:r>
      <w:r>
        <w:rPr>
          <w:rFonts w:ascii="Arial" w:cs="Arial" w:eastAsia="Arial" w:hAnsi="Arial"/>
          <w:sz w:val="19"/>
          <w:szCs w:val="19"/>
          <w:b w:val="1"/>
          <w:bCs w:val="1"/>
          <w:color w:val="auto"/>
        </w:rPr>
        <w:t>Shares</w:t>
      </w:r>
      <w:r>
        <w:rPr>
          <w:rFonts w:ascii="Arial" w:cs="Arial" w:eastAsia="Arial" w:hAnsi="Arial"/>
          <w:sz w:val="19"/>
          <w:szCs w:val="19"/>
          <w:color w:val="auto"/>
        </w:rPr>
        <w:t>”).</w:t>
      </w:r>
    </w:p>
    <w:p>
      <w:pPr>
        <w:spacing w:after="0" w:line="287" w:lineRule="exact"/>
        <w:rPr>
          <w:rFonts w:ascii="Arial" w:cs="Arial" w:eastAsia="Arial" w:hAnsi="Arial"/>
          <w:sz w:val="19"/>
          <w:szCs w:val="19"/>
          <w:color w:val="auto"/>
        </w:rPr>
      </w:pPr>
    </w:p>
    <w:p>
      <w:pPr>
        <w:ind w:left="800" w:hanging="287"/>
        <w:spacing w:after="0"/>
        <w:tabs>
          <w:tab w:leader="none" w:pos="80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 xml:space="preserve">The Shares shall rank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in all respects. The Shares may be redeemable to the extent set forth in Article 18.</w:t>
      </w:r>
    </w:p>
    <w:p>
      <w:pPr>
        <w:spacing w:after="0" w:line="264" w:lineRule="exact"/>
        <w:rPr>
          <w:rFonts w:ascii="Arial" w:cs="Arial" w:eastAsia="Arial" w:hAnsi="Arial"/>
          <w:sz w:val="20"/>
          <w:szCs w:val="20"/>
          <w:color w:val="auto"/>
        </w:rPr>
      </w:pPr>
    </w:p>
    <w:p>
      <w:pPr>
        <w:ind w:left="560" w:hanging="560"/>
        <w:spacing w:after="0"/>
        <w:tabs>
          <w:tab w:leader="none" w:pos="560" w:val="left"/>
        </w:tabs>
        <w:numPr>
          <w:ilvl w:val="0"/>
          <w:numId w:val="133"/>
        </w:numPr>
        <w:rPr>
          <w:rFonts w:ascii="Arial" w:cs="Arial" w:eastAsia="Arial" w:hAnsi="Arial"/>
          <w:sz w:val="17"/>
          <w:szCs w:val="17"/>
          <w:color w:val="auto"/>
        </w:rPr>
      </w:pPr>
      <w:r>
        <w:rPr>
          <w:rFonts w:ascii="Arial" w:cs="Arial" w:eastAsia="Arial" w:hAnsi="Arial"/>
          <w:sz w:val="17"/>
          <w:szCs w:val="17"/>
          <w:b w:val="1"/>
          <w:bCs w:val="1"/>
          <w:u w:val="single" w:color="auto"/>
          <w:color w:val="auto"/>
        </w:rPr>
        <w:t>INCREASE OF AUTHORIZED SHARE CAPITAL</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jc w:val="both"/>
        <w:ind w:left="520" w:right="140" w:hanging="7"/>
        <w:spacing w:after="0" w:line="289" w:lineRule="auto"/>
        <w:tabs>
          <w:tab w:leader="none" w:pos="793" w:val="left"/>
        </w:tabs>
        <w:numPr>
          <w:ilvl w:val="1"/>
          <w:numId w:val="133"/>
        </w:numPr>
        <w:rPr>
          <w:rFonts w:ascii="Arial" w:cs="Arial" w:eastAsia="Arial" w:hAnsi="Arial"/>
          <w:sz w:val="19"/>
          <w:szCs w:val="19"/>
          <w:color w:val="auto"/>
        </w:rPr>
      </w:pPr>
      <w:r>
        <w:rPr>
          <w:rFonts w:ascii="Arial" w:cs="Arial" w:eastAsia="Arial" w:hAnsi="Arial"/>
          <w:sz w:val="19"/>
          <w:szCs w:val="19"/>
          <w:color w:val="auto"/>
        </w:rPr>
        <w:t>The Company may, from time to time, by a Shareholders’ resolution, whether or not all of the Shares then authorized have been issued, and whether or not all of the Shares theretofore issued have been called up for payment, increase its authorized share capital by increasing the number of Shares it is authorized to issue by such amount, and such additional Shares shall confer such rights and preferences, and shall be subject to such restrictions, as such resolution shall provide.</w:t>
      </w:r>
    </w:p>
    <w:p>
      <w:pPr>
        <w:spacing w:after="0" w:line="202" w:lineRule="exact"/>
        <w:rPr>
          <w:rFonts w:ascii="Arial" w:cs="Arial" w:eastAsia="Arial" w:hAnsi="Arial"/>
          <w:sz w:val="19"/>
          <w:szCs w:val="19"/>
          <w:color w:val="auto"/>
        </w:rPr>
      </w:pPr>
    </w:p>
    <w:p>
      <w:pPr>
        <w:ind w:left="520" w:right="100" w:hanging="7"/>
        <w:spacing w:after="0" w:line="276" w:lineRule="auto"/>
        <w:tabs>
          <w:tab w:leader="none" w:pos="804" w:val="left"/>
        </w:tabs>
        <w:numPr>
          <w:ilvl w:val="1"/>
          <w:numId w:val="133"/>
        </w:numPr>
        <w:rPr>
          <w:rFonts w:ascii="Arial" w:cs="Arial" w:eastAsia="Arial" w:hAnsi="Arial"/>
          <w:sz w:val="20"/>
          <w:szCs w:val="20"/>
          <w:color w:val="auto"/>
        </w:rPr>
      </w:pPr>
      <w:r>
        <w:rPr>
          <w:rFonts w:ascii="Arial" w:cs="Arial" w:eastAsia="Arial" w:hAnsi="Arial"/>
          <w:sz w:val="20"/>
          <w:szCs w:val="20"/>
          <w:color w:val="auto"/>
        </w:rPr>
        <w:t>Except to the extent otherwise provided in such resolution, any new Shares included in the authorized share capital increase as aforesaid shall be subject to all of the provisions of these Articles that are applicable to Shares that are included in the existing share capital.</w:t>
      </w:r>
    </w:p>
    <w:p>
      <w:pPr>
        <w:spacing w:after="0" w:line="361" w:lineRule="exact"/>
        <w:rPr>
          <w:rFonts w:ascii="Arial" w:cs="Arial" w:eastAsia="Arial" w:hAnsi="Arial"/>
          <w:sz w:val="20"/>
          <w:szCs w:val="20"/>
          <w:color w:val="auto"/>
        </w:rPr>
      </w:pPr>
    </w:p>
    <w:p>
      <w:pPr>
        <w:ind w:left="5580" w:hanging="123"/>
        <w:spacing w:after="0"/>
        <w:tabs>
          <w:tab w:leader="none" w:pos="5580" w:val="left"/>
        </w:tabs>
        <w:numPr>
          <w:ilvl w:val="2"/>
          <w:numId w:val="133"/>
        </w:numPr>
        <w:rPr>
          <w:rFonts w:ascii="Arial" w:cs="Arial" w:eastAsia="Arial" w:hAnsi="Arial"/>
          <w:sz w:val="20"/>
          <w:szCs w:val="20"/>
          <w:color w:val="auto"/>
        </w:rPr>
      </w:pPr>
      <w:r>
        <w:rPr>
          <w:rFonts w:ascii="Arial" w:cs="Arial" w:eastAsia="Arial" w:hAnsi="Arial"/>
          <w:sz w:val="20"/>
          <w:szCs w:val="20"/>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41845" cy="158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382" w:right="359" w:bottom="548" w:gutter="0" w:footer="0" w:header="0"/>
        </w:sectPr>
      </w:pPr>
    </w:p>
    <w:bookmarkStart w:id="175" w:name="page176"/>
    <w:bookmarkEnd w:id="175"/>
    <w:p>
      <w:pPr>
        <w:ind w:left="560" w:hanging="560"/>
        <w:spacing w:after="0"/>
        <w:tabs>
          <w:tab w:leader="none" w:pos="560" w:val="left"/>
        </w:tabs>
        <w:numPr>
          <w:ilvl w:val="0"/>
          <w:numId w:val="134"/>
        </w:numPr>
        <w:rPr>
          <w:rFonts w:ascii="Arial" w:cs="Arial" w:eastAsia="Arial" w:hAnsi="Arial"/>
          <w:sz w:val="17"/>
          <w:szCs w:val="17"/>
          <w:color w:val="auto"/>
        </w:rPr>
      </w:pPr>
      <w:r>
        <w:rPr>
          <w:rFonts w:ascii="Arial" w:cs="Arial" w:eastAsia="Arial" w:hAnsi="Arial"/>
          <w:sz w:val="17"/>
          <w:szCs w:val="17"/>
          <w:b w:val="1"/>
          <w:bCs w:val="1"/>
          <w:u w:val="single" w:color="auto"/>
          <w:color w:val="auto"/>
        </w:rPr>
        <w:t>SPECIAL OR CLASS RIGHTS; MODIFICATION OF RIGHTS</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jc w:val="both"/>
        <w:ind w:left="520" w:right="80" w:hanging="7"/>
        <w:spacing w:after="0" w:line="276" w:lineRule="auto"/>
        <w:tabs>
          <w:tab w:leader="none" w:pos="793" w:val="left"/>
        </w:tabs>
        <w:numPr>
          <w:ilvl w:val="1"/>
          <w:numId w:val="134"/>
        </w:numPr>
        <w:rPr>
          <w:rFonts w:ascii="Arial" w:cs="Arial" w:eastAsia="Arial" w:hAnsi="Arial"/>
          <w:sz w:val="20"/>
          <w:szCs w:val="20"/>
          <w:color w:val="auto"/>
        </w:rPr>
      </w:pPr>
      <w:r>
        <w:rPr>
          <w:rFonts w:ascii="Arial" w:cs="Arial" w:eastAsia="Arial" w:hAnsi="Arial"/>
          <w:sz w:val="20"/>
          <w:szCs w:val="20"/>
          <w:color w:val="auto"/>
        </w:rPr>
        <w:t>The Company may, from time to time, by a Shareholders’ resolution, provide for shares with such preferred or deferred rights or other special rights and/or such restrictions, whether in regard to dividends, voting, repayment of share capital or otherwise, as may be stipulated in such resolution.</w:t>
      </w:r>
    </w:p>
    <w:p>
      <w:pPr>
        <w:spacing w:after="0" w:line="210" w:lineRule="exact"/>
        <w:rPr>
          <w:rFonts w:ascii="Arial" w:cs="Arial" w:eastAsia="Arial" w:hAnsi="Arial"/>
          <w:sz w:val="20"/>
          <w:szCs w:val="20"/>
          <w:color w:val="auto"/>
        </w:rPr>
      </w:pPr>
    </w:p>
    <w:p>
      <w:pPr>
        <w:jc w:val="both"/>
        <w:ind w:left="520" w:right="120" w:hanging="7"/>
        <w:spacing w:after="0" w:line="296" w:lineRule="auto"/>
        <w:tabs>
          <w:tab w:leader="none" w:pos="804" w:val="left"/>
        </w:tabs>
        <w:numPr>
          <w:ilvl w:val="1"/>
          <w:numId w:val="134"/>
        </w:numPr>
        <w:rPr>
          <w:rFonts w:ascii="Arial" w:cs="Arial" w:eastAsia="Arial" w:hAnsi="Arial"/>
          <w:sz w:val="19"/>
          <w:szCs w:val="19"/>
          <w:color w:val="auto"/>
        </w:rPr>
      </w:pPr>
      <w:r>
        <w:rPr>
          <w:rFonts w:ascii="Arial" w:cs="Arial" w:eastAsia="Arial" w:hAnsi="Arial"/>
          <w:sz w:val="19"/>
          <w:szCs w:val="19"/>
          <w:color w:val="auto"/>
        </w:rPr>
        <w:t>If at any time the share capital of the Company is divided into different classes of shares, the rights attached to any class, unless otherwise provided by these Articles, may be modified or cancelled by the Company by a resolution of the General Meeting of the holders of all shares as one class, without any required separate resolution of any class of shares.</w:t>
      </w:r>
    </w:p>
    <w:p>
      <w:pPr>
        <w:spacing w:after="0" w:line="195" w:lineRule="exact"/>
        <w:rPr>
          <w:rFonts w:ascii="Arial" w:cs="Arial" w:eastAsia="Arial" w:hAnsi="Arial"/>
          <w:sz w:val="19"/>
          <w:szCs w:val="19"/>
          <w:color w:val="auto"/>
        </w:rPr>
      </w:pPr>
    </w:p>
    <w:p>
      <w:pPr>
        <w:ind w:left="520" w:right="20" w:hanging="7"/>
        <w:spacing w:after="0" w:line="278" w:lineRule="auto"/>
        <w:tabs>
          <w:tab w:leader="none" w:pos="793"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The provisions of these Articles relating to General Meetings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to any separate General Meeting of the holders of the shares of a particular class, it being clarified that the requisite quorum at any such separate General Meeting shall be two or more Shareholders present in person or by proxy and holding not less than thirty-three and one-third percent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xml:space="preserve">%) of the issued shares of such class,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(i) such separate General Meeting of the holders of the particular class was initiated by and convened pursuant to a resolution adopted by the Board of Directors and (ii) at the time of such meeting the Company is qualified to use the forms of a “foreign private issuer” under US securities laws, then the requisite quorum at any such separate General Meeting shall be two or more Shareholders (not in default in payment of any sum referred to in Article 13 hereof) present in person or by proxy and holding not less than twenty-five percent (25%) of the issued shares of such class. For the purpose of determining the quorum present at such General Meeting, a proxy may be deemed to be two (2) or more Shareholders pursuant to the number of Shareholders represented by the proxy holder.</w:t>
      </w:r>
    </w:p>
    <w:p>
      <w:pPr>
        <w:spacing w:after="0" w:line="217" w:lineRule="exact"/>
        <w:rPr>
          <w:rFonts w:ascii="Arial" w:cs="Arial" w:eastAsia="Arial" w:hAnsi="Arial"/>
          <w:sz w:val="18"/>
          <w:szCs w:val="18"/>
          <w:color w:val="auto"/>
        </w:rPr>
      </w:pPr>
    </w:p>
    <w:p>
      <w:pPr>
        <w:ind w:left="520" w:right="100" w:hanging="7"/>
        <w:spacing w:after="0" w:line="271" w:lineRule="auto"/>
        <w:tabs>
          <w:tab w:leader="none" w:pos="804" w:val="left"/>
        </w:tabs>
        <w:numPr>
          <w:ilvl w:val="1"/>
          <w:numId w:val="134"/>
        </w:numPr>
        <w:rPr>
          <w:rFonts w:ascii="Arial" w:cs="Arial" w:eastAsia="Arial" w:hAnsi="Arial"/>
          <w:sz w:val="20"/>
          <w:szCs w:val="20"/>
          <w:color w:val="auto"/>
        </w:rPr>
      </w:pPr>
      <w:r>
        <w:rPr>
          <w:rFonts w:ascii="Arial" w:cs="Arial" w:eastAsia="Arial" w:hAnsi="Arial"/>
          <w:sz w:val="20"/>
          <w:szCs w:val="20"/>
          <w:color w:val="auto"/>
        </w:rPr>
        <w:t>Unless otherwise provided by these Articles, an increase in the authorized share capital, the creation of a new class of shares, an increase in the authorized share capital of a class of shares, or the issuance of additional shares thereof out of the authorized and unissued share capital, shall not be deemed, for purposes of this Article 7, to modify or derogate or cancel the rights attached to previously issued shares of such class or of any other class.</w:t>
      </w:r>
    </w:p>
    <w:p>
      <w:pPr>
        <w:spacing w:after="0" w:line="208" w:lineRule="exact"/>
        <w:rPr>
          <w:rFonts w:ascii="Arial" w:cs="Arial" w:eastAsia="Arial" w:hAnsi="Arial"/>
          <w:sz w:val="20"/>
          <w:szCs w:val="20"/>
          <w:color w:val="auto"/>
        </w:rPr>
      </w:pPr>
    </w:p>
    <w:p>
      <w:pPr>
        <w:ind w:left="560" w:hanging="560"/>
        <w:spacing w:after="0"/>
        <w:tabs>
          <w:tab w:leader="none" w:pos="560" w:val="left"/>
        </w:tabs>
        <w:numPr>
          <w:ilvl w:val="0"/>
          <w:numId w:val="134"/>
        </w:numPr>
        <w:rPr>
          <w:rFonts w:ascii="Arial" w:cs="Arial" w:eastAsia="Arial" w:hAnsi="Arial"/>
          <w:sz w:val="17"/>
          <w:szCs w:val="17"/>
          <w:color w:val="auto"/>
        </w:rPr>
      </w:pPr>
      <w:r>
        <w:rPr>
          <w:rFonts w:ascii="Arial" w:cs="Arial" w:eastAsia="Arial" w:hAnsi="Arial"/>
          <w:sz w:val="17"/>
          <w:szCs w:val="17"/>
          <w:b w:val="1"/>
          <w:bCs w:val="1"/>
          <w:u w:val="single" w:color="auto"/>
          <w:color w:val="auto"/>
        </w:rPr>
        <w:t>CONSOLIDATION, DIVISION, CANCELLATION AND REDUCTION OF SHARE CAPITAL</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ind w:left="520" w:right="80" w:hanging="7"/>
        <w:spacing w:after="0" w:line="290" w:lineRule="auto"/>
        <w:tabs>
          <w:tab w:leader="none" w:pos="793" w:val="left"/>
        </w:tabs>
        <w:numPr>
          <w:ilvl w:val="1"/>
          <w:numId w:val="134"/>
        </w:numPr>
        <w:rPr>
          <w:rFonts w:ascii="Arial" w:cs="Arial" w:eastAsia="Arial" w:hAnsi="Arial"/>
          <w:sz w:val="20"/>
          <w:szCs w:val="20"/>
          <w:color w:val="auto"/>
        </w:rPr>
      </w:pPr>
      <w:r>
        <w:rPr>
          <w:rFonts w:ascii="Arial" w:cs="Arial" w:eastAsia="Arial" w:hAnsi="Arial"/>
          <w:sz w:val="20"/>
          <w:szCs w:val="20"/>
          <w:color w:val="auto"/>
        </w:rPr>
        <w:t>The Company may, from time to time, by or pursuant to an authorization of a Shareholders’ resolution, and subject to applicable law:</w:t>
      </w:r>
    </w:p>
    <w:p>
      <w:pPr>
        <w:spacing w:after="0" w:line="197" w:lineRule="exact"/>
        <w:rPr>
          <w:rFonts w:ascii="Arial" w:cs="Arial" w:eastAsia="Arial" w:hAnsi="Arial"/>
          <w:sz w:val="20"/>
          <w:szCs w:val="20"/>
          <w:color w:val="auto"/>
        </w:rPr>
      </w:pPr>
    </w:p>
    <w:p>
      <w:pPr>
        <w:ind w:left="1260" w:hanging="235"/>
        <w:spacing w:after="0"/>
        <w:tabs>
          <w:tab w:leader="none" w:pos="1260" w:val="left"/>
        </w:tabs>
        <w:numPr>
          <w:ilvl w:val="2"/>
          <w:numId w:val="134"/>
        </w:numPr>
        <w:rPr>
          <w:rFonts w:ascii="Arial" w:cs="Arial" w:eastAsia="Arial" w:hAnsi="Arial"/>
          <w:sz w:val="20"/>
          <w:szCs w:val="20"/>
          <w:color w:val="auto"/>
        </w:rPr>
      </w:pPr>
      <w:r>
        <w:rPr>
          <w:rFonts w:ascii="Arial" w:cs="Arial" w:eastAsia="Arial" w:hAnsi="Arial"/>
          <w:sz w:val="20"/>
          <w:szCs w:val="20"/>
          <w:color w:val="auto"/>
        </w:rPr>
        <w:t>consolidate all or any part of its issued or unissued authorized share capital;</w:t>
      </w:r>
    </w:p>
    <w:p>
      <w:pPr>
        <w:spacing w:after="0" w:line="272" w:lineRule="exact"/>
        <w:rPr>
          <w:rFonts w:ascii="Arial" w:cs="Arial" w:eastAsia="Arial" w:hAnsi="Arial"/>
          <w:sz w:val="20"/>
          <w:szCs w:val="20"/>
          <w:color w:val="auto"/>
        </w:rPr>
      </w:pPr>
    </w:p>
    <w:p>
      <w:pPr>
        <w:ind w:left="1020" w:right="20" w:firstLine="5"/>
        <w:spacing w:after="0" w:line="271" w:lineRule="auto"/>
        <w:tabs>
          <w:tab w:leader="none" w:pos="1315" w:val="left"/>
        </w:tabs>
        <w:numPr>
          <w:ilvl w:val="2"/>
          <w:numId w:val="134"/>
        </w:numPr>
        <w:rPr>
          <w:rFonts w:ascii="Arial" w:cs="Arial" w:eastAsia="Arial" w:hAnsi="Arial"/>
          <w:sz w:val="20"/>
          <w:szCs w:val="20"/>
          <w:color w:val="auto"/>
        </w:rPr>
      </w:pPr>
      <w:r>
        <w:rPr>
          <w:rFonts w:ascii="Arial" w:cs="Arial" w:eastAsia="Arial" w:hAnsi="Arial"/>
          <w:sz w:val="20"/>
          <w:szCs w:val="20"/>
          <w:color w:val="auto"/>
        </w:rPr>
        <w:t>divide or sub-divide its Shares (issued or unissued) or any of them and the resolution whereby any Share is divided may determine that, as among the holders of the Shares resulting from such subdivision, one or more of the Shares may, in contrast to others, have any such preferred or deferred rights or rights of redemption or other special rights, or be subject to any such restrictions, as the Company may attach to unissued or new shares;</w:t>
      </w:r>
    </w:p>
    <w:p>
      <w:pPr>
        <w:spacing w:after="0" w:line="216" w:lineRule="exact"/>
        <w:rPr>
          <w:rFonts w:ascii="Arial" w:cs="Arial" w:eastAsia="Arial" w:hAnsi="Arial"/>
          <w:sz w:val="20"/>
          <w:szCs w:val="20"/>
          <w:color w:val="auto"/>
        </w:rPr>
      </w:pPr>
    </w:p>
    <w:p>
      <w:pPr>
        <w:jc w:val="both"/>
        <w:ind w:left="1020" w:firstLine="5"/>
        <w:spacing w:after="0" w:line="276" w:lineRule="auto"/>
        <w:tabs>
          <w:tab w:leader="none" w:pos="1371" w:val="left"/>
        </w:tabs>
        <w:numPr>
          <w:ilvl w:val="2"/>
          <w:numId w:val="134"/>
        </w:numPr>
        <w:rPr>
          <w:rFonts w:ascii="Arial" w:cs="Arial" w:eastAsia="Arial" w:hAnsi="Arial"/>
          <w:sz w:val="20"/>
          <w:szCs w:val="20"/>
          <w:color w:val="auto"/>
        </w:rPr>
      </w:pPr>
      <w:r>
        <w:rPr>
          <w:rFonts w:ascii="Arial" w:cs="Arial" w:eastAsia="Arial" w:hAnsi="Arial"/>
          <w:sz w:val="20"/>
          <w:szCs w:val="20"/>
          <w:color w:val="auto"/>
        </w:rPr>
        <w:t>cancel any authorized Shares which, at the date of the adoption of such resolution, have not been issued to any person nor has the Company made any commitment, including a conditional commitment, to issue such Shares, and reduce the amount of its share capital by the amount of the Shares so canceled; or</w:t>
      </w:r>
    </w:p>
    <w:p>
      <w:pPr>
        <w:spacing w:after="0" w:line="210" w:lineRule="exact"/>
        <w:rPr>
          <w:rFonts w:ascii="Arial" w:cs="Arial" w:eastAsia="Arial" w:hAnsi="Arial"/>
          <w:sz w:val="20"/>
          <w:szCs w:val="20"/>
          <w:color w:val="auto"/>
        </w:rPr>
      </w:pPr>
    </w:p>
    <w:p>
      <w:pPr>
        <w:ind w:left="1360" w:hanging="335"/>
        <w:spacing w:after="0"/>
        <w:tabs>
          <w:tab w:leader="none" w:pos="1360" w:val="left"/>
        </w:tabs>
        <w:numPr>
          <w:ilvl w:val="2"/>
          <w:numId w:val="134"/>
        </w:numPr>
        <w:rPr>
          <w:rFonts w:ascii="Arial" w:cs="Arial" w:eastAsia="Arial" w:hAnsi="Arial"/>
          <w:sz w:val="20"/>
          <w:szCs w:val="20"/>
          <w:color w:val="auto"/>
        </w:rPr>
      </w:pPr>
      <w:r>
        <w:rPr>
          <w:rFonts w:ascii="Arial" w:cs="Arial" w:eastAsia="Arial" w:hAnsi="Arial"/>
          <w:sz w:val="20"/>
          <w:szCs w:val="20"/>
          <w:color w:val="auto"/>
        </w:rPr>
        <w:t>reduce its share capital in any manner.</w:t>
      </w:r>
    </w:p>
    <w:p>
      <w:pPr>
        <w:spacing w:after="0" w:line="272" w:lineRule="exact"/>
        <w:rPr>
          <w:rFonts w:ascii="Arial" w:cs="Arial" w:eastAsia="Arial" w:hAnsi="Arial"/>
          <w:sz w:val="20"/>
          <w:szCs w:val="20"/>
          <w:color w:val="auto"/>
        </w:rPr>
      </w:pPr>
    </w:p>
    <w:p>
      <w:pPr>
        <w:ind w:left="520" w:right="20" w:hanging="7"/>
        <w:spacing w:after="0" w:line="296" w:lineRule="auto"/>
        <w:tabs>
          <w:tab w:leader="none" w:pos="804" w:val="left"/>
        </w:tabs>
        <w:numPr>
          <w:ilvl w:val="1"/>
          <w:numId w:val="134"/>
        </w:numPr>
        <w:rPr>
          <w:rFonts w:ascii="Arial" w:cs="Arial" w:eastAsia="Arial" w:hAnsi="Arial"/>
          <w:sz w:val="19"/>
          <w:szCs w:val="19"/>
          <w:color w:val="auto"/>
        </w:rPr>
      </w:pPr>
      <w:r>
        <w:rPr>
          <w:rFonts w:ascii="Arial" w:cs="Arial" w:eastAsia="Arial" w:hAnsi="Arial"/>
          <w:sz w:val="19"/>
          <w:szCs w:val="19"/>
          <w:color w:val="auto"/>
        </w:rPr>
        <w:t>With respect to any consolidation of issued Shares and with respect to any other action which may result in fractional Shares, the Board of Directors may settle any difficulty which may arise with regard thereto, as it deems fit, and, in connection with any such consolidation or other action which could result in fractional shares, may, without limiting its aforesaid power:</w:t>
      </w:r>
    </w:p>
    <w:p>
      <w:pPr>
        <w:spacing w:after="0" w:line="195" w:lineRule="exact"/>
        <w:rPr>
          <w:rFonts w:ascii="Arial" w:cs="Arial" w:eastAsia="Arial" w:hAnsi="Arial"/>
          <w:sz w:val="19"/>
          <w:szCs w:val="19"/>
          <w:color w:val="auto"/>
        </w:rPr>
      </w:pPr>
    </w:p>
    <w:p>
      <w:pPr>
        <w:ind w:left="1260" w:hanging="235"/>
        <w:spacing w:after="0"/>
        <w:tabs>
          <w:tab w:leader="none" w:pos="1260" w:val="left"/>
        </w:tabs>
        <w:numPr>
          <w:ilvl w:val="2"/>
          <w:numId w:val="134"/>
        </w:numPr>
        <w:rPr>
          <w:rFonts w:ascii="Arial" w:cs="Arial" w:eastAsia="Arial" w:hAnsi="Arial"/>
          <w:sz w:val="20"/>
          <w:szCs w:val="20"/>
          <w:color w:val="auto"/>
        </w:rPr>
      </w:pPr>
      <w:r>
        <w:rPr>
          <w:rFonts w:ascii="Arial" w:cs="Arial" w:eastAsia="Arial" w:hAnsi="Arial"/>
          <w:sz w:val="20"/>
          <w:szCs w:val="20"/>
          <w:color w:val="auto"/>
        </w:rPr>
        <w:t>determine, as to the holder of Shares so consolidated, which issued Shares shall be consolidated;</w:t>
      </w:r>
    </w:p>
    <w:p>
      <w:pPr>
        <w:spacing w:after="0" w:line="200" w:lineRule="exact"/>
        <w:rPr>
          <w:rFonts w:ascii="Arial" w:cs="Arial" w:eastAsia="Arial" w:hAnsi="Arial"/>
          <w:sz w:val="20"/>
          <w:szCs w:val="20"/>
          <w:color w:val="auto"/>
        </w:rPr>
      </w:pPr>
    </w:p>
    <w:p>
      <w:pPr>
        <w:spacing w:after="0" w:line="222" w:lineRule="exact"/>
        <w:rPr>
          <w:rFonts w:ascii="Arial" w:cs="Arial" w:eastAsia="Arial" w:hAnsi="Arial"/>
          <w:sz w:val="20"/>
          <w:szCs w:val="20"/>
          <w:color w:val="auto"/>
        </w:rPr>
      </w:pPr>
    </w:p>
    <w:p>
      <w:pPr>
        <w:ind w:left="5580" w:hanging="123"/>
        <w:spacing w:after="0"/>
        <w:tabs>
          <w:tab w:leader="none" w:pos="5580" w:val="left"/>
        </w:tabs>
        <w:numPr>
          <w:ilvl w:val="3"/>
          <w:numId w:val="134"/>
        </w:numPr>
        <w:rPr>
          <w:rFonts w:ascii="Arial" w:cs="Arial" w:eastAsia="Arial" w:hAnsi="Arial"/>
          <w:sz w:val="20"/>
          <w:szCs w:val="20"/>
          <w:color w:val="auto"/>
        </w:rPr>
      </w:pPr>
      <w:r>
        <w:rPr>
          <w:rFonts w:ascii="Arial" w:cs="Arial" w:eastAsia="Arial" w:hAnsi="Arial"/>
          <w:sz w:val="20"/>
          <w:szCs w:val="20"/>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41845" cy="158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180"/>
          </w:cols>
          <w:pgMar w:left="320" w:top="374" w:right="399" w:bottom="1440" w:gutter="0" w:footer="0" w:header="0"/>
        </w:sectPr>
      </w:pPr>
    </w:p>
    <w:bookmarkStart w:id="176" w:name="page177"/>
    <w:bookmarkEnd w:id="176"/>
    <w:p>
      <w:pPr>
        <w:ind w:left="1020" w:right="440" w:firstLine="5"/>
        <w:spacing w:after="0" w:line="290" w:lineRule="auto"/>
        <w:tabs>
          <w:tab w:leader="none" w:pos="1316" w:val="left"/>
        </w:tabs>
        <w:numPr>
          <w:ilvl w:val="2"/>
          <w:numId w:val="135"/>
        </w:numPr>
        <w:rPr>
          <w:rFonts w:ascii="Arial" w:cs="Arial" w:eastAsia="Arial" w:hAnsi="Arial"/>
          <w:sz w:val="20"/>
          <w:szCs w:val="20"/>
          <w:color w:val="auto"/>
        </w:rPr>
      </w:pPr>
      <w:r>
        <w:rPr>
          <w:rFonts w:ascii="Arial" w:cs="Arial" w:eastAsia="Arial" w:hAnsi="Arial"/>
          <w:sz w:val="20"/>
          <w:szCs w:val="20"/>
          <w:color w:val="auto"/>
        </w:rPr>
        <w:t>issue, in contemplation of or subsequent to such consolidation or other action, Shares sufficient to preclude or remove fractional share holdings;</w:t>
      </w:r>
    </w:p>
    <w:p>
      <w:pPr>
        <w:spacing w:after="0" w:line="197" w:lineRule="exact"/>
        <w:rPr>
          <w:rFonts w:ascii="Arial" w:cs="Arial" w:eastAsia="Arial" w:hAnsi="Arial"/>
          <w:sz w:val="20"/>
          <w:szCs w:val="20"/>
          <w:color w:val="auto"/>
        </w:rPr>
      </w:pPr>
    </w:p>
    <w:p>
      <w:pPr>
        <w:ind w:left="1380" w:hanging="355"/>
        <w:spacing w:after="0"/>
        <w:tabs>
          <w:tab w:leader="none" w:pos="1380" w:val="left"/>
        </w:tabs>
        <w:numPr>
          <w:ilvl w:val="2"/>
          <w:numId w:val="135"/>
        </w:numPr>
        <w:rPr>
          <w:rFonts w:ascii="Arial" w:cs="Arial" w:eastAsia="Arial" w:hAnsi="Arial"/>
          <w:sz w:val="20"/>
          <w:szCs w:val="20"/>
          <w:color w:val="auto"/>
        </w:rPr>
      </w:pPr>
      <w:r>
        <w:rPr>
          <w:rFonts w:ascii="Arial" w:cs="Arial" w:eastAsia="Arial" w:hAnsi="Arial"/>
          <w:sz w:val="20"/>
          <w:szCs w:val="20"/>
          <w:color w:val="auto"/>
        </w:rPr>
        <w:t>redeem such Shares or fractional shares sufficient to preclude or remove fractional Share holdings;</w:t>
      </w:r>
    </w:p>
    <w:p>
      <w:pPr>
        <w:spacing w:after="0" w:line="272" w:lineRule="exact"/>
        <w:rPr>
          <w:rFonts w:ascii="Arial" w:cs="Arial" w:eastAsia="Arial" w:hAnsi="Arial"/>
          <w:sz w:val="20"/>
          <w:szCs w:val="20"/>
          <w:color w:val="auto"/>
        </w:rPr>
      </w:pPr>
    </w:p>
    <w:p>
      <w:pPr>
        <w:ind w:left="1020" w:right="400" w:firstLine="5"/>
        <w:spacing w:after="0" w:line="290" w:lineRule="auto"/>
        <w:tabs>
          <w:tab w:leader="none" w:pos="1360" w:val="left"/>
        </w:tabs>
        <w:numPr>
          <w:ilvl w:val="2"/>
          <w:numId w:val="135"/>
        </w:numPr>
        <w:rPr>
          <w:rFonts w:ascii="Arial" w:cs="Arial" w:eastAsia="Arial" w:hAnsi="Arial"/>
          <w:sz w:val="20"/>
          <w:szCs w:val="20"/>
          <w:color w:val="auto"/>
        </w:rPr>
      </w:pPr>
      <w:r>
        <w:rPr>
          <w:rFonts w:ascii="Arial" w:cs="Arial" w:eastAsia="Arial" w:hAnsi="Arial"/>
          <w:sz w:val="20"/>
          <w:szCs w:val="20"/>
          <w:color w:val="auto"/>
        </w:rPr>
        <w:t>round up, round down or round to the nearest whole number, any fractional Shares resulting from the consolidation or from any other action which may result in fractional Shares; or</w:t>
      </w:r>
    </w:p>
    <w:p>
      <w:pPr>
        <w:spacing w:after="0" w:line="197" w:lineRule="exact"/>
        <w:rPr>
          <w:rFonts w:ascii="Arial" w:cs="Arial" w:eastAsia="Arial" w:hAnsi="Arial"/>
          <w:sz w:val="20"/>
          <w:szCs w:val="20"/>
          <w:color w:val="auto"/>
        </w:rPr>
      </w:pPr>
    </w:p>
    <w:p>
      <w:pPr>
        <w:ind w:left="1020" w:right="140" w:firstLine="5"/>
        <w:spacing w:after="0" w:line="286" w:lineRule="auto"/>
        <w:tabs>
          <w:tab w:leader="none" w:pos="1304" w:val="left"/>
        </w:tabs>
        <w:numPr>
          <w:ilvl w:val="2"/>
          <w:numId w:val="135"/>
        </w:numPr>
        <w:rPr>
          <w:rFonts w:ascii="Arial" w:cs="Arial" w:eastAsia="Arial" w:hAnsi="Arial"/>
          <w:sz w:val="19"/>
          <w:szCs w:val="19"/>
          <w:color w:val="auto"/>
        </w:rPr>
      </w:pPr>
      <w:r>
        <w:rPr>
          <w:rFonts w:ascii="Arial" w:cs="Arial" w:eastAsia="Arial" w:hAnsi="Arial"/>
          <w:sz w:val="19"/>
          <w:szCs w:val="19"/>
          <w:color w:val="auto"/>
        </w:rPr>
        <w:t>cause the transfer of fractional Shares by certain Shareholders of the Company to other Shareholders thereof so as to most expediently preclude or remove any fractional Share holdings, and cause the transferees of such fractional Shares to pay the transferors thereof the fair value thereof, and the Board of Directors is hereby authorized to act in connection with such transfer, as agent for the transferors and transferees of any such fractional Shares, with full power of substitution, for the purposes of implementing the provisions of this sub-Article 8(b)(v).</w:t>
      </w:r>
    </w:p>
    <w:p>
      <w:pPr>
        <w:spacing w:after="0" w:line="196" w:lineRule="exact"/>
        <w:rPr>
          <w:rFonts w:ascii="Arial" w:cs="Arial" w:eastAsia="Arial" w:hAnsi="Arial"/>
          <w:sz w:val="19"/>
          <w:szCs w:val="19"/>
          <w:color w:val="auto"/>
        </w:rPr>
      </w:pPr>
    </w:p>
    <w:p>
      <w:pPr>
        <w:ind w:left="560" w:hanging="560"/>
        <w:spacing w:after="0"/>
        <w:tabs>
          <w:tab w:leader="none" w:pos="560" w:val="left"/>
        </w:tabs>
        <w:numPr>
          <w:ilvl w:val="0"/>
          <w:numId w:val="136"/>
        </w:numPr>
        <w:rPr>
          <w:rFonts w:ascii="Arial" w:cs="Arial" w:eastAsia="Arial" w:hAnsi="Arial"/>
          <w:sz w:val="17"/>
          <w:szCs w:val="17"/>
          <w:color w:val="auto"/>
        </w:rPr>
      </w:pPr>
      <w:r>
        <w:rPr>
          <w:rFonts w:ascii="Arial" w:cs="Arial" w:eastAsia="Arial" w:hAnsi="Arial"/>
          <w:sz w:val="17"/>
          <w:szCs w:val="17"/>
          <w:b w:val="1"/>
          <w:bCs w:val="1"/>
          <w:u w:val="single" w:color="auto"/>
          <w:color w:val="auto"/>
        </w:rPr>
        <w:t>ISSUANCE OF SHARE CERTIFICATES, REPLACEMENT OF LOST CERTIFICATES</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ind w:left="520" w:right="20" w:hanging="7"/>
        <w:spacing w:after="0" w:line="286" w:lineRule="auto"/>
        <w:tabs>
          <w:tab w:leader="none" w:pos="793"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To the extent that the Board of Directors determines that all Shares shall be certificated or, if the Board of Directors does not so determine, to the extent that any Shareholder requests a share certificate or the Company’s transfer agent so requires, share certificates shall be issued under the corporate seal of the Company or its written, typed or stamped name and shall bear the signature of one Director, the Company’s Chief Executive Officer, or any person or persons authorized therefor by the Board of Directors. Signatures may be affixed in any mechanical or electronic form, as the Board of Directors may prescribe.</w:t>
      </w:r>
    </w:p>
    <w:p>
      <w:pPr>
        <w:spacing w:after="0" w:line="204" w:lineRule="exact"/>
        <w:rPr>
          <w:rFonts w:ascii="Arial" w:cs="Arial" w:eastAsia="Arial" w:hAnsi="Arial"/>
          <w:sz w:val="19"/>
          <w:szCs w:val="19"/>
          <w:color w:val="auto"/>
        </w:rPr>
      </w:pPr>
    </w:p>
    <w:p>
      <w:pPr>
        <w:ind w:left="520" w:hanging="7"/>
        <w:spacing w:after="0" w:line="271" w:lineRule="auto"/>
        <w:tabs>
          <w:tab w:leader="none" w:pos="804" w:val="left"/>
        </w:tabs>
        <w:numPr>
          <w:ilvl w:val="1"/>
          <w:numId w:val="136"/>
        </w:numPr>
        <w:rPr>
          <w:rFonts w:ascii="Arial" w:cs="Arial" w:eastAsia="Arial" w:hAnsi="Arial"/>
          <w:sz w:val="20"/>
          <w:szCs w:val="20"/>
          <w:color w:val="auto"/>
        </w:rPr>
      </w:pPr>
      <w:r>
        <w:rPr>
          <w:rFonts w:ascii="Arial" w:cs="Arial" w:eastAsia="Arial" w:hAnsi="Arial"/>
          <w:sz w:val="20"/>
          <w:szCs w:val="20"/>
          <w:color w:val="auto"/>
        </w:rPr>
        <w:t>Subject to the provisions of Article 9(a), each Shareholder shall be entitled to one numbered certificate for all of the Shares of any class registered in his or her name. Each certificate shall specify the serial numbers of the Shares represented thereby and may also specify the amount paid up thereon. The Company (as determined by an officer of the Company to be designated by the Chief Executive Officer) shall not refuse a request by a Shareholder to</w:t>
      </w:r>
    </w:p>
    <w:p>
      <w:pPr>
        <w:spacing w:after="0" w:line="217" w:lineRule="exact"/>
        <w:rPr>
          <w:sz w:val="20"/>
          <w:szCs w:val="20"/>
          <w:color w:val="auto"/>
        </w:rPr>
      </w:pPr>
    </w:p>
    <w:p>
      <w:pPr>
        <w:ind w:left="520" w:right="120"/>
        <w:spacing w:after="0" w:line="271" w:lineRule="auto"/>
        <w:rPr>
          <w:sz w:val="20"/>
          <w:szCs w:val="20"/>
          <w:color w:val="auto"/>
        </w:rPr>
      </w:pPr>
      <w:r>
        <w:rPr>
          <w:rFonts w:ascii="Arial" w:cs="Arial" w:eastAsia="Arial" w:hAnsi="Arial"/>
          <w:sz w:val="20"/>
          <w:szCs w:val="20"/>
          <w:color w:val="auto"/>
        </w:rPr>
        <w:t xml:space="preserve">obtain several certificates in place of one certificate, unless such request is, in the opinion of such officer, unreasonable. Where a Shareholder has sold or transferred a portion of such Shareholder’s Shares, such Shareholder shall be entitled to receive a certificate in respect of such Shareholder’s remaining Shares,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previous certificate is delivered to the Company before the issuance of a new certificate.</w:t>
      </w:r>
    </w:p>
    <w:p>
      <w:pPr>
        <w:spacing w:after="0" w:line="217" w:lineRule="exact"/>
        <w:rPr>
          <w:sz w:val="20"/>
          <w:szCs w:val="20"/>
          <w:color w:val="auto"/>
        </w:rPr>
      </w:pPr>
    </w:p>
    <w:p>
      <w:pPr>
        <w:ind w:left="520" w:right="200" w:hanging="7"/>
        <w:spacing w:after="0" w:line="290" w:lineRule="auto"/>
        <w:tabs>
          <w:tab w:leader="none" w:pos="793" w:val="left"/>
        </w:tabs>
        <w:numPr>
          <w:ilvl w:val="1"/>
          <w:numId w:val="137"/>
        </w:numPr>
        <w:rPr>
          <w:rFonts w:ascii="Arial" w:cs="Arial" w:eastAsia="Arial" w:hAnsi="Arial"/>
          <w:sz w:val="20"/>
          <w:szCs w:val="20"/>
          <w:color w:val="auto"/>
        </w:rPr>
      </w:pPr>
      <w:r>
        <w:rPr>
          <w:rFonts w:ascii="Arial" w:cs="Arial" w:eastAsia="Arial" w:hAnsi="Arial"/>
          <w:sz w:val="20"/>
          <w:szCs w:val="20"/>
          <w:color w:val="auto"/>
        </w:rPr>
        <w:t>A share certificate registered in the names of two or more persons shall be delivered to the person first named in the Register of Shareholders in respect of such co-ownership.</w:t>
      </w:r>
    </w:p>
    <w:p>
      <w:pPr>
        <w:spacing w:after="0" w:line="197" w:lineRule="exact"/>
        <w:rPr>
          <w:rFonts w:ascii="Arial" w:cs="Arial" w:eastAsia="Arial" w:hAnsi="Arial"/>
          <w:sz w:val="20"/>
          <w:szCs w:val="20"/>
          <w:color w:val="auto"/>
        </w:rPr>
      </w:pPr>
    </w:p>
    <w:p>
      <w:pPr>
        <w:jc w:val="both"/>
        <w:ind w:left="520" w:right="120" w:hanging="7"/>
        <w:spacing w:after="0" w:line="276" w:lineRule="auto"/>
        <w:tabs>
          <w:tab w:leader="none" w:pos="804" w:val="left"/>
        </w:tabs>
        <w:numPr>
          <w:ilvl w:val="1"/>
          <w:numId w:val="137"/>
        </w:numPr>
        <w:rPr>
          <w:rFonts w:ascii="Arial" w:cs="Arial" w:eastAsia="Arial" w:hAnsi="Arial"/>
          <w:sz w:val="20"/>
          <w:szCs w:val="20"/>
          <w:color w:val="auto"/>
        </w:rPr>
      </w:pPr>
      <w:r>
        <w:rPr>
          <w:rFonts w:ascii="Arial" w:cs="Arial" w:eastAsia="Arial" w:hAnsi="Arial"/>
          <w:sz w:val="20"/>
          <w:szCs w:val="20"/>
          <w:color w:val="auto"/>
        </w:rPr>
        <w:t>A share certificate which has been defaced, lost or destroyed, may be replaced, and the Company shall issue a new certificate to replace such defaced, lost or destroyed certificate upon payment of such fee, and upon the furnishing of such evidence of ownership and such indemnity, as the Board of Directors in its discretion deems fit.</w:t>
      </w:r>
    </w:p>
    <w:p>
      <w:pPr>
        <w:spacing w:after="0" w:line="202" w:lineRule="exact"/>
        <w:rPr>
          <w:rFonts w:ascii="Arial" w:cs="Arial" w:eastAsia="Arial" w:hAnsi="Arial"/>
          <w:sz w:val="20"/>
          <w:szCs w:val="20"/>
          <w:color w:val="auto"/>
        </w:rPr>
      </w:pPr>
    </w:p>
    <w:p>
      <w:pPr>
        <w:ind w:left="560" w:hanging="560"/>
        <w:spacing w:after="0"/>
        <w:tabs>
          <w:tab w:leader="none" w:pos="560" w:val="left"/>
        </w:tabs>
        <w:numPr>
          <w:ilvl w:val="0"/>
          <w:numId w:val="138"/>
        </w:numPr>
        <w:rPr>
          <w:rFonts w:ascii="Arial" w:cs="Arial" w:eastAsia="Arial" w:hAnsi="Arial"/>
          <w:sz w:val="17"/>
          <w:szCs w:val="17"/>
          <w:color w:val="auto"/>
        </w:rPr>
      </w:pPr>
      <w:r>
        <w:rPr>
          <w:rFonts w:ascii="Arial" w:cs="Arial" w:eastAsia="Arial" w:hAnsi="Arial"/>
          <w:sz w:val="17"/>
          <w:szCs w:val="17"/>
          <w:b w:val="1"/>
          <w:bCs w:val="1"/>
          <w:u w:val="single" w:color="auto"/>
          <w:color w:val="auto"/>
        </w:rPr>
        <w:t>REGISTERED HOLDER</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100"/>
        <w:spacing w:after="0" w:line="271" w:lineRule="auto"/>
        <w:rPr>
          <w:sz w:val="20"/>
          <w:szCs w:val="20"/>
          <w:color w:val="auto"/>
        </w:rPr>
      </w:pPr>
      <w:r>
        <w:rPr>
          <w:rFonts w:ascii="Arial" w:cs="Arial" w:eastAsia="Arial" w:hAnsi="Arial"/>
          <w:sz w:val="20"/>
          <w:szCs w:val="20"/>
          <w:color w:val="auto"/>
        </w:rPr>
        <w:t>Except as otherwise provided in these Articles or the Companies Law, the Company shall be entitled to treat the registered holder of each Share as the absolute owner thereof, and accordingly, shall not, except as ordered by a court of competent jurisdiction, or as required by the Companies Law, be obligated to recognize any equitable or other claim to, or interest in, such Share on the part of any other person.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41845" cy="158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77" w:name="page178"/>
    <w:bookmarkEnd w:id="177"/>
    <w:p>
      <w:pPr>
        <w:ind w:left="560" w:hanging="560"/>
        <w:spacing w:after="0"/>
        <w:tabs>
          <w:tab w:leader="none" w:pos="560" w:val="left"/>
        </w:tabs>
        <w:numPr>
          <w:ilvl w:val="0"/>
          <w:numId w:val="139"/>
        </w:numPr>
        <w:rPr>
          <w:rFonts w:ascii="Arial" w:cs="Arial" w:eastAsia="Arial" w:hAnsi="Arial"/>
          <w:sz w:val="17"/>
          <w:szCs w:val="17"/>
          <w:color w:val="auto"/>
        </w:rPr>
      </w:pPr>
      <w:r>
        <w:rPr>
          <w:rFonts w:ascii="Arial" w:cs="Arial" w:eastAsia="Arial" w:hAnsi="Arial"/>
          <w:sz w:val="17"/>
          <w:szCs w:val="17"/>
          <w:b w:val="1"/>
          <w:bCs w:val="1"/>
          <w:u w:val="single" w:color="auto"/>
          <w:color w:val="auto"/>
        </w:rPr>
        <w:t>ISSUANCE AND REPURCHASE OF SHARES</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ind w:left="520" w:right="20" w:hanging="7"/>
        <w:spacing w:after="0" w:line="281" w:lineRule="auto"/>
        <w:tabs>
          <w:tab w:leader="none" w:pos="793" w:val="left"/>
        </w:tabs>
        <w:numPr>
          <w:ilvl w:val="1"/>
          <w:numId w:val="139"/>
        </w:numPr>
        <w:rPr>
          <w:rFonts w:ascii="Arial" w:cs="Arial" w:eastAsia="Arial" w:hAnsi="Arial"/>
          <w:sz w:val="19"/>
          <w:szCs w:val="19"/>
          <w:color w:val="auto"/>
        </w:rPr>
      </w:pPr>
      <w:r>
        <w:rPr>
          <w:rFonts w:ascii="Arial" w:cs="Arial" w:eastAsia="Arial" w:hAnsi="Arial"/>
          <w:sz w:val="19"/>
          <w:szCs w:val="19"/>
          <w:color w:val="auto"/>
        </w:rPr>
        <w:t>The unissued Shares from time to time shall be under the control of the Board of Directors (and, to the extent permitted by applicable law, any Committee thereof), which shall have the power to issue or otherwise dispose of Shares and of securities convertible or exercisable into or other rights to acquire from the Company to such persons, on such terms and conditions (including, inter alia, price, with or without premium, discount or commission, and terms relating to calls set forth in Article 13(f) hereof), and at such times, as the Board of Directors (or the Committee, as the case may be) deems fit, and the power to give to any person the option to acquire from the Company any Shares or securities convertible or exercisable into or other rights to acquire from the Company on such terms and conditions (including, inter alia, price, with or without premium, discount or commission), during such time as the Board of Directors (or the Committee, as the case may be) deems fit.</w:t>
      </w:r>
    </w:p>
    <w:p>
      <w:pPr>
        <w:spacing w:after="0" w:line="212" w:lineRule="exact"/>
        <w:rPr>
          <w:rFonts w:ascii="Arial" w:cs="Arial" w:eastAsia="Arial" w:hAnsi="Arial"/>
          <w:sz w:val="19"/>
          <w:szCs w:val="19"/>
          <w:color w:val="auto"/>
        </w:rPr>
      </w:pPr>
    </w:p>
    <w:p>
      <w:pPr>
        <w:ind w:left="520" w:right="40" w:hanging="7"/>
        <w:spacing w:after="0" w:line="310" w:lineRule="auto"/>
        <w:tabs>
          <w:tab w:leader="none" w:pos="80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Company may at any time and from time to time, subject to applicable law, repurchase or finance the purchase of any Shares or other securities issued by the Company, in such manner and under such terms as the Board of Directors shall determine, whether from any one or more Shareholders. Such purchase shall not be deemed as payment of dividends and as such, no Shareholder will have the right to require the Company to purchase his or her Shares or offer to purchase shares from any other Shareholders.</w:t>
      </w:r>
    </w:p>
    <w:p>
      <w:pPr>
        <w:spacing w:after="0" w:line="178" w:lineRule="exact"/>
        <w:rPr>
          <w:rFonts w:ascii="Arial" w:cs="Arial" w:eastAsia="Arial" w:hAnsi="Arial"/>
          <w:sz w:val="18"/>
          <w:szCs w:val="18"/>
          <w:color w:val="auto"/>
        </w:rPr>
      </w:pPr>
    </w:p>
    <w:p>
      <w:pPr>
        <w:ind w:left="560" w:hanging="560"/>
        <w:spacing w:after="0"/>
        <w:tabs>
          <w:tab w:leader="none" w:pos="560" w:val="left"/>
        </w:tabs>
        <w:numPr>
          <w:ilvl w:val="0"/>
          <w:numId w:val="139"/>
        </w:numPr>
        <w:rPr>
          <w:rFonts w:ascii="Arial" w:cs="Arial" w:eastAsia="Arial" w:hAnsi="Arial"/>
          <w:sz w:val="17"/>
          <w:szCs w:val="17"/>
          <w:color w:val="auto"/>
        </w:rPr>
      </w:pPr>
      <w:r>
        <w:rPr>
          <w:rFonts w:ascii="Arial" w:cs="Arial" w:eastAsia="Arial" w:hAnsi="Arial"/>
          <w:sz w:val="17"/>
          <w:szCs w:val="17"/>
          <w:b w:val="1"/>
          <w:bCs w:val="1"/>
          <w:u w:val="single" w:color="auto"/>
          <w:color w:val="auto"/>
        </w:rPr>
        <w:t>PAYMENT IN INSTALLMENT</w:t>
      </w:r>
      <w:r>
        <w:rPr>
          <w:rFonts w:ascii="Arial" w:cs="Arial" w:eastAsia="Arial" w:hAnsi="Arial"/>
          <w:sz w:val="17"/>
          <w:szCs w:val="17"/>
          <w:u w:val="single" w:color="auto"/>
          <w:color w:val="auto"/>
        </w:rPr>
        <w:t>.</w:t>
      </w:r>
    </w:p>
    <w:p>
      <w:pPr>
        <w:spacing w:after="0" w:line="264" w:lineRule="exact"/>
        <w:rPr>
          <w:sz w:val="20"/>
          <w:szCs w:val="20"/>
          <w:color w:val="auto"/>
        </w:rPr>
      </w:pPr>
    </w:p>
    <w:p>
      <w:pPr>
        <w:jc w:val="both"/>
        <w:ind w:left="520" w:right="220"/>
        <w:spacing w:after="0" w:line="276" w:lineRule="auto"/>
        <w:rPr>
          <w:sz w:val="20"/>
          <w:szCs w:val="20"/>
          <w:color w:val="auto"/>
        </w:rPr>
      </w:pPr>
      <w:r>
        <w:rPr>
          <w:rFonts w:ascii="Arial" w:cs="Arial" w:eastAsia="Arial" w:hAnsi="Arial"/>
          <w:sz w:val="20"/>
          <w:szCs w:val="20"/>
          <w:color w:val="auto"/>
        </w:rPr>
        <w:t>If pursuant to the terms of issuance of any Share, all or any portion of the price thereof shall be payable in installments, every such installment shall be paid to the Company on the due date thereof by the then registered holder(s) of the Share or the person(s) then entitled thereto.</w:t>
      </w:r>
    </w:p>
    <w:p>
      <w:pPr>
        <w:spacing w:after="0" w:line="203" w:lineRule="exact"/>
        <w:rPr>
          <w:sz w:val="20"/>
          <w:szCs w:val="20"/>
          <w:color w:val="auto"/>
        </w:rPr>
      </w:pPr>
    </w:p>
    <w:p>
      <w:pPr>
        <w:ind w:left="560" w:hanging="560"/>
        <w:spacing w:after="0"/>
        <w:tabs>
          <w:tab w:leader="none" w:pos="560" w:val="left"/>
        </w:tabs>
        <w:numPr>
          <w:ilvl w:val="0"/>
          <w:numId w:val="140"/>
        </w:numPr>
        <w:rPr>
          <w:rFonts w:ascii="Arial" w:cs="Arial" w:eastAsia="Arial" w:hAnsi="Arial"/>
          <w:sz w:val="17"/>
          <w:szCs w:val="17"/>
          <w:color w:val="auto"/>
        </w:rPr>
      </w:pPr>
      <w:r>
        <w:rPr>
          <w:rFonts w:ascii="Arial" w:cs="Arial" w:eastAsia="Arial" w:hAnsi="Arial"/>
          <w:sz w:val="17"/>
          <w:szCs w:val="17"/>
          <w:b w:val="1"/>
          <w:bCs w:val="1"/>
          <w:u w:val="single" w:color="auto"/>
          <w:color w:val="auto"/>
        </w:rPr>
        <w:t>CALLS ON SHARES</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ind w:left="520" w:hanging="7"/>
        <w:spacing w:after="0" w:line="266" w:lineRule="auto"/>
        <w:tabs>
          <w:tab w:leader="none" w:pos="793" w:val="left"/>
        </w:tabs>
        <w:numPr>
          <w:ilvl w:val="1"/>
          <w:numId w:val="140"/>
        </w:numPr>
        <w:rPr>
          <w:rFonts w:ascii="Arial" w:cs="Arial" w:eastAsia="Arial" w:hAnsi="Arial"/>
          <w:sz w:val="20"/>
          <w:szCs w:val="20"/>
          <w:color w:val="auto"/>
        </w:rPr>
      </w:pPr>
      <w:r>
        <w:rPr>
          <w:rFonts w:ascii="Arial" w:cs="Arial" w:eastAsia="Arial" w:hAnsi="Arial"/>
          <w:sz w:val="20"/>
          <w:szCs w:val="20"/>
          <w:color w:val="auto"/>
        </w:rPr>
        <w:t>The Board of Directors may, from time to time, as it, in its discretion, deems fit, make calls for payment upon Shareholders in respect of any sum (including premium) which has not been paid up in respect of Shares held by such Shareholders and which is not, pursuant to the terms of issuance of such Shares or otherwise, payable at a fixed time, and each Shareholder shall pay the amount of every call so made upon him or her (and of each installment thereof if the same is payable in installments), to the person(s) and at the time(s) and place(s) designated by the Board of Directors, as any such times may be thereafter extended and/or such person(s) or place(s) changed. Unless otherwise stipulated in the resolution of the Board of Directors (and in the notice hereafter referred to), each payment in response to a call shall be deemed to constitute a pro rata payment on account of all the Shares in respect of which such call was made.</w:t>
      </w:r>
    </w:p>
    <w:p>
      <w:pPr>
        <w:spacing w:after="0" w:line="220" w:lineRule="exact"/>
        <w:rPr>
          <w:rFonts w:ascii="Arial" w:cs="Arial" w:eastAsia="Arial" w:hAnsi="Arial"/>
          <w:sz w:val="20"/>
          <w:szCs w:val="20"/>
          <w:color w:val="auto"/>
        </w:rPr>
      </w:pPr>
    </w:p>
    <w:p>
      <w:pPr>
        <w:ind w:left="520" w:right="60" w:hanging="7"/>
        <w:spacing w:after="0" w:line="267" w:lineRule="auto"/>
        <w:tabs>
          <w:tab w:leader="none" w:pos="804" w:val="left"/>
        </w:tabs>
        <w:numPr>
          <w:ilvl w:val="1"/>
          <w:numId w:val="140"/>
        </w:numPr>
        <w:rPr>
          <w:rFonts w:ascii="Arial" w:cs="Arial" w:eastAsia="Arial" w:hAnsi="Arial"/>
          <w:sz w:val="20"/>
          <w:szCs w:val="20"/>
          <w:color w:val="auto"/>
        </w:rPr>
      </w:pPr>
      <w:r>
        <w:rPr>
          <w:rFonts w:ascii="Arial" w:cs="Arial" w:eastAsia="Arial" w:hAnsi="Arial"/>
          <w:sz w:val="20"/>
          <w:szCs w:val="20"/>
          <w:color w:val="auto"/>
        </w:rPr>
        <w:t>Notice of any call for payment by a Shareholder shall be given in writing to such Shareholder not less than fourteen (14) days prior to the time of payment fixed in such notice, and shall specify the time and place of payment, and the person to whom such payment is to be made. Prior to the time for any such payment fixed in a notice of a call given to a Shareholder, the Board of Directors may in its absolute discretion, by notice in writing to such Shareholder, revoke such call in whole or in part, extend the time fixed for payment thereof, or designate a different place of payment or person to whom payment is to be made. In the event of a call payable in installments, only one notice thereof need be given.</w:t>
      </w:r>
    </w:p>
    <w:p>
      <w:pPr>
        <w:spacing w:after="0" w:line="222" w:lineRule="exact"/>
        <w:rPr>
          <w:rFonts w:ascii="Arial" w:cs="Arial" w:eastAsia="Arial" w:hAnsi="Arial"/>
          <w:sz w:val="20"/>
          <w:szCs w:val="20"/>
          <w:color w:val="auto"/>
        </w:rPr>
      </w:pPr>
    </w:p>
    <w:p>
      <w:pPr>
        <w:ind w:left="520" w:right="460" w:hanging="7"/>
        <w:spacing w:after="0" w:line="310" w:lineRule="auto"/>
        <w:tabs>
          <w:tab w:leader="none" w:pos="793"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If pursuant to the terms of issuance of a share or otherwise, an amount is made payable at a fixed time, such amount shall be payable at such time as if it were payable by virtue of a call made by the Board of Directors and for which notice was given in accordance with paragraphs (a) and (b) of this Article 13, and the provision of these Articles with regard to calls (and the non-payment thereof) shall be applicable to such amount or such installment (and the non-payment thereof).</w:t>
      </w:r>
    </w:p>
    <w:p>
      <w:pPr>
        <w:spacing w:after="0" w:line="185" w:lineRule="exact"/>
        <w:rPr>
          <w:rFonts w:ascii="Arial" w:cs="Arial" w:eastAsia="Arial" w:hAnsi="Arial"/>
          <w:sz w:val="18"/>
          <w:szCs w:val="18"/>
          <w:color w:val="auto"/>
        </w:rPr>
      </w:pPr>
    </w:p>
    <w:p>
      <w:pPr>
        <w:ind w:left="520" w:right="240" w:hanging="7"/>
        <w:spacing w:after="0" w:line="290" w:lineRule="auto"/>
        <w:tabs>
          <w:tab w:leader="none" w:pos="804" w:val="left"/>
        </w:tabs>
        <w:numPr>
          <w:ilvl w:val="1"/>
          <w:numId w:val="140"/>
        </w:numPr>
        <w:rPr>
          <w:rFonts w:ascii="Arial" w:cs="Arial" w:eastAsia="Arial" w:hAnsi="Arial"/>
          <w:sz w:val="20"/>
          <w:szCs w:val="20"/>
          <w:color w:val="auto"/>
        </w:rPr>
      </w:pPr>
      <w:r>
        <w:rPr>
          <w:rFonts w:ascii="Arial" w:cs="Arial" w:eastAsia="Arial" w:hAnsi="Arial"/>
          <w:sz w:val="20"/>
          <w:szCs w:val="20"/>
          <w:color w:val="auto"/>
        </w:rPr>
        <w:t>Joint holders of a Share shall be jointly and severally liable to pay all calls for payment in respect of such Share and all interest payable thereon.</w:t>
      </w:r>
    </w:p>
    <w:p>
      <w:pPr>
        <w:spacing w:after="0" w:line="197" w:lineRule="exact"/>
        <w:rPr>
          <w:rFonts w:ascii="Arial" w:cs="Arial" w:eastAsia="Arial" w:hAnsi="Arial"/>
          <w:sz w:val="20"/>
          <w:szCs w:val="20"/>
          <w:color w:val="auto"/>
        </w:rPr>
      </w:pPr>
    </w:p>
    <w:p>
      <w:pPr>
        <w:ind w:left="520" w:right="280" w:hanging="7"/>
        <w:spacing w:after="0" w:line="276" w:lineRule="auto"/>
        <w:tabs>
          <w:tab w:leader="none" w:pos="793" w:val="left"/>
        </w:tabs>
        <w:numPr>
          <w:ilvl w:val="1"/>
          <w:numId w:val="140"/>
        </w:numPr>
        <w:rPr>
          <w:rFonts w:ascii="Arial" w:cs="Arial" w:eastAsia="Arial" w:hAnsi="Arial"/>
          <w:sz w:val="20"/>
          <w:szCs w:val="20"/>
          <w:color w:val="auto"/>
        </w:rPr>
      </w:pPr>
      <w:r>
        <w:rPr>
          <w:rFonts w:ascii="Arial" w:cs="Arial" w:eastAsia="Arial" w:hAnsi="Arial"/>
          <w:sz w:val="20"/>
          <w:szCs w:val="20"/>
          <w:color w:val="auto"/>
        </w:rPr>
        <w:t>Any amount called for payment which is not paid when due shall bear interest from the date fixed for payment until actual payment thereof, at such rate (not exceeding the then prevailing debitory rate charged by leading commercial banks in Israel), and payable at such time(s) as the Board of Directors may prescribe.</w:t>
      </w:r>
    </w:p>
    <w:p>
      <w:pPr>
        <w:spacing w:after="0" w:line="210" w:lineRule="exact"/>
        <w:rPr>
          <w:rFonts w:ascii="Arial" w:cs="Arial" w:eastAsia="Arial" w:hAnsi="Arial"/>
          <w:sz w:val="20"/>
          <w:szCs w:val="20"/>
          <w:color w:val="auto"/>
        </w:rPr>
      </w:pPr>
    </w:p>
    <w:p>
      <w:pPr>
        <w:ind w:left="520" w:right="540" w:hanging="7"/>
        <w:spacing w:after="0" w:line="290" w:lineRule="auto"/>
        <w:tabs>
          <w:tab w:leader="none" w:pos="770" w:val="left"/>
        </w:tabs>
        <w:numPr>
          <w:ilvl w:val="1"/>
          <w:numId w:val="140"/>
        </w:numPr>
        <w:rPr>
          <w:rFonts w:ascii="Arial" w:cs="Arial" w:eastAsia="Arial" w:hAnsi="Arial"/>
          <w:sz w:val="20"/>
          <w:szCs w:val="20"/>
          <w:color w:val="auto"/>
        </w:rPr>
      </w:pPr>
      <w:r>
        <w:rPr>
          <w:rFonts w:ascii="Arial" w:cs="Arial" w:eastAsia="Arial" w:hAnsi="Arial"/>
          <w:sz w:val="20"/>
          <w:szCs w:val="20"/>
          <w:color w:val="auto"/>
        </w:rPr>
        <w:t>Upon the issuance of Shares, the Board of Directors may provide for differences among the holders of such Shares as to the amounts and times for payment of calls for payment in respect of such Shares.</w:t>
      </w:r>
    </w:p>
    <w:p>
      <w:pPr>
        <w:spacing w:after="0" w:line="348" w:lineRule="exact"/>
        <w:rPr>
          <w:rFonts w:ascii="Arial" w:cs="Arial" w:eastAsia="Arial" w:hAnsi="Arial"/>
          <w:sz w:val="20"/>
          <w:szCs w:val="20"/>
          <w:color w:val="auto"/>
        </w:rPr>
      </w:pPr>
    </w:p>
    <w:p>
      <w:pPr>
        <w:ind w:left="5580" w:hanging="123"/>
        <w:spacing w:after="0"/>
        <w:tabs>
          <w:tab w:leader="none" w:pos="5580" w:val="left"/>
        </w:tabs>
        <w:numPr>
          <w:ilvl w:val="2"/>
          <w:numId w:val="140"/>
        </w:numPr>
        <w:rPr>
          <w:rFonts w:ascii="Arial" w:cs="Arial" w:eastAsia="Arial" w:hAnsi="Arial"/>
          <w:sz w:val="20"/>
          <w:szCs w:val="20"/>
          <w:color w:val="auto"/>
        </w:rPr>
      </w:pPr>
      <w:r>
        <w:rPr>
          <w:rFonts w:ascii="Arial" w:cs="Arial" w:eastAsia="Arial" w:hAnsi="Arial"/>
          <w:sz w:val="20"/>
          <w:szCs w:val="20"/>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41845" cy="158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78" w:name="page179"/>
    <w:bookmarkEnd w:id="178"/>
    <w:p>
      <w:pPr>
        <w:ind w:left="560" w:hanging="560"/>
        <w:spacing w:after="0"/>
        <w:tabs>
          <w:tab w:leader="none" w:pos="560" w:val="left"/>
        </w:tabs>
        <w:numPr>
          <w:ilvl w:val="0"/>
          <w:numId w:val="141"/>
        </w:numPr>
        <w:rPr>
          <w:rFonts w:ascii="Arial" w:cs="Arial" w:eastAsia="Arial" w:hAnsi="Arial"/>
          <w:sz w:val="17"/>
          <w:szCs w:val="17"/>
          <w:color w:val="auto"/>
        </w:rPr>
      </w:pPr>
      <w:r>
        <w:rPr>
          <w:rFonts w:ascii="Arial" w:cs="Arial" w:eastAsia="Arial" w:hAnsi="Arial"/>
          <w:sz w:val="17"/>
          <w:szCs w:val="17"/>
          <w:b w:val="1"/>
          <w:bCs w:val="1"/>
          <w:u w:val="single" w:color="auto"/>
          <w:color w:val="auto"/>
        </w:rPr>
        <w:t>PREPAYMENT</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100"/>
        <w:spacing w:after="0" w:line="267" w:lineRule="auto"/>
        <w:rPr>
          <w:sz w:val="20"/>
          <w:szCs w:val="20"/>
          <w:color w:val="auto"/>
        </w:rPr>
      </w:pPr>
      <w:r>
        <w:rPr>
          <w:rFonts w:ascii="Arial" w:cs="Arial" w:eastAsia="Arial" w:hAnsi="Arial"/>
          <w:sz w:val="20"/>
          <w:szCs w:val="20"/>
          <w:color w:val="auto"/>
        </w:rPr>
        <w:t>With the approval of the Board of Directors, any Shareholder may pay to the Company any amount not yet payable in respect of his or her Shares, and the Board of Directors may approve the payment by the Company of interest on any such amount until the same would be payable if it had not been paid in advance, at such rate and time(s) as may be approved by the Board of Directors. The Board of Directors may at any time cause the Company to repay all or any part of the money so advanced, without premium or penalty. Nothing in this Article 14 shall derogate from the right of the Board of Directors to make any call for payment before or after receipt by the Company of any such advance.</w:t>
      </w:r>
    </w:p>
    <w:p>
      <w:pPr>
        <w:spacing w:after="0" w:line="214" w:lineRule="exact"/>
        <w:rPr>
          <w:sz w:val="20"/>
          <w:szCs w:val="20"/>
          <w:color w:val="auto"/>
        </w:rPr>
      </w:pPr>
    </w:p>
    <w:p>
      <w:pPr>
        <w:ind w:left="560" w:hanging="560"/>
        <w:spacing w:after="0"/>
        <w:tabs>
          <w:tab w:leader="none" w:pos="560" w:val="left"/>
        </w:tabs>
        <w:numPr>
          <w:ilvl w:val="0"/>
          <w:numId w:val="142"/>
        </w:numPr>
        <w:rPr>
          <w:rFonts w:ascii="Arial" w:cs="Arial" w:eastAsia="Arial" w:hAnsi="Arial"/>
          <w:sz w:val="17"/>
          <w:szCs w:val="17"/>
          <w:color w:val="auto"/>
        </w:rPr>
      </w:pPr>
      <w:r>
        <w:rPr>
          <w:rFonts w:ascii="Arial" w:cs="Arial" w:eastAsia="Arial" w:hAnsi="Arial"/>
          <w:sz w:val="17"/>
          <w:szCs w:val="17"/>
          <w:b w:val="1"/>
          <w:bCs w:val="1"/>
          <w:u w:val="single" w:color="auto"/>
          <w:color w:val="auto"/>
        </w:rPr>
        <w:t>FORFEITURE AND SURRENDER</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ind w:left="520" w:right="20" w:hanging="7"/>
        <w:spacing w:after="0" w:line="266" w:lineRule="auto"/>
        <w:tabs>
          <w:tab w:leader="none" w:pos="793" w:val="left"/>
        </w:tabs>
        <w:numPr>
          <w:ilvl w:val="1"/>
          <w:numId w:val="142"/>
        </w:numPr>
        <w:rPr>
          <w:rFonts w:ascii="Arial" w:cs="Arial" w:eastAsia="Arial" w:hAnsi="Arial"/>
          <w:sz w:val="20"/>
          <w:szCs w:val="20"/>
          <w:color w:val="auto"/>
        </w:rPr>
      </w:pPr>
      <w:r>
        <w:rPr>
          <w:rFonts w:ascii="Arial" w:cs="Arial" w:eastAsia="Arial" w:hAnsi="Arial"/>
          <w:sz w:val="20"/>
          <w:szCs w:val="20"/>
          <w:color w:val="auto"/>
        </w:rPr>
        <w:t>If any Shareholder fails to pay an amount payable by virtue of a call, installment or interest thereon as provided for in accordance herewith, on or before the day fixed for payment of the same, the Board of Directors may at any time after the day fixed for such payment, so long as such amount (or any portion thereof) or interest thereon (or any portion thereof) remains unpaid, forfeit all or any of the Shares in respect of which such payment was called for. All expenses incurred by the Company in attempting to collect any such amount or interest thereon, including, without limitation, attorneys’ fees and costs of legal proceedings, shall be added to, and shall, for all purposes (including the accrual of interest thereon) constitute a part of, the amount payable to the Company in respect of such call.</w:t>
      </w:r>
    </w:p>
    <w:p>
      <w:pPr>
        <w:spacing w:after="0" w:line="224" w:lineRule="exact"/>
        <w:rPr>
          <w:rFonts w:ascii="Arial" w:cs="Arial" w:eastAsia="Arial" w:hAnsi="Arial"/>
          <w:sz w:val="20"/>
          <w:szCs w:val="20"/>
          <w:color w:val="auto"/>
        </w:rPr>
      </w:pPr>
    </w:p>
    <w:p>
      <w:pPr>
        <w:ind w:left="520" w:right="20" w:hanging="7"/>
        <w:spacing w:after="0" w:line="284" w:lineRule="auto"/>
        <w:tabs>
          <w:tab w:leader="none" w:pos="804" w:val="left"/>
        </w:tabs>
        <w:numPr>
          <w:ilvl w:val="1"/>
          <w:numId w:val="142"/>
        </w:numPr>
        <w:rPr>
          <w:rFonts w:ascii="Arial" w:cs="Arial" w:eastAsia="Arial" w:hAnsi="Arial"/>
          <w:sz w:val="19"/>
          <w:szCs w:val="19"/>
          <w:color w:val="auto"/>
        </w:rPr>
      </w:pPr>
      <w:r>
        <w:rPr>
          <w:rFonts w:ascii="Arial" w:cs="Arial" w:eastAsia="Arial" w:hAnsi="Arial"/>
          <w:sz w:val="19"/>
          <w:szCs w:val="19"/>
          <w:color w:val="auto"/>
        </w:rPr>
        <w:t xml:space="preserve">Upon the adoption of a resolution as to the forfeiture of a Shareholder’s Share, the Board of Directors shall cause notice thereof to be given to such Shareholder, which notice shall state that, in the event of the failure to pay the entire amount so payable by a date specified in the notice (which date shall be not less than fourteen (14) days after the date such notice is given and which may be extended by the Board of Directors), such Shares shall be ipso facto forfeited,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prior to such date, the Board of Directors may cancel such resolution of forfeiture, but no such cancellation shall stop the Board of Directors from adopting a further resolution of forfeiture in respect of the non-payment of the same amount.</w:t>
      </w:r>
    </w:p>
    <w:p>
      <w:pPr>
        <w:spacing w:after="0" w:line="206" w:lineRule="exact"/>
        <w:rPr>
          <w:rFonts w:ascii="Arial" w:cs="Arial" w:eastAsia="Arial" w:hAnsi="Arial"/>
          <w:sz w:val="19"/>
          <w:szCs w:val="19"/>
          <w:color w:val="auto"/>
        </w:rPr>
      </w:pPr>
    </w:p>
    <w:p>
      <w:pPr>
        <w:ind w:left="520" w:right="560" w:hanging="7"/>
        <w:spacing w:after="0" w:line="349" w:lineRule="auto"/>
        <w:tabs>
          <w:tab w:leader="none" w:pos="79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Without derogating from Articles 51 and 55 hereof, whenever Shares are forfeited as herein provided, all dividends, if any, theretofore declared in respect thereof and not actually paid shall be deemed to have been forfeited at the same time.</w:t>
      </w:r>
    </w:p>
    <w:p>
      <w:pPr>
        <w:spacing w:after="0" w:line="151" w:lineRule="exact"/>
        <w:rPr>
          <w:rFonts w:ascii="Arial" w:cs="Arial" w:eastAsia="Arial" w:hAnsi="Arial"/>
          <w:sz w:val="18"/>
          <w:szCs w:val="18"/>
          <w:color w:val="auto"/>
        </w:rPr>
      </w:pPr>
    </w:p>
    <w:p>
      <w:pPr>
        <w:ind w:left="800" w:hanging="287"/>
        <w:spacing w:after="0"/>
        <w:tabs>
          <w:tab w:leader="none" w:pos="800" w:val="left"/>
        </w:tabs>
        <w:numPr>
          <w:ilvl w:val="1"/>
          <w:numId w:val="142"/>
        </w:numPr>
        <w:rPr>
          <w:rFonts w:ascii="Arial" w:cs="Arial" w:eastAsia="Arial" w:hAnsi="Arial"/>
          <w:sz w:val="20"/>
          <w:szCs w:val="20"/>
          <w:color w:val="auto"/>
        </w:rPr>
      </w:pPr>
      <w:r>
        <w:rPr>
          <w:rFonts w:ascii="Arial" w:cs="Arial" w:eastAsia="Arial" w:hAnsi="Arial"/>
          <w:sz w:val="20"/>
          <w:szCs w:val="20"/>
          <w:color w:val="auto"/>
        </w:rPr>
        <w:t>The Company, by resolution of the Board of Directors, may accept the voluntary surrender of any Share.</w:t>
      </w:r>
    </w:p>
    <w:p>
      <w:pPr>
        <w:spacing w:after="0" w:line="272" w:lineRule="exact"/>
        <w:rPr>
          <w:rFonts w:ascii="Arial" w:cs="Arial" w:eastAsia="Arial" w:hAnsi="Arial"/>
          <w:sz w:val="20"/>
          <w:szCs w:val="20"/>
          <w:color w:val="auto"/>
        </w:rPr>
      </w:pPr>
    </w:p>
    <w:p>
      <w:pPr>
        <w:jc w:val="center"/>
        <w:ind w:left="520" w:right="20" w:hanging="7"/>
        <w:spacing w:after="0" w:line="349" w:lineRule="auto"/>
        <w:tabs>
          <w:tab w:leader="none" w:pos="79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Share forfeited or surrendered as provided herein, shall become the property of the Company as a dormant Share, and the same, subject to the provisions of these Articles, may be sold, re-issued or otherwise disposed of as the Board of Directors deems fit.</w:t>
      </w:r>
    </w:p>
    <w:p>
      <w:pPr>
        <w:spacing w:after="0" w:line="151" w:lineRule="exact"/>
        <w:rPr>
          <w:rFonts w:ascii="Arial" w:cs="Arial" w:eastAsia="Arial" w:hAnsi="Arial"/>
          <w:sz w:val="18"/>
          <w:szCs w:val="18"/>
          <w:color w:val="auto"/>
        </w:rPr>
      </w:pPr>
    </w:p>
    <w:p>
      <w:pPr>
        <w:ind w:left="520" w:hanging="7"/>
        <w:spacing w:after="0" w:line="281" w:lineRule="auto"/>
        <w:tabs>
          <w:tab w:leader="none" w:pos="770" w:val="left"/>
        </w:tabs>
        <w:numPr>
          <w:ilvl w:val="1"/>
          <w:numId w:val="142"/>
        </w:numPr>
        <w:rPr>
          <w:rFonts w:ascii="Arial" w:cs="Arial" w:eastAsia="Arial" w:hAnsi="Arial"/>
          <w:sz w:val="19"/>
          <w:szCs w:val="19"/>
          <w:color w:val="auto"/>
        </w:rPr>
      </w:pPr>
      <w:r>
        <w:rPr>
          <w:rFonts w:ascii="Arial" w:cs="Arial" w:eastAsia="Arial" w:hAnsi="Arial"/>
          <w:sz w:val="19"/>
          <w:szCs w:val="19"/>
          <w:color w:val="auto"/>
        </w:rPr>
        <w:t>Any person whose Shares have been forfeited or surrendered shall cease to be a Shareholder in respect of the forfeited or surrendered Shares, but shall, notwithstanding, be liable to pay, and shall forthwith pay, to the Company, all calls, interest and expenses owing upon or in respect of such Shares at the time of forfeiture or surrender, together with interest thereon from the time of forfeiture or surrender until actual payment, at the rate prescribed in Article 13(e) above, and the Board of Directors, in its discretion, may, but shall not be obligated to, enforce or collect the payment of such amounts, or any part thereof, as it shall deem fit. In the event of such forfeiture or surrender, the Company, by resolution of the Board of Directors, may accelerate the date(s) of payment of any or all amounts then owing to the Company by the person in question (but not yet due) in respect of all Shares owned by such Shareholder, solely or jointly with another.</w:t>
      </w:r>
    </w:p>
    <w:p>
      <w:pPr>
        <w:spacing w:after="0" w:line="212" w:lineRule="exact"/>
        <w:rPr>
          <w:rFonts w:ascii="Arial" w:cs="Arial" w:eastAsia="Arial" w:hAnsi="Arial"/>
          <w:sz w:val="19"/>
          <w:szCs w:val="19"/>
          <w:color w:val="auto"/>
        </w:rPr>
      </w:pPr>
    </w:p>
    <w:p>
      <w:pPr>
        <w:ind w:left="520" w:hanging="7"/>
        <w:spacing w:after="0" w:line="276" w:lineRule="auto"/>
        <w:tabs>
          <w:tab w:leader="none" w:pos="804" w:val="left"/>
        </w:tabs>
        <w:numPr>
          <w:ilvl w:val="1"/>
          <w:numId w:val="142"/>
        </w:numPr>
        <w:rPr>
          <w:rFonts w:ascii="Arial" w:cs="Arial" w:eastAsia="Arial" w:hAnsi="Arial"/>
          <w:sz w:val="20"/>
          <w:szCs w:val="20"/>
          <w:color w:val="auto"/>
        </w:rPr>
      </w:pPr>
      <w:r>
        <w:rPr>
          <w:rFonts w:ascii="Arial" w:cs="Arial" w:eastAsia="Arial" w:hAnsi="Arial"/>
          <w:sz w:val="20"/>
          <w:szCs w:val="20"/>
          <w:color w:val="auto"/>
        </w:rPr>
        <w:t>The Board of Directors may at any time, before any Share so forfeited or surrendered shall have been sold, re-issued or otherwise disposed of, nullify the forfeiture or surrender on such conditions as it deems fit, but no such nullification shall stop the Board of Directors from re-exercising its powers of forfeiture pursuant to this Article 15.</w:t>
      </w:r>
    </w:p>
    <w:p>
      <w:pPr>
        <w:spacing w:after="0" w:line="361" w:lineRule="exact"/>
        <w:rPr>
          <w:rFonts w:ascii="Arial" w:cs="Arial" w:eastAsia="Arial" w:hAnsi="Arial"/>
          <w:sz w:val="20"/>
          <w:szCs w:val="20"/>
          <w:color w:val="auto"/>
        </w:rPr>
      </w:pPr>
    </w:p>
    <w:p>
      <w:pPr>
        <w:ind w:left="5580" w:hanging="123"/>
        <w:spacing w:after="0"/>
        <w:tabs>
          <w:tab w:leader="none" w:pos="5580" w:val="left"/>
        </w:tabs>
        <w:numPr>
          <w:ilvl w:val="2"/>
          <w:numId w:val="142"/>
        </w:numPr>
        <w:rPr>
          <w:rFonts w:ascii="Arial" w:cs="Arial" w:eastAsia="Arial" w:hAnsi="Arial"/>
          <w:sz w:val="20"/>
          <w:szCs w:val="20"/>
          <w:color w:val="auto"/>
        </w:rPr>
      </w:pPr>
      <w:r>
        <w:rPr>
          <w:rFonts w:ascii="Arial" w:cs="Arial" w:eastAsia="Arial" w:hAnsi="Arial"/>
          <w:sz w:val="20"/>
          <w:szCs w:val="20"/>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41845" cy="158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374" w:right="379" w:bottom="1440" w:gutter="0" w:footer="0" w:header="0"/>
        </w:sectPr>
      </w:pPr>
    </w:p>
    <w:bookmarkStart w:id="179" w:name="page180"/>
    <w:bookmarkEnd w:id="179"/>
    <w:p>
      <w:pPr>
        <w:ind w:left="560" w:hanging="560"/>
        <w:spacing w:after="0"/>
        <w:tabs>
          <w:tab w:leader="none" w:pos="560" w:val="left"/>
        </w:tabs>
        <w:numPr>
          <w:ilvl w:val="0"/>
          <w:numId w:val="143"/>
        </w:numPr>
        <w:rPr>
          <w:rFonts w:ascii="Arial" w:cs="Arial" w:eastAsia="Arial" w:hAnsi="Arial"/>
          <w:sz w:val="17"/>
          <w:szCs w:val="17"/>
          <w:color w:val="auto"/>
        </w:rPr>
      </w:pPr>
      <w:r>
        <w:rPr>
          <w:rFonts w:ascii="Arial" w:cs="Arial" w:eastAsia="Arial" w:hAnsi="Arial"/>
          <w:sz w:val="17"/>
          <w:szCs w:val="17"/>
          <w:b w:val="1"/>
          <w:bCs w:val="1"/>
          <w:u w:val="single" w:color="auto"/>
          <w:color w:val="auto"/>
        </w:rPr>
        <w:t>LIEN</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ind w:left="520" w:hanging="7"/>
        <w:spacing w:after="0" w:line="300" w:lineRule="auto"/>
        <w:tabs>
          <w:tab w:leader="none" w:pos="793" w:val="left"/>
        </w:tabs>
        <w:numPr>
          <w:ilvl w:val="1"/>
          <w:numId w:val="143"/>
        </w:numPr>
        <w:rPr>
          <w:rFonts w:ascii="Arial" w:cs="Arial" w:eastAsia="Arial" w:hAnsi="Arial"/>
          <w:sz w:val="18"/>
          <w:szCs w:val="18"/>
          <w:color w:val="auto"/>
        </w:rPr>
      </w:pPr>
      <w:r>
        <w:rPr>
          <w:rFonts w:ascii="Arial" w:cs="Arial" w:eastAsia="Arial" w:hAnsi="Arial"/>
          <w:sz w:val="18"/>
          <w:szCs w:val="18"/>
          <w:color w:val="auto"/>
        </w:rPr>
        <w:t>Except to the extent the same may be waived or subordinated in writing, the Company shall have a first and paramount lien upon all the Shares registered in the name of each Shareholder (without regard to any equitable or other claim or interest in such Shares on the part of any other person), and upon the proceeds of the sale thereof, for his or her debts, liabilities and engagements to the Company arising from any amount payable by such Shareholder in respect of any unpaid or partly paid Share, whether or not such debt, liability or engagement has matured. Such lien shall extend to all dividends from time to time declared or paid in respect of such Share. Unless otherwise provided, the registration by the Company of a transfer of Shares shall be deemed to be a waiver on the part of the Company of the lien (if any) existing on such Shares immediately prior to such transfer.</w:t>
      </w:r>
    </w:p>
    <w:p>
      <w:pPr>
        <w:spacing w:after="0" w:line="197" w:lineRule="exact"/>
        <w:rPr>
          <w:rFonts w:ascii="Arial" w:cs="Arial" w:eastAsia="Arial" w:hAnsi="Arial"/>
          <w:sz w:val="18"/>
          <w:szCs w:val="18"/>
          <w:color w:val="auto"/>
        </w:rPr>
      </w:pPr>
    </w:p>
    <w:p>
      <w:pPr>
        <w:ind w:left="520" w:right="140" w:hanging="7"/>
        <w:spacing w:after="0" w:line="271" w:lineRule="auto"/>
        <w:tabs>
          <w:tab w:leader="none" w:pos="804" w:val="left"/>
        </w:tabs>
        <w:numPr>
          <w:ilvl w:val="1"/>
          <w:numId w:val="143"/>
        </w:numPr>
        <w:rPr>
          <w:rFonts w:ascii="Arial" w:cs="Arial" w:eastAsia="Arial" w:hAnsi="Arial"/>
          <w:sz w:val="20"/>
          <w:szCs w:val="20"/>
          <w:color w:val="auto"/>
        </w:rPr>
      </w:pPr>
      <w:r>
        <w:rPr>
          <w:rFonts w:ascii="Arial" w:cs="Arial" w:eastAsia="Arial" w:hAnsi="Arial"/>
          <w:sz w:val="20"/>
          <w:szCs w:val="20"/>
          <w:color w:val="auto"/>
        </w:rPr>
        <w:t>The Board of Directors may cause the Company to sell a Share subject to such a lien when the debt, liability or engagement giving rise to such lien has matured, in such manner as the Board of Directors deems fit, but no such sale shall be made unless such debt, liability or engagement has not been satisfied within fourteen (14) days after written notice of the intention to sell shall have been served on such Shareholder, his or her executors or administrators.</w:t>
      </w:r>
    </w:p>
    <w:p>
      <w:pPr>
        <w:spacing w:after="0" w:line="216" w:lineRule="exact"/>
        <w:rPr>
          <w:rFonts w:ascii="Arial" w:cs="Arial" w:eastAsia="Arial" w:hAnsi="Arial"/>
          <w:sz w:val="20"/>
          <w:szCs w:val="20"/>
          <w:color w:val="auto"/>
        </w:rPr>
      </w:pPr>
    </w:p>
    <w:p>
      <w:pPr>
        <w:ind w:left="520" w:right="180" w:hanging="7"/>
        <w:spacing w:after="0" w:line="320" w:lineRule="auto"/>
        <w:tabs>
          <w:tab w:leader="none" w:pos="793"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net proceeds of any such sale, after payment of the costs and expenses thereof or ancillary thereto, shall be applied in or toward satisfaction of the debts, liabilities or engagements of such Shareholder in respect of such Share (whether or not the same have matured), and the remaining proceeds (if any) shall be paid to the Shareholder, his or her executors, administrators or assigns.</w:t>
      </w:r>
    </w:p>
    <w:p>
      <w:pPr>
        <w:spacing w:after="0" w:line="168" w:lineRule="exact"/>
        <w:rPr>
          <w:rFonts w:ascii="Arial" w:cs="Arial" w:eastAsia="Arial" w:hAnsi="Arial"/>
          <w:sz w:val="18"/>
          <w:szCs w:val="18"/>
          <w:color w:val="auto"/>
        </w:rPr>
      </w:pPr>
    </w:p>
    <w:p>
      <w:pPr>
        <w:ind w:left="560" w:hanging="560"/>
        <w:spacing w:after="0"/>
        <w:tabs>
          <w:tab w:leader="none" w:pos="560" w:val="left"/>
        </w:tabs>
        <w:numPr>
          <w:ilvl w:val="0"/>
          <w:numId w:val="143"/>
        </w:numPr>
        <w:rPr>
          <w:rFonts w:ascii="Arial" w:cs="Arial" w:eastAsia="Arial" w:hAnsi="Arial"/>
          <w:sz w:val="17"/>
          <w:szCs w:val="17"/>
          <w:color w:val="auto"/>
        </w:rPr>
      </w:pPr>
      <w:r>
        <w:rPr>
          <w:rFonts w:ascii="Arial" w:cs="Arial" w:eastAsia="Arial" w:hAnsi="Arial"/>
          <w:sz w:val="17"/>
          <w:szCs w:val="17"/>
          <w:b w:val="1"/>
          <w:bCs w:val="1"/>
          <w:u w:val="single" w:color="auto"/>
          <w:color w:val="auto"/>
        </w:rPr>
        <w:t>SALE AFTER FORFEITURE OR SURRENDER OR FOR ENFORCEMENT OF LIEN</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spacing w:after="0" w:line="284" w:lineRule="auto"/>
        <w:rPr>
          <w:sz w:val="20"/>
          <w:szCs w:val="20"/>
          <w:color w:val="auto"/>
        </w:rPr>
      </w:pPr>
      <w:r>
        <w:rPr>
          <w:rFonts w:ascii="Arial" w:cs="Arial" w:eastAsia="Arial" w:hAnsi="Arial"/>
          <w:sz w:val="19"/>
          <w:szCs w:val="19"/>
          <w:color w:val="auto"/>
        </w:rPr>
        <w:t>Upon any sale of a share after forfeiture or surrender or for enforcing a lien, the Board of Directors may appoint any person to execute an instrument of transfer of the Share so sold and cause the purchaser’s name to be entered in the Register of Shareholders in respect of such Share. The purchaser shall be registered as the Shareholder and shall not be bound to see to the regularity of the sale proceedings, or to the application of the proceeds of such sale, and after his or her name has been entered in the Register of Shareholders in respect of such Share, the validity of the sale shall not be impeached by any person, and the remedy of any person aggrieved by the sale shall be in damages only and against the Company exclusively.</w:t>
      </w:r>
    </w:p>
    <w:p>
      <w:pPr>
        <w:spacing w:after="0" w:line="198" w:lineRule="exact"/>
        <w:rPr>
          <w:sz w:val="20"/>
          <w:szCs w:val="20"/>
          <w:color w:val="auto"/>
        </w:rPr>
      </w:pPr>
    </w:p>
    <w:p>
      <w:pPr>
        <w:ind w:left="560" w:hanging="560"/>
        <w:spacing w:after="0"/>
        <w:tabs>
          <w:tab w:leader="none" w:pos="560" w:val="left"/>
        </w:tabs>
        <w:numPr>
          <w:ilvl w:val="0"/>
          <w:numId w:val="144"/>
        </w:numPr>
        <w:rPr>
          <w:rFonts w:ascii="Arial" w:cs="Arial" w:eastAsia="Arial" w:hAnsi="Arial"/>
          <w:sz w:val="17"/>
          <w:szCs w:val="17"/>
          <w:color w:val="auto"/>
        </w:rPr>
      </w:pPr>
      <w:r>
        <w:rPr>
          <w:rFonts w:ascii="Arial" w:cs="Arial" w:eastAsia="Arial" w:hAnsi="Arial"/>
          <w:sz w:val="17"/>
          <w:szCs w:val="17"/>
          <w:b w:val="1"/>
          <w:bCs w:val="1"/>
          <w:u w:val="single" w:color="auto"/>
          <w:color w:val="auto"/>
        </w:rPr>
        <w:t>REDEEMABLE SHARES</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280"/>
        <w:spacing w:after="0" w:line="349" w:lineRule="auto"/>
        <w:rPr>
          <w:sz w:val="20"/>
          <w:szCs w:val="20"/>
          <w:color w:val="auto"/>
        </w:rPr>
      </w:pPr>
      <w:r>
        <w:rPr>
          <w:rFonts w:ascii="Arial" w:cs="Arial" w:eastAsia="Arial" w:hAnsi="Arial"/>
          <w:sz w:val="18"/>
          <w:szCs w:val="18"/>
          <w:color w:val="auto"/>
        </w:rPr>
        <w:t>The Company may, subject to applicable law, issue redeemable shares or other securities and redeem the same upon terms and conditions to be set forth in a written agreement between the Company and the holder of such shares or in their terms of issuance.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TRANSFER OF SHARES</w:t>
      </w:r>
    </w:p>
    <w:p>
      <w:pPr>
        <w:spacing w:after="0" w:line="268" w:lineRule="exact"/>
        <w:rPr>
          <w:sz w:val="20"/>
          <w:szCs w:val="20"/>
          <w:color w:val="auto"/>
        </w:rPr>
      </w:pPr>
    </w:p>
    <w:p>
      <w:pPr>
        <w:ind w:left="560" w:hanging="560"/>
        <w:spacing w:after="0"/>
        <w:tabs>
          <w:tab w:leader="none" w:pos="560" w:val="left"/>
        </w:tabs>
        <w:numPr>
          <w:ilvl w:val="0"/>
          <w:numId w:val="145"/>
        </w:numPr>
        <w:rPr>
          <w:rFonts w:ascii="Arial" w:cs="Arial" w:eastAsia="Arial" w:hAnsi="Arial"/>
          <w:sz w:val="17"/>
          <w:szCs w:val="17"/>
          <w:color w:val="auto"/>
        </w:rPr>
      </w:pPr>
      <w:r>
        <w:rPr>
          <w:rFonts w:ascii="Arial" w:cs="Arial" w:eastAsia="Arial" w:hAnsi="Arial"/>
          <w:sz w:val="17"/>
          <w:szCs w:val="17"/>
          <w:b w:val="1"/>
          <w:bCs w:val="1"/>
          <w:u w:val="single" w:color="auto"/>
          <w:color w:val="auto"/>
        </w:rPr>
        <w:t>REGISTRATION OF TRANSFER</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60"/>
        <w:spacing w:after="0" w:line="298" w:lineRule="auto"/>
        <w:rPr>
          <w:sz w:val="20"/>
          <w:szCs w:val="20"/>
          <w:color w:val="auto"/>
        </w:rPr>
      </w:pPr>
      <w:r>
        <w:rPr>
          <w:rFonts w:ascii="Arial" w:cs="Arial" w:eastAsia="Arial" w:hAnsi="Arial"/>
          <w:sz w:val="18"/>
          <w:szCs w:val="18"/>
          <w:color w:val="auto"/>
        </w:rPr>
        <w:t>No transfer of Shares shall be registered unless a proper writing or instrument of transfer (in any customary form or any other form satisfactory to the Board of Directors or an officer of the Company to be designated by the Chief Executive Officer) has been submitted to the Company (or its transfer agent), together with any share certificate(s) and such other evidence of title as the Board of Directors or an officer of the Company to be designated by the Chief Executive Officer may require. Notwithstanding anything to the contrary herein, Shares registered in the name of The Depository Trust Company or its nominee shall be transferrable in accordance with the policies and procedures of The Depository Trust Company. Until the transferee has been registered in the Register of Shareholders in respect of the Shares so transferred, the Company may continue to regard the transferor as the owner thereof. The Board of Directors, may, from time to time, prescribe a fee for the registration of a transfer, and may approve other methods of recognizing the transfer of Shares in order to facilitate the trading of the Company’s shares on the Stock Exchange.</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41845" cy="158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374" w:right="359" w:bottom="1440" w:gutter="0" w:footer="0" w:header="0"/>
        </w:sectPr>
      </w:pPr>
    </w:p>
    <w:bookmarkStart w:id="180" w:name="page181"/>
    <w:bookmarkEnd w:id="180"/>
    <w:p>
      <w:pPr>
        <w:ind w:left="560" w:hanging="560"/>
        <w:spacing w:after="0"/>
        <w:tabs>
          <w:tab w:leader="none" w:pos="560" w:val="left"/>
        </w:tabs>
        <w:numPr>
          <w:ilvl w:val="0"/>
          <w:numId w:val="146"/>
        </w:numPr>
        <w:rPr>
          <w:rFonts w:ascii="Arial" w:cs="Arial" w:eastAsia="Arial" w:hAnsi="Arial"/>
          <w:sz w:val="17"/>
          <w:szCs w:val="17"/>
          <w:color w:val="auto"/>
        </w:rPr>
      </w:pPr>
      <w:r>
        <w:rPr>
          <w:rFonts w:ascii="Arial" w:cs="Arial" w:eastAsia="Arial" w:hAnsi="Arial"/>
          <w:sz w:val="17"/>
          <w:szCs w:val="17"/>
          <w:b w:val="1"/>
          <w:bCs w:val="1"/>
          <w:u w:val="single" w:color="auto"/>
          <w:color w:val="auto"/>
        </w:rPr>
        <w:t>SUSPENSION OF REGISTRATION</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40"/>
        <w:spacing w:after="0" w:line="276" w:lineRule="auto"/>
        <w:rPr>
          <w:sz w:val="20"/>
          <w:szCs w:val="20"/>
          <w:color w:val="auto"/>
        </w:rPr>
      </w:pPr>
      <w:r>
        <w:rPr>
          <w:rFonts w:ascii="Arial" w:cs="Arial" w:eastAsia="Arial" w:hAnsi="Arial"/>
          <w:sz w:val="20"/>
          <w:szCs w:val="20"/>
          <w:color w:val="auto"/>
        </w:rPr>
        <w:t>The Board of Directors may, in its discretion to the extent it deems necessary, close the Register of Shareholders of registration of transfers of Shares for a period determined by the Board of Directors, and no registrations of transfers of Shares shall be made by the Company during any such period during which the Register of Shareholders is so closed.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TRANSMISSION OF SHARES</w:t>
      </w:r>
    </w:p>
    <w:p>
      <w:pPr>
        <w:spacing w:after="0" w:line="268" w:lineRule="exact"/>
        <w:rPr>
          <w:sz w:val="20"/>
          <w:szCs w:val="20"/>
          <w:color w:val="auto"/>
        </w:rPr>
      </w:pPr>
    </w:p>
    <w:p>
      <w:pPr>
        <w:ind w:left="560" w:hanging="560"/>
        <w:spacing w:after="0"/>
        <w:tabs>
          <w:tab w:leader="none" w:pos="560" w:val="left"/>
        </w:tabs>
        <w:numPr>
          <w:ilvl w:val="0"/>
          <w:numId w:val="147"/>
        </w:numPr>
        <w:rPr>
          <w:rFonts w:ascii="Arial" w:cs="Arial" w:eastAsia="Arial" w:hAnsi="Arial"/>
          <w:sz w:val="17"/>
          <w:szCs w:val="17"/>
          <w:color w:val="auto"/>
        </w:rPr>
      </w:pPr>
      <w:r>
        <w:rPr>
          <w:rFonts w:ascii="Arial" w:cs="Arial" w:eastAsia="Arial" w:hAnsi="Arial"/>
          <w:sz w:val="17"/>
          <w:szCs w:val="17"/>
          <w:b w:val="1"/>
          <w:bCs w:val="1"/>
          <w:u w:val="single" w:color="auto"/>
          <w:color w:val="auto"/>
        </w:rPr>
        <w:t>DECEDENTS’ SHARES</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spacing w:after="0" w:line="271" w:lineRule="auto"/>
        <w:rPr>
          <w:sz w:val="20"/>
          <w:szCs w:val="20"/>
          <w:color w:val="auto"/>
        </w:rPr>
      </w:pPr>
      <w:r>
        <w:rPr>
          <w:rFonts w:ascii="Arial" w:cs="Arial" w:eastAsia="Arial" w:hAnsi="Arial"/>
          <w:sz w:val="20"/>
          <w:szCs w:val="20"/>
          <w:color w:val="auto"/>
        </w:rPr>
        <w:t>Upon the death of a Shareholder, the Company shall recognize the custodian or administrator of the estate or executor of the will, and in the absence of such, the lawful heirs of the Shareholder, as the only holders of the right for the Shares of the deceased Shareholder, after receipt of evidence to the entitlement thereto, as determined by the Board of Directors or an officer of the Company to be designated by the Chief Executive Officer.</w:t>
      </w:r>
    </w:p>
    <w:p>
      <w:pPr>
        <w:spacing w:after="0" w:line="209" w:lineRule="exact"/>
        <w:rPr>
          <w:sz w:val="20"/>
          <w:szCs w:val="20"/>
          <w:color w:val="auto"/>
        </w:rPr>
      </w:pPr>
    </w:p>
    <w:p>
      <w:pPr>
        <w:ind w:left="560" w:hanging="560"/>
        <w:spacing w:after="0"/>
        <w:tabs>
          <w:tab w:leader="none" w:pos="560" w:val="left"/>
        </w:tabs>
        <w:numPr>
          <w:ilvl w:val="0"/>
          <w:numId w:val="148"/>
        </w:numPr>
        <w:rPr>
          <w:rFonts w:ascii="Arial" w:cs="Arial" w:eastAsia="Arial" w:hAnsi="Arial"/>
          <w:sz w:val="17"/>
          <w:szCs w:val="17"/>
          <w:color w:val="auto"/>
        </w:rPr>
      </w:pPr>
      <w:r>
        <w:rPr>
          <w:rFonts w:ascii="Arial" w:cs="Arial" w:eastAsia="Arial" w:hAnsi="Arial"/>
          <w:sz w:val="17"/>
          <w:szCs w:val="17"/>
          <w:b w:val="1"/>
          <w:bCs w:val="1"/>
          <w:u w:val="single" w:color="auto"/>
          <w:color w:val="auto"/>
        </w:rPr>
        <w:t>RECEIVERS AND LIQUIDATORS</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jc w:val="both"/>
        <w:ind w:left="520" w:right="180" w:hanging="7"/>
        <w:spacing w:after="0" w:line="271" w:lineRule="auto"/>
        <w:tabs>
          <w:tab w:leader="none" w:pos="793" w:val="left"/>
        </w:tabs>
        <w:numPr>
          <w:ilvl w:val="1"/>
          <w:numId w:val="148"/>
        </w:numPr>
        <w:rPr>
          <w:rFonts w:ascii="Arial" w:cs="Arial" w:eastAsia="Arial" w:hAnsi="Arial"/>
          <w:sz w:val="20"/>
          <w:szCs w:val="20"/>
          <w:color w:val="auto"/>
        </w:rPr>
      </w:pPr>
      <w:r>
        <w:rPr>
          <w:rFonts w:ascii="Arial" w:cs="Arial" w:eastAsia="Arial" w:hAnsi="Arial"/>
          <w:sz w:val="20"/>
          <w:szCs w:val="20"/>
          <w:color w:val="auto"/>
        </w:rPr>
        <w:t>The Company may recognize any receiver, liquidator or similar official appointed to wind-up, dissolve or otherwise liquidate a corporate Shareholder, and a trustee, manager, receiver, liquidator or similar official appointed in bankruptcy or in connection with the reorganization of, or similar proceeding with respect to a Shareholder or its properties, as being entitled to the Shares registered in the name of such Shareholder.</w:t>
      </w:r>
    </w:p>
    <w:p>
      <w:pPr>
        <w:spacing w:after="0" w:line="216" w:lineRule="exact"/>
        <w:rPr>
          <w:rFonts w:ascii="Arial" w:cs="Arial" w:eastAsia="Arial" w:hAnsi="Arial"/>
          <w:sz w:val="20"/>
          <w:szCs w:val="20"/>
          <w:color w:val="auto"/>
        </w:rPr>
      </w:pPr>
    </w:p>
    <w:p>
      <w:pPr>
        <w:ind w:left="520" w:right="80" w:hanging="7"/>
        <w:spacing w:after="0" w:line="300" w:lineRule="auto"/>
        <w:tabs>
          <w:tab w:leader="none" w:pos="804" w:val="left"/>
        </w:tabs>
        <w:numPr>
          <w:ilvl w:val="1"/>
          <w:numId w:val="148"/>
        </w:numPr>
        <w:rPr>
          <w:rFonts w:ascii="Arial" w:cs="Arial" w:eastAsia="Arial" w:hAnsi="Arial"/>
          <w:sz w:val="18"/>
          <w:szCs w:val="18"/>
          <w:color w:val="auto"/>
        </w:rPr>
      </w:pPr>
      <w:r>
        <w:rPr>
          <w:rFonts w:ascii="Arial" w:cs="Arial" w:eastAsia="Arial" w:hAnsi="Arial"/>
          <w:sz w:val="18"/>
          <w:szCs w:val="18"/>
          <w:color w:val="auto"/>
        </w:rPr>
        <w:t>Such receiver, liquidator or similar official appointed to wind-up, dissolve or otherwise liquidate a corporate Shareholder and such trustee, manager, receiver, liquidator or similar official appointed in bankruptcy or in connection with the reorganization of, or similar proceedings with respect to a Shareholder or its properties, upon producing such evidence as the Board of Directors (or an officer of the Company to be designated by the Chief Executive Officer) may deem sufficient as to his or her authority to act in such capacity or under this Article, shall with the consent of the Board of Directors or an officer of the Company to be designated by the Chief Executive Officer (which the Board of Directors or such officer may grant or refuse in its absolute discretion), be registered as a Shareholder in respect of such Shares, or may, subject to the regulations as to transfer herein contained, transfer such Shares.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MEETINGS</w:t>
      </w:r>
    </w:p>
    <w:p>
      <w:pPr>
        <w:spacing w:after="0" w:line="268" w:lineRule="exact"/>
        <w:rPr>
          <w:sz w:val="20"/>
          <w:szCs w:val="20"/>
          <w:color w:val="auto"/>
        </w:rPr>
      </w:pPr>
    </w:p>
    <w:p>
      <w:pPr>
        <w:ind w:left="560" w:hanging="560"/>
        <w:spacing w:after="0"/>
        <w:tabs>
          <w:tab w:leader="none" w:pos="560" w:val="left"/>
        </w:tabs>
        <w:numPr>
          <w:ilvl w:val="0"/>
          <w:numId w:val="149"/>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 MEETINGS</w:t>
      </w:r>
      <w:r>
        <w:rPr>
          <w:rFonts w:ascii="Arial" w:cs="Arial" w:eastAsia="Arial" w:hAnsi="Arial"/>
          <w:sz w:val="17"/>
          <w:szCs w:val="17"/>
          <w:u w:val="single" w:color="auto"/>
          <w:color w:val="auto"/>
        </w:rPr>
        <w:t>.</w:t>
      </w:r>
    </w:p>
    <w:p>
      <w:pPr>
        <w:spacing w:after="0" w:line="260" w:lineRule="exact"/>
        <w:rPr>
          <w:rFonts w:ascii="Arial" w:cs="Arial" w:eastAsia="Arial" w:hAnsi="Arial"/>
          <w:sz w:val="17"/>
          <w:szCs w:val="17"/>
          <w:color w:val="auto"/>
        </w:rPr>
      </w:pPr>
    </w:p>
    <w:p>
      <w:pPr>
        <w:ind w:left="520" w:right="20" w:hanging="7"/>
        <w:spacing w:after="0" w:line="294" w:lineRule="auto"/>
        <w:tabs>
          <w:tab w:leader="none" w:pos="793" w:val="left"/>
        </w:tabs>
        <w:numPr>
          <w:ilvl w:val="1"/>
          <w:numId w:val="149"/>
        </w:numPr>
        <w:rPr>
          <w:rFonts w:ascii="Arial" w:cs="Arial" w:eastAsia="Arial" w:hAnsi="Arial"/>
          <w:sz w:val="20"/>
          <w:szCs w:val="20"/>
          <w:color w:val="auto"/>
        </w:rPr>
      </w:pPr>
      <w:r>
        <w:rPr>
          <w:rFonts w:ascii="Arial" w:cs="Arial" w:eastAsia="Arial" w:hAnsi="Arial"/>
          <w:sz w:val="20"/>
          <w:szCs w:val="20"/>
          <w:color w:val="auto"/>
        </w:rPr>
        <w:t>An annual General Meeting (“</w:t>
      </w:r>
      <w:r>
        <w:rPr>
          <w:rFonts w:ascii="Arial" w:cs="Arial" w:eastAsia="Arial" w:hAnsi="Arial"/>
          <w:sz w:val="20"/>
          <w:szCs w:val="20"/>
          <w:b w:val="1"/>
          <w:bCs w:val="1"/>
          <w:color w:val="auto"/>
        </w:rPr>
        <w:t>Annual General Meeting</w:t>
      </w:r>
      <w:r>
        <w:rPr>
          <w:rFonts w:ascii="Arial" w:cs="Arial" w:eastAsia="Arial" w:hAnsi="Arial"/>
          <w:sz w:val="20"/>
          <w:szCs w:val="20"/>
          <w:color w:val="auto"/>
        </w:rPr>
        <w:t>”) shall be held at such time and at such place, either within or outside of the State of Israel, as may be determined by the Board of Directors.</w:t>
      </w:r>
    </w:p>
    <w:p>
      <w:pPr>
        <w:spacing w:after="0" w:line="189" w:lineRule="exact"/>
        <w:rPr>
          <w:rFonts w:ascii="Arial" w:cs="Arial" w:eastAsia="Arial" w:hAnsi="Arial"/>
          <w:sz w:val="20"/>
          <w:szCs w:val="20"/>
          <w:color w:val="auto"/>
        </w:rPr>
      </w:pPr>
    </w:p>
    <w:p>
      <w:pPr>
        <w:ind w:left="520" w:right="140" w:hanging="7"/>
        <w:spacing w:after="0" w:line="278" w:lineRule="auto"/>
        <w:tabs>
          <w:tab w:leader="none" w:pos="804" w:val="left"/>
        </w:tabs>
        <w:numPr>
          <w:ilvl w:val="1"/>
          <w:numId w:val="149"/>
        </w:numPr>
        <w:rPr>
          <w:rFonts w:ascii="Arial" w:cs="Arial" w:eastAsia="Arial" w:hAnsi="Arial"/>
          <w:sz w:val="20"/>
          <w:szCs w:val="20"/>
          <w:color w:val="auto"/>
        </w:rPr>
      </w:pPr>
      <w:r>
        <w:rPr>
          <w:rFonts w:ascii="Arial" w:cs="Arial" w:eastAsia="Arial" w:hAnsi="Arial"/>
          <w:sz w:val="20"/>
          <w:szCs w:val="20"/>
          <w:color w:val="auto"/>
        </w:rPr>
        <w:t>All General Meetings other than Annual General Meetings shall be called “</w:t>
      </w:r>
      <w:r>
        <w:rPr>
          <w:rFonts w:ascii="Arial" w:cs="Arial" w:eastAsia="Arial" w:hAnsi="Arial"/>
          <w:sz w:val="20"/>
          <w:szCs w:val="20"/>
          <w:b w:val="1"/>
          <w:bCs w:val="1"/>
          <w:color w:val="auto"/>
        </w:rPr>
        <w:t>Special General Meetings</w:t>
      </w:r>
      <w:r>
        <w:rPr>
          <w:rFonts w:ascii="Arial" w:cs="Arial" w:eastAsia="Arial" w:hAnsi="Arial"/>
          <w:sz w:val="20"/>
          <w:szCs w:val="20"/>
          <w:color w:val="auto"/>
        </w:rPr>
        <w:t>”. The Board of Directors may, at its discretion, convene a Special General Meeting at such time and place, within or outside of the State of Israel, as may be determined by the Board of Directors.</w:t>
      </w:r>
    </w:p>
    <w:p>
      <w:pPr>
        <w:spacing w:after="0" w:line="209" w:lineRule="exact"/>
        <w:rPr>
          <w:rFonts w:ascii="Arial" w:cs="Arial" w:eastAsia="Arial" w:hAnsi="Arial"/>
          <w:sz w:val="20"/>
          <w:szCs w:val="20"/>
          <w:color w:val="auto"/>
        </w:rPr>
      </w:pPr>
    </w:p>
    <w:p>
      <w:pPr>
        <w:ind w:left="520" w:right="40" w:hanging="7"/>
        <w:spacing w:after="0" w:line="286" w:lineRule="auto"/>
        <w:tabs>
          <w:tab w:leader="none" w:pos="793" w:val="left"/>
        </w:tabs>
        <w:numPr>
          <w:ilvl w:val="1"/>
          <w:numId w:val="149"/>
        </w:numPr>
        <w:rPr>
          <w:rFonts w:ascii="Arial" w:cs="Arial" w:eastAsia="Arial" w:hAnsi="Arial"/>
          <w:sz w:val="19"/>
          <w:szCs w:val="19"/>
          <w:color w:val="auto"/>
        </w:rPr>
      </w:pPr>
      <w:r>
        <w:rPr>
          <w:rFonts w:ascii="Arial" w:cs="Arial" w:eastAsia="Arial" w:hAnsi="Arial"/>
          <w:sz w:val="19"/>
          <w:szCs w:val="19"/>
          <w:color w:val="auto"/>
        </w:rPr>
        <w:t>If so determined by the Board of Directors, an Annual General Meeting or a Special General Meeting may be held through the use of any means of communication approved by the Board of Directors, provided all of the participating Shareholders can hear each other simultaneously. A resolution approved by use of means of communications as aforesaid, shall be deemed to be a resolution lawfully adopted at such general meeting and a Shareholder shall be deemed present in person at such general meeting if attending such meeting through the means of communication used at such meeting.</w:t>
      </w:r>
    </w:p>
    <w:p>
      <w:pPr>
        <w:spacing w:after="0" w:line="355" w:lineRule="exact"/>
        <w:rPr>
          <w:rFonts w:ascii="Arial" w:cs="Arial" w:eastAsia="Arial" w:hAnsi="Arial"/>
          <w:sz w:val="19"/>
          <w:szCs w:val="19"/>
          <w:color w:val="auto"/>
        </w:rPr>
      </w:pPr>
    </w:p>
    <w:p>
      <w:pPr>
        <w:ind w:left="5580" w:hanging="123"/>
        <w:spacing w:after="0"/>
        <w:tabs>
          <w:tab w:leader="none" w:pos="5580" w:val="left"/>
        </w:tabs>
        <w:numPr>
          <w:ilvl w:val="2"/>
          <w:numId w:val="149"/>
        </w:numPr>
        <w:rPr>
          <w:rFonts w:ascii="Arial" w:cs="Arial" w:eastAsia="Arial" w:hAnsi="Arial"/>
          <w:sz w:val="20"/>
          <w:szCs w:val="20"/>
          <w:color w:val="auto"/>
        </w:rPr>
      </w:pPr>
      <w:r>
        <w:rPr>
          <w:rFonts w:ascii="Arial" w:cs="Arial" w:eastAsia="Arial" w:hAnsi="Arial"/>
          <w:sz w:val="20"/>
          <w:szCs w:val="20"/>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41845" cy="158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81" w:name="page182"/>
    <w:bookmarkEnd w:id="181"/>
    <w:p>
      <w:pPr>
        <w:ind w:left="560" w:hanging="560"/>
        <w:spacing w:after="0"/>
        <w:tabs>
          <w:tab w:leader="none" w:pos="560" w:val="left"/>
        </w:tabs>
        <w:numPr>
          <w:ilvl w:val="0"/>
          <w:numId w:val="150"/>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216535</wp:posOffset>
            </wp:positionV>
            <wp:extent cx="317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31750" cy="8255"/>
                    </a:xfrm>
                    <a:prstGeom prst="rect">
                      <a:avLst/>
                    </a:prstGeom>
                    <a:noFill/>
                  </pic:spPr>
                </pic:pic>
              </a:graphicData>
            </a:graphic>
          </wp:anchor>
        </w:drawing>
        <w:t>RECORD DATE FOR GENERAL MEETING</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20"/>
        <w:spacing w:after="0" w:line="266" w:lineRule="auto"/>
        <w:rPr>
          <w:sz w:val="20"/>
          <w:szCs w:val="20"/>
          <w:color w:val="auto"/>
        </w:rPr>
      </w:pPr>
      <w:r>
        <w:rPr>
          <w:rFonts w:ascii="Arial" w:cs="Arial" w:eastAsia="Arial" w:hAnsi="Arial"/>
          <w:sz w:val="20"/>
          <w:szCs w:val="20"/>
          <w:color w:val="auto"/>
        </w:rPr>
        <w:t xml:space="preserve">Notwithstanding any provision of these Articles to the contrary, and to allow the Company to determine the Shareholders entitled to notice of or to vote at any General Meeting or any adjournment thereof, or entitled to receive payment of any dividend or other distribution or grant of any rights, or entitled to exercise any rights in respect of or to take or be the subject of any other action, the Board of Directors may fix a record date for the General Meeting, which shall not be more than the maximum period and not less than the minimum period permitted by law. A determination of Shareholders of record entitled to notice of or to vote at a General Meeting shall apply to any adjournment of the meeting;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Board of Directors may fix a new record date for the adjourned meeting.</w:t>
      </w:r>
    </w:p>
    <w:p>
      <w:pPr>
        <w:spacing w:after="0" w:line="216" w:lineRule="exact"/>
        <w:rPr>
          <w:sz w:val="20"/>
          <w:szCs w:val="20"/>
          <w:color w:val="auto"/>
        </w:rPr>
      </w:pPr>
    </w:p>
    <w:p>
      <w:pPr>
        <w:ind w:left="560" w:hanging="560"/>
        <w:spacing w:after="0"/>
        <w:tabs>
          <w:tab w:leader="none" w:pos="560" w:val="left"/>
        </w:tabs>
        <w:numPr>
          <w:ilvl w:val="0"/>
          <w:numId w:val="151"/>
        </w:numPr>
        <w:rPr>
          <w:rFonts w:ascii="Arial" w:cs="Arial" w:eastAsia="Arial" w:hAnsi="Arial"/>
          <w:sz w:val="17"/>
          <w:szCs w:val="17"/>
          <w:color w:val="auto"/>
        </w:rPr>
      </w:pPr>
      <w:r>
        <w:rPr>
          <w:rFonts w:ascii="Arial" w:cs="Arial" w:eastAsia="Arial" w:hAnsi="Arial"/>
          <w:sz w:val="17"/>
          <w:szCs w:val="17"/>
          <w:b w:val="1"/>
          <w:bCs w:val="1"/>
          <w:u w:val="single" w:color="auto"/>
          <w:color w:val="auto"/>
        </w:rPr>
        <w:t>SHAREHOLDER PROPOSAL REQUEST</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ind w:left="520" w:hanging="7"/>
        <w:spacing w:after="0" w:line="292" w:lineRule="auto"/>
        <w:tabs>
          <w:tab w:leader="none" w:pos="79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Shareholder or Shareholders of the Company holding at least the required percentage under the Companies Law of the voting rights of the Company which entitles such Shareholder(s) to require the Company to include a matter on the agenda of a General Meeting (the “</w:t>
      </w:r>
      <w:r>
        <w:rPr>
          <w:rFonts w:ascii="Arial" w:cs="Arial" w:eastAsia="Arial" w:hAnsi="Arial"/>
          <w:sz w:val="18"/>
          <w:szCs w:val="18"/>
          <w:b w:val="1"/>
          <w:bCs w:val="1"/>
          <w:color w:val="auto"/>
        </w:rPr>
        <w:t>Proposing Shareholder(s)</w:t>
      </w:r>
      <w:r>
        <w:rPr>
          <w:rFonts w:ascii="Arial" w:cs="Arial" w:eastAsia="Arial" w:hAnsi="Arial"/>
          <w:sz w:val="18"/>
          <w:szCs w:val="18"/>
          <w:color w:val="auto"/>
        </w:rPr>
        <w:t>”) may request, subject to the Companies Law, that the Board of Directors include a matter on the agenda of a General Meeting to be held in the future, provided that the Board of Directors determines that the matter is appropriate to be considered at a General Meeting (a “</w:t>
      </w:r>
      <w:r>
        <w:rPr>
          <w:rFonts w:ascii="Arial" w:cs="Arial" w:eastAsia="Arial" w:hAnsi="Arial"/>
          <w:sz w:val="18"/>
          <w:szCs w:val="18"/>
          <w:b w:val="1"/>
          <w:bCs w:val="1"/>
          <w:color w:val="auto"/>
        </w:rPr>
        <w:t>Proposal Request</w:t>
      </w:r>
      <w:r>
        <w:rPr>
          <w:rFonts w:ascii="Arial" w:cs="Arial" w:eastAsia="Arial" w:hAnsi="Arial"/>
          <w:sz w:val="18"/>
          <w:szCs w:val="18"/>
          <w:color w:val="auto"/>
        </w:rPr>
        <w:t>”). In order for the Board of Directors to consider a Proposal Request and whether to include the matter stated therein in the agenda of a General Meeting, notice of the Proposal Request must be timely delivered in accordance with applicable law, and the Proposal Request must comply with the requirements of these Articles (including this Article 25) and any applicable law and stock exchange rules and regulations. The Proposal Request must be in writing, signed by all of the Proposing Shareholder(s) making such request, delivered, either in person or by registered mail, postage prepaid, and received by the Secretary (or, in the absence thereof, by the Chief Executive Officer of the Company). To be considered timely, a Proposal Request must be received within the time periods prescribed by applicable law. The announcement of an adjournment or postponement of a General Meeting shall not commence a new time period (or extend any time period) for the delivery of a Proposal Request as described above. In addition to any information required to be included in accordance with applicable law, a Proposal Request must include the following: (i) the name, address, telephone number, fax number and email address of the Proposing Shareholder (or each Proposing Shareholder, as the case may be) and, if an entity, the name(s) of the person(s) that controls or manages such entity; (ii) the number of Shares held by the Proposing Shareholder(s), directly or indirectly (and, if any of such Shares are held indirectly, an explanation of how they are held and by whom), which shall be in such number no less than as is required to qualify as a Proposing Shareholder, accompanied by evidence satisfactory to the Company of the record holding of such Shares by the Proposing Shareholder(s) as of the date of the Proposal Request; (iii) the matter requested to be included on the agenda of a General Meeting, all information related to such matter, the reason that such matter is proposed to be brought before the General Meeting, the complete text of the resolution that the Proposing Shareholder proposes to be voted upon at the General Meeting, and a representation that the Proposing Shareholder(s) intend to appear in person or by proxy at the meeting; (iv) a description of all arrangements or understandings between the Proposing Shareholders and any other person(s) (naming such person or persons) in connection with the matter that is requested to be included on the agenda and a declaration signed by all Proposing Shareholder(s) of whether any of them has a personal interest in the matter and, if so, a description in reasonable detail of such personal interest; (v) a description of all Derivative Transactions (as defined below) by each Proposing Shareholder(s) during the previous twelve (12) month period, including the date of the transactions and the class, series and number of securities involved in, and the material economic terms of, such Derivative Transactions; and (vi) a declaration that all of the information that is required under the Companies Law and any other applicable law and stock exchange rules and regulations to be provided to the Company in connection with such matter, if any, has been provided to the Company. The Board of Directors, may, in its discretion, to the extent it deems necessary, request that the Proposing Shareholder(s) provide additional information necessary so as to include a matter in the agenda of a General Meeting, as the Board of Directors may reasonably require.</w:t>
      </w:r>
    </w:p>
    <w:p>
      <w:pPr>
        <w:spacing w:after="0" w:line="222" w:lineRule="exact"/>
        <w:rPr>
          <w:sz w:val="20"/>
          <w:szCs w:val="20"/>
          <w:color w:val="auto"/>
        </w:rPr>
      </w:pPr>
    </w:p>
    <w:p>
      <w:pPr>
        <w:ind w:left="520" w:right="100"/>
        <w:spacing w:after="0" w:line="296"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Derivative Transaction</w:t>
      </w:r>
      <w:r>
        <w:rPr>
          <w:rFonts w:ascii="Arial" w:cs="Arial" w:eastAsia="Arial" w:hAnsi="Arial"/>
          <w:sz w:val="18"/>
          <w:szCs w:val="18"/>
          <w:color w:val="auto"/>
        </w:rPr>
        <w:t>” means any agreement, arrangement, interest or understanding entered into by, or on behalf or for the benefit of, any Proposing Shareholder or any of its Affiliates or associates, whether of record or beneficial: (1) the value of which is derived in whole or in part from the value of any class or series of shares or other securities of the Company, (2) which otherwise provides any direct or indirect opportunity to gain or share in any gain derived from a change in the value of securities of the Company, (3) the effect or intent of which is to mitigate loss, manage risk or benefit of security value or price changes, or (4) which provides the right to vote or increase or decrease the voting power of, such Proposing Shareholder, or any of its Affiliates or associates, with respect to any Shares or other securities of the Company,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Proposing Shareholder in the securities of the Company held by any general or limited partnership, or any limited liability company, of which such Proposing Shareholder is, directly or indirectly, a general partner or managing member.</w:t>
      </w:r>
    </w:p>
    <w:p>
      <w:pPr>
        <w:spacing w:after="0" w:line="204" w:lineRule="exact"/>
        <w:rPr>
          <w:sz w:val="20"/>
          <w:szCs w:val="20"/>
          <w:color w:val="auto"/>
        </w:rPr>
      </w:pPr>
    </w:p>
    <w:p>
      <w:pPr>
        <w:jc w:val="both"/>
        <w:ind w:left="520" w:right="620" w:hanging="7"/>
        <w:spacing w:after="0" w:line="349" w:lineRule="auto"/>
        <w:tabs>
          <w:tab w:leader="none" w:pos="80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information required pursuant to this Article shall be updated as of (i) the record date of the General Meeting, (ii) five business days before the General Meeting, and (iii) as of the General Meeting, and any adjournment or postponement thereof.</w:t>
      </w:r>
    </w:p>
    <w:p>
      <w:pPr>
        <w:spacing w:after="0" w:line="151" w:lineRule="exact"/>
        <w:rPr>
          <w:rFonts w:ascii="Arial" w:cs="Arial" w:eastAsia="Arial" w:hAnsi="Arial"/>
          <w:sz w:val="18"/>
          <w:szCs w:val="18"/>
          <w:color w:val="auto"/>
        </w:rPr>
      </w:pPr>
    </w:p>
    <w:p>
      <w:pPr>
        <w:ind w:left="520" w:right="140" w:hanging="7"/>
        <w:spacing w:after="0" w:line="276" w:lineRule="auto"/>
        <w:tabs>
          <w:tab w:leader="none" w:pos="793"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The provisions of Articles 25(a) and 25(b) shall apply,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to any matter to be included on the agenda of a Special General Meeting which is convened pursuant to a request of a Shareholder duly delivered to the Company in accordance with the Companies Law.</w:t>
      </w:r>
    </w:p>
    <w:p>
      <w:pPr>
        <w:sectPr>
          <w:pgSz w:w="11900" w:h="16838" w:orient="portrait"/>
          <w:cols w:equalWidth="0" w:num="1">
            <w:col w:w="11240"/>
          </w:cols>
          <w:pgMar w:left="320" w:top="374" w:right="339" w:bottom="0" w:gutter="0" w:footer="0" w:header="0"/>
        </w:sectPr>
      </w:pPr>
    </w:p>
    <w:bookmarkStart w:id="182" w:name="page183"/>
    <w:bookmarkEnd w:id="182"/>
    <w:p>
      <w:pPr>
        <w:ind w:left="7" w:hanging="7"/>
        <w:spacing w:after="0" w:line="290" w:lineRule="auto"/>
        <w:tabs>
          <w:tab w:leader="none" w:pos="292" w:val="left"/>
        </w:tabs>
        <w:numPr>
          <w:ilvl w:val="0"/>
          <w:numId w:val="153"/>
        </w:numPr>
        <w:rPr>
          <w:rFonts w:ascii="Arial" w:cs="Arial" w:eastAsia="Arial" w:hAnsi="Arial"/>
          <w:sz w:val="20"/>
          <w:szCs w:val="20"/>
          <w:color w:val="auto"/>
        </w:rPr>
      </w:pPr>
      <w:r>
        <w:rPr>
          <w:rFonts w:ascii="Arial" w:cs="Arial" w:eastAsia="Arial" w:hAnsi="Arial"/>
          <w:sz w:val="20"/>
          <w:szCs w:val="20"/>
          <w:color w:val="auto"/>
        </w:rPr>
        <w:t>Notwithstanding anything to the contrary herein, this Article 25 may only be amended, replaced or suspended by a resolution adopted at a General Meeting by a majority of at least 65% of the total voting power of the Shares.</w:t>
      </w:r>
    </w:p>
    <w:p>
      <w:pPr>
        <w:spacing w:after="0" w:line="348" w:lineRule="exact"/>
        <w:rPr>
          <w:rFonts w:ascii="Arial" w:cs="Arial" w:eastAsia="Arial" w:hAnsi="Arial"/>
          <w:sz w:val="20"/>
          <w:szCs w:val="20"/>
          <w:color w:val="auto"/>
        </w:rPr>
      </w:pPr>
    </w:p>
    <w:p>
      <w:pPr>
        <w:ind w:left="5067" w:hanging="123"/>
        <w:spacing w:after="0"/>
        <w:tabs>
          <w:tab w:leader="none" w:pos="5067" w:val="left"/>
        </w:tabs>
        <w:numPr>
          <w:ilvl w:val="1"/>
          <w:numId w:val="153"/>
        </w:numPr>
        <w:rPr>
          <w:rFonts w:ascii="Arial" w:cs="Arial" w:eastAsia="Arial" w:hAnsi="Arial"/>
          <w:sz w:val="20"/>
          <w:szCs w:val="20"/>
          <w:color w:val="auto"/>
        </w:rPr>
      </w:pPr>
      <w:r>
        <w:rPr>
          <w:rFonts w:ascii="Arial" w:cs="Arial" w:eastAsia="Arial" w:hAnsi="Arial"/>
          <w:sz w:val="20"/>
          <w:szCs w:val="20"/>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42545</wp:posOffset>
            </wp:positionV>
            <wp:extent cx="7141845" cy="158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0347"/>
          </w:cols>
          <w:pgMar w:left="833" w:top="131" w:right="719" w:bottom="1440" w:gutter="0" w:footer="0" w:header="0"/>
        </w:sectPr>
      </w:pPr>
    </w:p>
    <w:bookmarkStart w:id="183" w:name="page184"/>
    <w:bookmarkEnd w:id="183"/>
    <w:p>
      <w:pPr>
        <w:ind w:left="560" w:hanging="560"/>
        <w:spacing w:after="0"/>
        <w:tabs>
          <w:tab w:leader="none" w:pos="560" w:val="left"/>
        </w:tabs>
        <w:numPr>
          <w:ilvl w:val="0"/>
          <w:numId w:val="154"/>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 OF GENERAL MEETINGS; OMISSION TO GIVE NOTICE</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ind w:left="780" w:hanging="267"/>
        <w:spacing w:after="0"/>
        <w:tabs>
          <w:tab w:leader="none" w:pos="7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Company is not required to give notice of a General Meeting, subject to any mandatory provision of the Companies Law.</w:t>
      </w:r>
    </w:p>
    <w:p>
      <w:pPr>
        <w:spacing w:after="0" w:line="295" w:lineRule="exact"/>
        <w:rPr>
          <w:rFonts w:ascii="Arial" w:cs="Arial" w:eastAsia="Arial" w:hAnsi="Arial"/>
          <w:sz w:val="18"/>
          <w:szCs w:val="18"/>
          <w:color w:val="auto"/>
        </w:rPr>
      </w:pPr>
    </w:p>
    <w:p>
      <w:pPr>
        <w:ind w:left="520" w:right="720" w:hanging="7"/>
        <w:spacing w:after="0" w:line="290" w:lineRule="auto"/>
        <w:tabs>
          <w:tab w:leader="none" w:pos="804" w:val="left"/>
        </w:tabs>
        <w:numPr>
          <w:ilvl w:val="1"/>
          <w:numId w:val="154"/>
        </w:numPr>
        <w:rPr>
          <w:rFonts w:ascii="Arial" w:cs="Arial" w:eastAsia="Arial" w:hAnsi="Arial"/>
          <w:sz w:val="20"/>
          <w:szCs w:val="20"/>
          <w:color w:val="auto"/>
        </w:rPr>
      </w:pPr>
      <w:r>
        <w:rPr>
          <w:rFonts w:ascii="Arial" w:cs="Arial" w:eastAsia="Arial" w:hAnsi="Arial"/>
          <w:sz w:val="20"/>
          <w:szCs w:val="20"/>
          <w:color w:val="auto"/>
        </w:rPr>
        <w:t>The accidental omission to give notice of a General Meeting to any Shareholder, or the non-receipt of notice sent to such Shareholder, shall not invalidate the proceedings at such meeting or any resolution adopted thereat.</w:t>
      </w:r>
    </w:p>
    <w:p>
      <w:pPr>
        <w:spacing w:after="0" w:line="197" w:lineRule="exact"/>
        <w:rPr>
          <w:rFonts w:ascii="Arial" w:cs="Arial" w:eastAsia="Arial" w:hAnsi="Arial"/>
          <w:sz w:val="20"/>
          <w:szCs w:val="20"/>
          <w:color w:val="auto"/>
        </w:rPr>
      </w:pPr>
    </w:p>
    <w:p>
      <w:pPr>
        <w:ind w:left="520" w:right="140" w:hanging="7"/>
        <w:spacing w:after="0" w:line="276" w:lineRule="auto"/>
        <w:tabs>
          <w:tab w:leader="none" w:pos="793" w:val="left"/>
        </w:tabs>
        <w:numPr>
          <w:ilvl w:val="1"/>
          <w:numId w:val="154"/>
        </w:numPr>
        <w:rPr>
          <w:rFonts w:ascii="Arial" w:cs="Arial" w:eastAsia="Arial" w:hAnsi="Arial"/>
          <w:sz w:val="20"/>
          <w:szCs w:val="20"/>
          <w:color w:val="auto"/>
        </w:rPr>
      </w:pPr>
      <w:r>
        <w:rPr>
          <w:rFonts w:ascii="Arial" w:cs="Arial" w:eastAsia="Arial" w:hAnsi="Arial"/>
          <w:sz w:val="20"/>
          <w:szCs w:val="20"/>
          <w:color w:val="auto"/>
        </w:rPr>
        <w:t>No Shareholder present, in person or by proxy, at any time during a General Meeting shall be entitled to seek the cancellation or invalidation of any proceedings or resolutions adopted at such General Meeting on account of any defect in the notice of such meeting relating to the time or the place thereof, or any item acted upon at such meeting.</w:t>
      </w:r>
    </w:p>
    <w:p>
      <w:pPr>
        <w:spacing w:after="0" w:line="210" w:lineRule="exact"/>
        <w:rPr>
          <w:rFonts w:ascii="Arial" w:cs="Arial" w:eastAsia="Arial" w:hAnsi="Arial"/>
          <w:sz w:val="20"/>
          <w:szCs w:val="20"/>
          <w:color w:val="auto"/>
        </w:rPr>
      </w:pPr>
    </w:p>
    <w:p>
      <w:pPr>
        <w:jc w:val="both"/>
        <w:ind w:left="520" w:right="420" w:hanging="7"/>
        <w:spacing w:after="0" w:line="276" w:lineRule="auto"/>
        <w:tabs>
          <w:tab w:leader="none" w:pos="804" w:val="left"/>
        </w:tabs>
        <w:numPr>
          <w:ilvl w:val="1"/>
          <w:numId w:val="154"/>
        </w:numPr>
        <w:rPr>
          <w:rFonts w:ascii="Arial" w:cs="Arial" w:eastAsia="Arial" w:hAnsi="Arial"/>
          <w:sz w:val="20"/>
          <w:szCs w:val="20"/>
          <w:color w:val="auto"/>
        </w:rPr>
      </w:pPr>
      <w:r>
        <w:rPr>
          <w:rFonts w:ascii="Arial" w:cs="Arial" w:eastAsia="Arial" w:hAnsi="Arial"/>
          <w:sz w:val="20"/>
          <w:szCs w:val="20"/>
          <w:color w:val="auto"/>
        </w:rPr>
        <w:t>In addition to any places at which the Company may make available for review by Shareholders the full text of the proposed resolutions to be adopted at a General Meeting, as required by the Companies Law, the Company may add additional places for Shareholders to review such proposed resolutions, including an internet site.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PROCEEDINGS AT GENERAL MEETINGS</w:t>
      </w:r>
    </w:p>
    <w:p>
      <w:pPr>
        <w:spacing w:after="0" w:line="268" w:lineRule="exact"/>
        <w:rPr>
          <w:sz w:val="20"/>
          <w:szCs w:val="20"/>
          <w:color w:val="auto"/>
        </w:rPr>
      </w:pPr>
    </w:p>
    <w:p>
      <w:pPr>
        <w:ind w:left="560" w:hanging="560"/>
        <w:spacing w:after="0"/>
        <w:tabs>
          <w:tab w:leader="none" w:pos="560" w:val="left"/>
        </w:tabs>
        <w:numPr>
          <w:ilvl w:val="0"/>
          <w:numId w:val="155"/>
        </w:numPr>
        <w:rPr>
          <w:rFonts w:ascii="Arial" w:cs="Arial" w:eastAsia="Arial" w:hAnsi="Arial"/>
          <w:sz w:val="17"/>
          <w:szCs w:val="17"/>
          <w:color w:val="auto"/>
        </w:rPr>
      </w:pPr>
      <w:r>
        <w:rPr>
          <w:rFonts w:ascii="Arial" w:cs="Arial" w:eastAsia="Arial" w:hAnsi="Arial"/>
          <w:sz w:val="17"/>
          <w:szCs w:val="17"/>
          <w:b w:val="1"/>
          <w:bCs w:val="1"/>
          <w:u w:val="single" w:color="auto"/>
          <w:color w:val="auto"/>
        </w:rPr>
        <w:t>QUORUM</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ind w:left="520" w:right="80" w:hanging="7"/>
        <w:spacing w:after="0" w:line="383" w:lineRule="auto"/>
        <w:tabs>
          <w:tab w:leader="none" w:pos="793" w:val="left"/>
        </w:tabs>
        <w:numPr>
          <w:ilvl w:val="1"/>
          <w:numId w:val="155"/>
        </w:numPr>
        <w:rPr>
          <w:rFonts w:ascii="Arial" w:cs="Arial" w:eastAsia="Arial" w:hAnsi="Arial"/>
          <w:sz w:val="17"/>
          <w:szCs w:val="17"/>
          <w:color w:val="auto"/>
        </w:rPr>
      </w:pPr>
      <w:r>
        <w:rPr>
          <w:rFonts w:ascii="Arial" w:cs="Arial" w:eastAsia="Arial" w:hAnsi="Arial"/>
          <w:sz w:val="17"/>
          <w:szCs w:val="17"/>
          <w:color w:val="auto"/>
        </w:rPr>
        <w:t>No business shall be transacted at a General Meeting, or at any adjournment thereof, unless the quorum required under these Articles for such General Meeting or such adjourned meeting, as the case may be, is present when the meeting proceeds to business.</w:t>
      </w:r>
    </w:p>
    <w:p>
      <w:pPr>
        <w:spacing w:after="0" w:line="129" w:lineRule="exact"/>
        <w:rPr>
          <w:rFonts w:ascii="Arial" w:cs="Arial" w:eastAsia="Arial" w:hAnsi="Arial"/>
          <w:sz w:val="17"/>
          <w:szCs w:val="17"/>
          <w:color w:val="auto"/>
        </w:rPr>
      </w:pPr>
    </w:p>
    <w:p>
      <w:pPr>
        <w:ind w:left="520" w:right="20" w:hanging="7"/>
        <w:spacing w:after="0" w:line="277" w:lineRule="auto"/>
        <w:tabs>
          <w:tab w:leader="none" w:pos="804"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In the absence of contrary provisions in these Articles, the requisite quorum for any General Meeting shall be two or more Shareholders (not in default in payment of any sum referred to in Article 13 hereof) present in person or by proxy and holding shares conferring in the aggregate at least thirty-three and one-third percent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voting power of the Company, provided, however, that if (i) such General Meeting was initiated by and convened pursuant to a resolution adopted by the Board of Directors and (ii) at the time of such General Meeting the Company is qualified to use the forms of a “foreign private issuer” under US securities laws, then the requisite quorum shall be two or more Shareholders (not in default in payment of any sum referred to in Article 13 hereof) present in person or by proxy and holding Shares conferring in the aggregate at least twenty-five percent (25%) of the voting power of the Company. For the purpose of determining the quorum present at a certain General Meeting, a proxy may be deemed to be two (2) or more Shareholders pursuant to the number of Shareholders represented by the proxy holder.</w:t>
      </w:r>
    </w:p>
    <w:p>
      <w:pPr>
        <w:spacing w:after="0" w:line="214" w:lineRule="exact"/>
        <w:rPr>
          <w:rFonts w:ascii="Arial" w:cs="Arial" w:eastAsia="Arial" w:hAnsi="Arial"/>
          <w:sz w:val="18"/>
          <w:szCs w:val="18"/>
          <w:color w:val="auto"/>
        </w:rPr>
      </w:pPr>
    </w:p>
    <w:p>
      <w:pPr>
        <w:ind w:left="520" w:right="60" w:hanging="7"/>
        <w:spacing w:after="0" w:line="281" w:lineRule="auto"/>
        <w:tabs>
          <w:tab w:leader="none" w:pos="793" w:val="left"/>
        </w:tabs>
        <w:numPr>
          <w:ilvl w:val="1"/>
          <w:numId w:val="155"/>
        </w:numPr>
        <w:rPr>
          <w:rFonts w:ascii="Arial" w:cs="Arial" w:eastAsia="Arial" w:hAnsi="Arial"/>
          <w:sz w:val="19"/>
          <w:szCs w:val="19"/>
          <w:color w:val="auto"/>
        </w:rPr>
      </w:pPr>
      <w:r>
        <w:rPr>
          <w:rFonts w:ascii="Arial" w:cs="Arial" w:eastAsia="Arial" w:hAnsi="Arial"/>
          <w:sz w:val="19"/>
          <w:szCs w:val="19"/>
          <w:color w:val="auto"/>
        </w:rPr>
        <w:t>If within half an hour from the time appointed for the meeting a quorum is not present, then without any further notice the meeting shall be adjourned either (i) to the same day in the next week, at the same time and place, (ii) to such day and at such time and place as indicated in the notice of such meeting, or (iii) to such day and at such time and place as the Chairperson of the General Meeting shall determine (which may be earlier or later than the date pursuant to clause (i) above). No business shall be transacted at any adjourned meeting except business which might lawfully have been transacted at the meeting as originally called. At such adjourned meeting, if the original meeting was convened by a Shareholder pursuant to a request under Section 63 of the Companies Law, such Shareholder in addition to at least one or more Shareholder, present in person or by proxy, and holding the number of Shares required for making such request, shall constitute a quorum, but in any other case any Shareholder (not in default as aforesaid) present in person or by proxy, shall constitute a quorum.</w:t>
      </w:r>
    </w:p>
    <w:p>
      <w:pPr>
        <w:spacing w:after="0" w:line="200" w:lineRule="exact"/>
        <w:rPr>
          <w:rFonts w:ascii="Arial" w:cs="Arial" w:eastAsia="Arial" w:hAnsi="Arial"/>
          <w:sz w:val="19"/>
          <w:szCs w:val="19"/>
          <w:color w:val="auto"/>
        </w:rPr>
      </w:pPr>
    </w:p>
    <w:p>
      <w:pPr>
        <w:ind w:left="560" w:hanging="560"/>
        <w:spacing w:after="0"/>
        <w:tabs>
          <w:tab w:leader="none" w:pos="560" w:val="left"/>
        </w:tabs>
        <w:numPr>
          <w:ilvl w:val="0"/>
          <w:numId w:val="155"/>
        </w:numPr>
        <w:rPr>
          <w:rFonts w:ascii="Arial" w:cs="Arial" w:eastAsia="Arial" w:hAnsi="Arial"/>
          <w:sz w:val="17"/>
          <w:szCs w:val="17"/>
          <w:color w:val="auto"/>
        </w:rPr>
      </w:pPr>
      <w:r>
        <w:rPr>
          <w:rFonts w:ascii="Arial" w:cs="Arial" w:eastAsia="Arial" w:hAnsi="Arial"/>
          <w:sz w:val="17"/>
          <w:szCs w:val="17"/>
          <w:b w:val="1"/>
          <w:bCs w:val="1"/>
          <w:u w:val="single" w:color="auto"/>
          <w:color w:val="auto"/>
        </w:rPr>
        <w:t>CHAIRPERSON OF GENERAL MEETING</w:t>
      </w:r>
      <w:r>
        <w:rPr>
          <w:rFonts w:ascii="Arial" w:cs="Arial" w:eastAsia="Arial" w:hAnsi="Arial"/>
          <w:sz w:val="17"/>
          <w:szCs w:val="17"/>
          <w:u w:val="single" w:color="auto"/>
          <w:color w:val="auto"/>
        </w:rPr>
        <w:t>.</w:t>
      </w:r>
    </w:p>
    <w:p>
      <w:pPr>
        <w:spacing w:after="0" w:line="264" w:lineRule="exact"/>
        <w:rPr>
          <w:sz w:val="20"/>
          <w:szCs w:val="20"/>
          <w:color w:val="auto"/>
        </w:rPr>
      </w:pPr>
    </w:p>
    <w:p>
      <w:pPr>
        <w:ind w:left="460"/>
        <w:spacing w:after="0" w:line="298" w:lineRule="auto"/>
        <w:rPr>
          <w:sz w:val="20"/>
          <w:szCs w:val="20"/>
          <w:color w:val="auto"/>
        </w:rPr>
      </w:pPr>
      <w:r>
        <w:rPr>
          <w:rFonts w:ascii="Arial" w:cs="Arial" w:eastAsia="Arial" w:hAnsi="Arial"/>
          <w:sz w:val="18"/>
          <w:szCs w:val="18"/>
          <w:color w:val="auto"/>
        </w:rPr>
        <w:t>The Chairperson of the Board of Directors shall preside as Chairperson of every General Meeting of the Company. If at any meeting the Chairperson is not present within fifteen (15) minutes after the time fixed for holding the meeting or is unwilling or unable to act as Chairperson, any of the following may preside as Chairperson of the meeting (and in the following order): a Director designated by the Board of Directors, the Chief Executive Officer, the Chief Financial Officer, the General Counsel, the Secretary or any person designated by any of the foregoing. If at any such meeting none of the foregoing persons is present or all are unwilling or unable to act as Chairperson, the Shareholders present (in person or by proxy) shall choose a Shareholder or its proxy present at the meeting to be Chairperson. The office of Chairperson shall not, by itself, entitle the holder thereof to vote at any General Meeting nor shall it entitle such holder to a second or casting vote (without derogating, however, from the rights of such Chairperson to vote as a Shareholder or proxy of a Shareholder if, in fact, the Chairperson is also a Shareholder or such proxy).</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41845" cy="158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374" w:right="359" w:bottom="1440" w:gutter="0" w:footer="0" w:header="0"/>
        </w:sectPr>
      </w:pPr>
    </w:p>
    <w:bookmarkStart w:id="184" w:name="page185"/>
    <w:bookmarkEnd w:id="184"/>
    <w:p>
      <w:pPr>
        <w:ind w:left="560" w:hanging="560"/>
        <w:spacing w:after="0"/>
        <w:tabs>
          <w:tab w:leader="none" w:pos="560" w:val="left"/>
        </w:tabs>
        <w:numPr>
          <w:ilvl w:val="0"/>
          <w:numId w:val="156"/>
        </w:numPr>
        <w:rPr>
          <w:rFonts w:ascii="Arial" w:cs="Arial" w:eastAsia="Arial" w:hAnsi="Arial"/>
          <w:sz w:val="17"/>
          <w:szCs w:val="17"/>
          <w:color w:val="auto"/>
        </w:rPr>
      </w:pPr>
      <w:r>
        <w:rPr>
          <w:rFonts w:ascii="Arial" w:cs="Arial" w:eastAsia="Arial" w:hAnsi="Arial"/>
          <w:sz w:val="17"/>
          <w:szCs w:val="17"/>
          <w:b w:val="1"/>
          <w:bCs w:val="1"/>
          <w:u w:val="single" w:color="auto"/>
          <w:color w:val="auto"/>
        </w:rPr>
        <w:t>ADOPTION OF RESOLUTIONS AT GENERAL MEETINGS</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ind w:left="520" w:right="20" w:hanging="7"/>
        <w:spacing w:after="0" w:line="265" w:lineRule="auto"/>
        <w:tabs>
          <w:tab w:leader="none" w:pos="793" w:val="left"/>
        </w:tabs>
        <w:numPr>
          <w:ilvl w:val="1"/>
          <w:numId w:val="156"/>
        </w:numPr>
        <w:rPr>
          <w:rFonts w:ascii="Arial" w:cs="Arial" w:eastAsia="Arial" w:hAnsi="Arial"/>
          <w:sz w:val="20"/>
          <w:szCs w:val="20"/>
          <w:color w:val="auto"/>
        </w:rPr>
      </w:pPr>
      <w:r>
        <w:rPr>
          <w:rFonts w:ascii="Arial" w:cs="Arial" w:eastAsia="Arial" w:hAnsi="Arial"/>
          <w:sz w:val="20"/>
          <w:szCs w:val="20"/>
          <w:color w:val="auto"/>
        </w:rPr>
        <w:t>Except as required by the Companies Law or these Articles, including, without limitation, Article 39 below, a resolution of the Shareholders shall be adopted if approved by the holders of a simple majority of the voting power represented at the General Meeting in person or by proxy and voting thereon, as one class, and disregarding abstentions from the count of the voting power present and voting. Without limiting the generality of the foregoing, a resolution with respect to a matter or action for which the Companies Law prescribes a higher majority or pursuant to which a provision requiring a higher majority would have been deemed to have been incorporated into these Articles, but for which the Companies Law allows these Articles to provide otherwise (including, Sections 327 and 24 of the Companies Law), shall be adopted by a simple majority of the voting power represented at the General Meeting in person or by proxy and voting thereon, as one class, and disregarding abstentions from the count of the voting power present and voting.</w:t>
      </w:r>
    </w:p>
    <w:p>
      <w:pPr>
        <w:spacing w:after="0" w:line="225" w:lineRule="exact"/>
        <w:rPr>
          <w:rFonts w:ascii="Arial" w:cs="Arial" w:eastAsia="Arial" w:hAnsi="Arial"/>
          <w:sz w:val="20"/>
          <w:szCs w:val="20"/>
          <w:color w:val="auto"/>
        </w:rPr>
      </w:pPr>
    </w:p>
    <w:p>
      <w:pPr>
        <w:ind w:left="520" w:right="20" w:hanging="7"/>
        <w:spacing w:after="0" w:line="269" w:lineRule="auto"/>
        <w:tabs>
          <w:tab w:leader="none" w:pos="804" w:val="left"/>
        </w:tabs>
        <w:numPr>
          <w:ilvl w:val="1"/>
          <w:numId w:val="156"/>
        </w:numPr>
        <w:rPr>
          <w:rFonts w:ascii="Arial" w:cs="Arial" w:eastAsia="Arial" w:hAnsi="Arial"/>
          <w:sz w:val="20"/>
          <w:szCs w:val="20"/>
          <w:color w:val="auto"/>
        </w:rPr>
      </w:pPr>
      <w:r>
        <w:rPr>
          <w:rFonts w:ascii="Arial" w:cs="Arial" w:eastAsia="Arial" w:hAnsi="Arial"/>
          <w:sz w:val="20"/>
          <w:szCs w:val="20"/>
          <w:color w:val="auto"/>
        </w:rPr>
        <w:t>Every question submitted to a General Meeting shall be decided by a show of hands, but the Chairperson of the General Meeting may determine that a resolution shall be decided by a written ballot. A written ballot may be implemented before the proposed resolution is voted upon or immediately after the declaration by the Chairperson of the results of the vote by a show of hands. If a vote by written ballot is taken after such declaration, the results of the vote by a show of hands shall be of no effect, and the proposed resolution shall be decided by such written ballot.</w:t>
      </w:r>
    </w:p>
    <w:p>
      <w:pPr>
        <w:spacing w:after="0" w:line="217" w:lineRule="exact"/>
        <w:rPr>
          <w:rFonts w:ascii="Arial" w:cs="Arial" w:eastAsia="Arial" w:hAnsi="Arial"/>
          <w:sz w:val="20"/>
          <w:szCs w:val="20"/>
          <w:color w:val="auto"/>
        </w:rPr>
      </w:pPr>
    </w:p>
    <w:p>
      <w:pPr>
        <w:ind w:left="520" w:right="80" w:hanging="7"/>
        <w:spacing w:after="0" w:line="271" w:lineRule="auto"/>
        <w:tabs>
          <w:tab w:leader="none" w:pos="793" w:val="left"/>
        </w:tabs>
        <w:numPr>
          <w:ilvl w:val="1"/>
          <w:numId w:val="156"/>
        </w:numPr>
        <w:rPr>
          <w:rFonts w:ascii="Arial" w:cs="Arial" w:eastAsia="Arial" w:hAnsi="Arial"/>
          <w:sz w:val="20"/>
          <w:szCs w:val="20"/>
          <w:color w:val="auto"/>
        </w:rPr>
      </w:pPr>
      <w:r>
        <w:rPr>
          <w:rFonts w:ascii="Arial" w:cs="Arial" w:eastAsia="Arial" w:hAnsi="Arial"/>
          <w:sz w:val="20"/>
          <w:szCs w:val="20"/>
          <w:color w:val="auto"/>
        </w:rPr>
        <w:t>A defect in convening or conducting a General Meeting, including a defect resulting from the non-fulfillment of any provision or condition set forth in the Companies Law or these Articles, including with regard to the manner of convening or conducting the General Meeting, shall not disqualify any resolution passed at the General Meeting and shall not affect the discussions or decisions which took place thereat.</w:t>
      </w:r>
    </w:p>
    <w:p>
      <w:pPr>
        <w:spacing w:after="0" w:line="216" w:lineRule="exact"/>
        <w:rPr>
          <w:rFonts w:ascii="Arial" w:cs="Arial" w:eastAsia="Arial" w:hAnsi="Arial"/>
          <w:sz w:val="20"/>
          <w:szCs w:val="20"/>
          <w:color w:val="auto"/>
        </w:rPr>
      </w:pPr>
    </w:p>
    <w:p>
      <w:pPr>
        <w:ind w:left="520" w:hanging="7"/>
        <w:spacing w:after="0" w:line="276" w:lineRule="auto"/>
        <w:tabs>
          <w:tab w:leader="none" w:pos="804" w:val="left"/>
        </w:tabs>
        <w:numPr>
          <w:ilvl w:val="1"/>
          <w:numId w:val="156"/>
        </w:numPr>
        <w:rPr>
          <w:rFonts w:ascii="Arial" w:cs="Arial" w:eastAsia="Arial" w:hAnsi="Arial"/>
          <w:sz w:val="20"/>
          <w:szCs w:val="20"/>
          <w:color w:val="auto"/>
        </w:rPr>
      </w:pPr>
      <w:r>
        <w:rPr>
          <w:rFonts w:ascii="Arial" w:cs="Arial" w:eastAsia="Arial" w:hAnsi="Arial"/>
          <w:sz w:val="20"/>
          <w:szCs w:val="20"/>
          <w:color w:val="auto"/>
        </w:rPr>
        <w:t>A declaration by the Chairperson of the General Meeting that a resolution has been carried unanimously, or carried by a particular majority, or rejected, and an entry to that effect in the minute book of the Company, shall be prima facie evidence of the fact without proof of the number or proportion of the votes recorded in favor of or against such resolution.</w:t>
      </w:r>
    </w:p>
    <w:p>
      <w:pPr>
        <w:spacing w:after="0" w:line="202" w:lineRule="exact"/>
        <w:rPr>
          <w:rFonts w:ascii="Arial" w:cs="Arial" w:eastAsia="Arial" w:hAnsi="Arial"/>
          <w:sz w:val="20"/>
          <w:szCs w:val="20"/>
          <w:color w:val="auto"/>
        </w:rPr>
      </w:pPr>
    </w:p>
    <w:p>
      <w:pPr>
        <w:ind w:left="560" w:hanging="560"/>
        <w:spacing w:after="0"/>
        <w:tabs>
          <w:tab w:leader="none" w:pos="560" w:val="left"/>
        </w:tabs>
        <w:numPr>
          <w:ilvl w:val="0"/>
          <w:numId w:val="156"/>
        </w:numPr>
        <w:rPr>
          <w:rFonts w:ascii="Arial" w:cs="Arial" w:eastAsia="Arial" w:hAnsi="Arial"/>
          <w:sz w:val="17"/>
          <w:szCs w:val="17"/>
          <w:color w:val="auto"/>
        </w:rPr>
      </w:pPr>
      <w:r>
        <w:rPr>
          <w:rFonts w:ascii="Arial" w:cs="Arial" w:eastAsia="Arial" w:hAnsi="Arial"/>
          <w:sz w:val="17"/>
          <w:szCs w:val="17"/>
          <w:b w:val="1"/>
          <w:bCs w:val="1"/>
          <w:u w:val="single" w:color="auto"/>
          <w:color w:val="auto"/>
        </w:rPr>
        <w:t>POWER TO ADJOURN</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spacing w:after="0" w:line="266" w:lineRule="auto"/>
        <w:rPr>
          <w:sz w:val="20"/>
          <w:szCs w:val="20"/>
          <w:color w:val="auto"/>
        </w:rPr>
      </w:pPr>
      <w:r>
        <w:rPr>
          <w:rFonts w:ascii="Arial" w:cs="Arial" w:eastAsia="Arial" w:hAnsi="Arial"/>
          <w:sz w:val="20"/>
          <w:szCs w:val="20"/>
          <w:color w:val="auto"/>
        </w:rPr>
        <w:t>A General Meeting, the consideration of any matter on its agenda, or the resolution on any matter on its agenda, may be postponed or adjourned, from time to time and from place to place: (i) by the Chairperson of a General Meeting at which a quorum is present (and he shall do so if directed by the General Meeting, with the consent of the holders of a majority of the voting power represented in person or by proxy and voting on the question of adjournment), but no business shall be transacted at any such adjourned meeting except business which might lawfully have been transacted at the meeting as originally called, or a matter on its agenda with respect to which no resolution was adopted at the meeting originally called; or (ii) by the Board of Directors (whether prior to or at a General Meeting).</w:t>
      </w:r>
    </w:p>
    <w:p>
      <w:pPr>
        <w:spacing w:after="0" w:line="216" w:lineRule="exact"/>
        <w:rPr>
          <w:sz w:val="20"/>
          <w:szCs w:val="20"/>
          <w:color w:val="auto"/>
        </w:rPr>
      </w:pPr>
    </w:p>
    <w:p>
      <w:pPr>
        <w:ind w:left="560" w:hanging="560"/>
        <w:spacing w:after="0"/>
        <w:tabs>
          <w:tab w:leader="none" w:pos="560" w:val="left"/>
        </w:tabs>
        <w:numPr>
          <w:ilvl w:val="0"/>
          <w:numId w:val="157"/>
        </w:numPr>
        <w:rPr>
          <w:rFonts w:ascii="Arial" w:cs="Arial" w:eastAsia="Arial" w:hAnsi="Arial"/>
          <w:sz w:val="17"/>
          <w:szCs w:val="17"/>
          <w:color w:val="auto"/>
        </w:rPr>
      </w:pPr>
      <w:r>
        <w:rPr>
          <w:rFonts w:ascii="Arial" w:cs="Arial" w:eastAsia="Arial" w:hAnsi="Arial"/>
          <w:sz w:val="17"/>
          <w:szCs w:val="17"/>
          <w:b w:val="1"/>
          <w:bCs w:val="1"/>
          <w:u w:val="single" w:color="auto"/>
          <w:color w:val="auto"/>
        </w:rPr>
        <w:t>VOTING POWER</w:t>
      </w:r>
      <w:r>
        <w:rPr>
          <w:rFonts w:ascii="Arial" w:cs="Arial" w:eastAsia="Arial" w:hAnsi="Arial"/>
          <w:sz w:val="17"/>
          <w:szCs w:val="17"/>
          <w:u w:val="single" w:color="auto"/>
          <w:color w:val="auto"/>
        </w:rPr>
        <w:t>.</w:t>
      </w:r>
    </w:p>
    <w:p>
      <w:pPr>
        <w:spacing w:after="0" w:line="264" w:lineRule="exact"/>
        <w:rPr>
          <w:sz w:val="20"/>
          <w:szCs w:val="20"/>
          <w:color w:val="auto"/>
        </w:rPr>
      </w:pPr>
    </w:p>
    <w:p>
      <w:pPr>
        <w:jc w:val="both"/>
        <w:ind w:left="520" w:right="120"/>
        <w:spacing w:after="0" w:line="296" w:lineRule="auto"/>
        <w:rPr>
          <w:sz w:val="20"/>
          <w:szCs w:val="20"/>
          <w:color w:val="auto"/>
        </w:rPr>
      </w:pPr>
      <w:r>
        <w:rPr>
          <w:rFonts w:ascii="Arial" w:cs="Arial" w:eastAsia="Arial" w:hAnsi="Arial"/>
          <w:sz w:val="19"/>
          <w:szCs w:val="19"/>
          <w:color w:val="auto"/>
        </w:rPr>
        <w:t>Subject to the provisions of Article 32(a) and to any provision hereof conferring special rights as to voting, or restricting the right to vote, every Shareholder shall have one vote for each Share held by the Shareholder of record, on every resolution, without regard to whether the vote thereon is conducted by a show of hands, by written ballot, or by any other means.</w:t>
      </w:r>
    </w:p>
    <w:p>
      <w:pPr>
        <w:spacing w:after="0" w:line="188" w:lineRule="exact"/>
        <w:rPr>
          <w:sz w:val="20"/>
          <w:szCs w:val="20"/>
          <w:color w:val="auto"/>
        </w:rPr>
      </w:pPr>
    </w:p>
    <w:p>
      <w:pPr>
        <w:ind w:left="560" w:hanging="560"/>
        <w:spacing w:after="0"/>
        <w:tabs>
          <w:tab w:leader="none" w:pos="560" w:val="left"/>
        </w:tabs>
        <w:numPr>
          <w:ilvl w:val="0"/>
          <w:numId w:val="158"/>
        </w:numPr>
        <w:rPr>
          <w:rFonts w:ascii="Arial" w:cs="Arial" w:eastAsia="Arial" w:hAnsi="Arial"/>
          <w:sz w:val="17"/>
          <w:szCs w:val="17"/>
          <w:color w:val="auto"/>
        </w:rPr>
      </w:pPr>
      <w:r>
        <w:rPr>
          <w:rFonts w:ascii="Arial" w:cs="Arial" w:eastAsia="Arial" w:hAnsi="Arial"/>
          <w:sz w:val="17"/>
          <w:szCs w:val="17"/>
          <w:b w:val="1"/>
          <w:bCs w:val="1"/>
          <w:u w:val="single" w:color="auto"/>
          <w:color w:val="auto"/>
        </w:rPr>
        <w:t>VOTING RIGHTS.</w:t>
      </w:r>
    </w:p>
    <w:p>
      <w:pPr>
        <w:spacing w:after="0" w:line="264" w:lineRule="exact"/>
        <w:rPr>
          <w:rFonts w:ascii="Arial" w:cs="Arial" w:eastAsia="Arial" w:hAnsi="Arial"/>
          <w:sz w:val="17"/>
          <w:szCs w:val="17"/>
          <w:color w:val="auto"/>
        </w:rPr>
      </w:pPr>
    </w:p>
    <w:p>
      <w:pPr>
        <w:ind w:left="520" w:right="260" w:hanging="7"/>
        <w:spacing w:after="0" w:line="290" w:lineRule="auto"/>
        <w:tabs>
          <w:tab w:leader="none" w:pos="793" w:val="left"/>
        </w:tabs>
        <w:numPr>
          <w:ilvl w:val="1"/>
          <w:numId w:val="158"/>
        </w:numPr>
        <w:rPr>
          <w:rFonts w:ascii="Arial" w:cs="Arial" w:eastAsia="Arial" w:hAnsi="Arial"/>
          <w:sz w:val="20"/>
          <w:szCs w:val="20"/>
          <w:color w:val="auto"/>
        </w:rPr>
      </w:pPr>
      <w:r>
        <w:rPr>
          <w:rFonts w:ascii="Arial" w:cs="Arial" w:eastAsia="Arial" w:hAnsi="Arial"/>
          <w:sz w:val="20"/>
          <w:szCs w:val="20"/>
          <w:color w:val="auto"/>
        </w:rPr>
        <w:t>No Shareholder shall be entitled to vote at any General Meeting (or be counted as a part of the quorum thereat), unless all calls then payable by him or her in respect of his or her Shares in the Company have been paid.</w:t>
      </w:r>
    </w:p>
    <w:p>
      <w:pPr>
        <w:spacing w:after="0" w:line="197" w:lineRule="exact"/>
        <w:rPr>
          <w:rFonts w:ascii="Arial" w:cs="Arial" w:eastAsia="Arial" w:hAnsi="Arial"/>
          <w:sz w:val="20"/>
          <w:szCs w:val="20"/>
          <w:color w:val="auto"/>
        </w:rPr>
      </w:pPr>
    </w:p>
    <w:p>
      <w:pPr>
        <w:ind w:left="520" w:right="20" w:hanging="7"/>
        <w:spacing w:after="0" w:line="269" w:lineRule="auto"/>
        <w:tabs>
          <w:tab w:leader="none" w:pos="804" w:val="left"/>
        </w:tabs>
        <w:numPr>
          <w:ilvl w:val="1"/>
          <w:numId w:val="158"/>
        </w:numPr>
        <w:rPr>
          <w:rFonts w:ascii="Arial" w:cs="Arial" w:eastAsia="Arial" w:hAnsi="Arial"/>
          <w:sz w:val="20"/>
          <w:szCs w:val="20"/>
          <w:color w:val="auto"/>
        </w:rPr>
      </w:pPr>
      <w:r>
        <w:rPr>
          <w:rFonts w:ascii="Arial" w:cs="Arial" w:eastAsia="Arial" w:hAnsi="Arial"/>
          <w:sz w:val="20"/>
          <w:szCs w:val="20"/>
          <w:color w:val="auto"/>
        </w:rPr>
        <w:t>A company or other corporate body being a Shareholder of the Company may duly authorize any person to be its representative at any meeting of the Company or to execute or deliver a proxy on its behalf. Any person so authorized shall be entitled to exercise on behalf of such Shareholder all the power, which the Shareholder could have exercised if it were an individual. Upon the request of the Chairperson of the General Meeting, written evidence of such authorization (in form acceptable to the Chairperson) shall be delivered to him or her.</w:t>
      </w:r>
    </w:p>
    <w:p>
      <w:pPr>
        <w:spacing w:after="0" w:line="217" w:lineRule="exact"/>
        <w:rPr>
          <w:rFonts w:ascii="Arial" w:cs="Arial" w:eastAsia="Arial" w:hAnsi="Arial"/>
          <w:sz w:val="20"/>
          <w:szCs w:val="20"/>
          <w:color w:val="auto"/>
        </w:rPr>
      </w:pPr>
    </w:p>
    <w:p>
      <w:pPr>
        <w:ind w:left="520" w:right="260" w:hanging="7"/>
        <w:spacing w:after="0" w:line="318" w:lineRule="auto"/>
        <w:tabs>
          <w:tab w:leader="none" w:pos="793" w:val="left"/>
        </w:tabs>
        <w:numPr>
          <w:ilvl w:val="1"/>
          <w:numId w:val="158"/>
        </w:numPr>
        <w:rPr>
          <w:rFonts w:ascii="Arial" w:cs="Arial" w:eastAsia="Arial" w:hAnsi="Arial"/>
          <w:sz w:val="19"/>
          <w:szCs w:val="19"/>
          <w:color w:val="auto"/>
        </w:rPr>
      </w:pPr>
      <w:r>
        <w:rPr>
          <w:rFonts w:ascii="Arial" w:cs="Arial" w:eastAsia="Arial" w:hAnsi="Arial"/>
          <w:sz w:val="19"/>
          <w:szCs w:val="19"/>
          <w:color w:val="auto"/>
        </w:rPr>
        <w:t>Any Shareholder entitled to vote may vote either in person or by proxy (who need not be a Shareholder of the Company), or, if the Shareholder is a company or other corporate body, by representative authorized pursuant to Article (b) above.</w:t>
      </w:r>
    </w:p>
    <w:p>
      <w:pPr>
        <w:spacing w:after="0" w:line="174" w:lineRule="exact"/>
        <w:rPr>
          <w:rFonts w:ascii="Arial" w:cs="Arial" w:eastAsia="Arial" w:hAnsi="Arial"/>
          <w:sz w:val="19"/>
          <w:szCs w:val="19"/>
          <w:color w:val="auto"/>
        </w:rPr>
      </w:pPr>
    </w:p>
    <w:p>
      <w:pPr>
        <w:ind w:left="520" w:right="380" w:hanging="7"/>
        <w:spacing w:after="0" w:line="296" w:lineRule="auto"/>
        <w:tabs>
          <w:tab w:leader="none" w:pos="804" w:val="left"/>
        </w:tabs>
        <w:numPr>
          <w:ilvl w:val="1"/>
          <w:numId w:val="158"/>
        </w:numPr>
        <w:rPr>
          <w:rFonts w:ascii="Arial" w:cs="Arial" w:eastAsia="Arial" w:hAnsi="Arial"/>
          <w:sz w:val="19"/>
          <w:szCs w:val="19"/>
          <w:color w:val="auto"/>
        </w:rPr>
      </w:pPr>
      <w:r>
        <w:rPr>
          <w:rFonts w:ascii="Arial" w:cs="Arial" w:eastAsia="Arial" w:hAnsi="Arial"/>
          <w:sz w:val="19"/>
          <w:szCs w:val="19"/>
          <w:color w:val="auto"/>
        </w:rPr>
        <w:t>If two or more persons are registered as joint holders of any Share, the vote of the senior who tenders a vote, in person or by proxy, shall be accepted to the exclusion of the vote(s) of the other joint holder(s). For the purpose of this Article 32(d), seniority shall be determined by the order of registration of the joint holders in the Register of Shareholders.</w:t>
      </w:r>
    </w:p>
    <w:p>
      <w:pPr>
        <w:spacing w:after="0" w:line="195" w:lineRule="exact"/>
        <w:rPr>
          <w:rFonts w:ascii="Arial" w:cs="Arial" w:eastAsia="Arial" w:hAnsi="Arial"/>
          <w:sz w:val="19"/>
          <w:szCs w:val="19"/>
          <w:color w:val="auto"/>
        </w:rPr>
      </w:pPr>
    </w:p>
    <w:p>
      <w:pPr>
        <w:jc w:val="both"/>
        <w:ind w:left="520" w:right="40" w:hanging="7"/>
        <w:spacing w:after="0" w:line="271" w:lineRule="auto"/>
        <w:tabs>
          <w:tab w:leader="none" w:pos="793" w:val="left"/>
        </w:tabs>
        <w:numPr>
          <w:ilvl w:val="1"/>
          <w:numId w:val="158"/>
        </w:numPr>
        <w:rPr>
          <w:rFonts w:ascii="Arial" w:cs="Arial" w:eastAsia="Arial" w:hAnsi="Arial"/>
          <w:sz w:val="20"/>
          <w:szCs w:val="20"/>
          <w:color w:val="auto"/>
        </w:rPr>
      </w:pPr>
      <w:r>
        <w:rPr>
          <w:rFonts w:ascii="Arial" w:cs="Arial" w:eastAsia="Arial" w:hAnsi="Arial"/>
          <w:sz w:val="20"/>
          <w:szCs w:val="20"/>
          <w:color w:val="auto"/>
        </w:rPr>
        <w:t>If a Shareholder is a minor, under protection, bankrupt or legally incompetent, or in the case of a corporation, is in receivership or liquidation, it may, subject to all other provisions of these Articles and any documents or records required to be provided under these Articles, vote through his, her or its trustees, receiver, liquidator, natural guardian or another legal guardian, as the case may be, and the persons listed above may vote in person or by proxy.</w:t>
      </w:r>
    </w:p>
    <w:p>
      <w:pPr>
        <w:sectPr>
          <w:pgSz w:w="11900" w:h="16838" w:orient="portrait"/>
          <w:cols w:equalWidth="0" w:num="1">
            <w:col w:w="11240"/>
          </w:cols>
          <w:pgMar w:left="320" w:top="374" w:right="339" w:bottom="0" w:gutter="0" w:footer="0" w:header="0"/>
        </w:sectPr>
      </w:pPr>
    </w:p>
    <w:bookmarkStart w:id="185" w:name="page186"/>
    <w:bookmarkEnd w:id="185"/>
    <w:p>
      <w:pPr>
        <w:jc w:val="center"/>
        <w:spacing w:after="0"/>
        <w:rPr>
          <w:sz w:val="20"/>
          <w:szCs w:val="20"/>
          <w:color w:val="auto"/>
        </w:rPr>
      </w:pPr>
      <w:r>
        <w:rPr>
          <w:rFonts w:ascii="Arial" w:cs="Arial" w:eastAsia="Arial" w:hAnsi="Arial"/>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64770</wp:posOffset>
            </wp:positionV>
            <wp:extent cx="7141845" cy="158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9019"/>
          </w:cols>
          <w:pgMar w:left="1440" w:top="532" w:right="1440" w:bottom="1440" w:gutter="0" w:footer="0" w:header="0"/>
        </w:sectPr>
      </w:pPr>
    </w:p>
    <w:bookmarkStart w:id="186" w:name="page187"/>
    <w:bookmarkEnd w:id="186"/>
    <w:p>
      <w:pPr>
        <w:jc w:val="center"/>
        <w:spacing w:after="0"/>
        <w:rPr>
          <w:sz w:val="20"/>
          <w:szCs w:val="20"/>
          <w:color w:val="auto"/>
        </w:rPr>
      </w:pPr>
      <w:r>
        <w:rPr>
          <w:rFonts w:ascii="Arial" w:cs="Arial" w:eastAsia="Arial" w:hAnsi="Arial"/>
          <w:sz w:val="20"/>
          <w:szCs w:val="20"/>
          <w:b w:val="1"/>
          <w:bCs w:val="1"/>
          <w:color w:val="auto"/>
        </w:rPr>
        <w:t>PROXIES</w:t>
      </w:r>
    </w:p>
    <w:p>
      <w:pPr>
        <w:spacing w:after="0" w:line="268" w:lineRule="exact"/>
        <w:rPr>
          <w:sz w:val="20"/>
          <w:szCs w:val="20"/>
          <w:color w:val="auto"/>
        </w:rPr>
      </w:pPr>
    </w:p>
    <w:p>
      <w:pPr>
        <w:ind w:left="560" w:hanging="560"/>
        <w:spacing w:after="0"/>
        <w:tabs>
          <w:tab w:leader="none" w:pos="560" w:val="left"/>
        </w:tabs>
        <w:numPr>
          <w:ilvl w:val="0"/>
          <w:numId w:val="159"/>
        </w:numPr>
        <w:rPr>
          <w:rFonts w:ascii="Arial" w:cs="Arial" w:eastAsia="Arial" w:hAnsi="Arial"/>
          <w:sz w:val="17"/>
          <w:szCs w:val="17"/>
          <w:color w:val="auto"/>
        </w:rPr>
      </w:pPr>
      <w:r>
        <w:rPr>
          <w:rFonts w:ascii="Arial" w:cs="Arial" w:eastAsia="Arial" w:hAnsi="Arial"/>
          <w:sz w:val="17"/>
          <w:szCs w:val="17"/>
          <w:b w:val="1"/>
          <w:bCs w:val="1"/>
          <w:u w:val="single" w:color="auto"/>
          <w:color w:val="auto"/>
        </w:rPr>
        <w:t>INSTRUMENT OF APPOINTMENT</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20"/>
          <w:szCs w:val="20"/>
          <w:color w:val="auto"/>
        </w:rPr>
        <w:t>(a) An instrument appointing a proxy shall be in writing and shall be substantially in the following form:</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60" w:type="dxa"/>
            <w:vAlign w:val="bottom"/>
            <w:gridSpan w:val="2"/>
          </w:tcPr>
          <w:p>
            <w:pPr>
              <w:spacing w:after="0"/>
              <w:rPr>
                <w:sz w:val="20"/>
                <w:szCs w:val="20"/>
                <w:color w:val="auto"/>
              </w:rPr>
            </w:pPr>
            <w:r>
              <w:rPr>
                <w:rFonts w:ascii="Arial" w:cs="Arial" w:eastAsia="Arial" w:hAnsi="Arial"/>
                <w:sz w:val="17"/>
                <w:szCs w:val="17"/>
                <w:color w:val="auto"/>
              </w:rPr>
              <w:t>“I</w:t>
            </w:r>
          </w:p>
        </w:tc>
        <w:tc>
          <w:tcPr>
            <w:tcW w:w="5280" w:type="dxa"/>
            <w:vAlign w:val="bottom"/>
            <w:gridSpan w:val="2"/>
          </w:tcPr>
          <w:p>
            <w:pPr>
              <w:ind w:left="120"/>
              <w:spacing w:after="0"/>
              <w:rPr>
                <w:sz w:val="20"/>
                <w:szCs w:val="20"/>
                <w:color w:val="auto"/>
              </w:rPr>
            </w:pPr>
            <w:r>
              <w:rPr>
                <w:rFonts w:ascii="Arial" w:cs="Arial" w:eastAsia="Arial" w:hAnsi="Arial"/>
                <w:sz w:val="17"/>
                <w:szCs w:val="17"/>
                <w:color w:val="auto"/>
              </w:rPr>
              <w:t>of</w:t>
            </w:r>
          </w:p>
        </w:tc>
      </w:tr>
      <w:tr>
        <w:trPr>
          <w:trHeight w:val="206"/>
        </w:trPr>
        <w:tc>
          <w:tcPr>
            <w:tcW w:w="1300" w:type="dxa"/>
            <w:vAlign w:val="bottom"/>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4340" w:type="dxa"/>
            <w:vAlign w:val="bottom"/>
            <w:tcBorders>
              <w:bottom w:val="single" w:sz="8" w:color="auto"/>
            </w:tcBorders>
          </w:tcPr>
          <w:p>
            <w:pPr>
              <w:spacing w:after="0"/>
              <w:rPr>
                <w:sz w:val="17"/>
                <w:szCs w:val="17"/>
                <w:color w:val="auto"/>
              </w:rPr>
            </w:pPr>
          </w:p>
        </w:tc>
      </w:tr>
      <w:tr>
        <w:trPr>
          <w:trHeight w:val="213"/>
        </w:trPr>
        <w:tc>
          <w:tcPr>
            <w:tcW w:w="130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Arial" w:cs="Arial" w:eastAsia="Arial" w:hAnsi="Arial"/>
                <w:sz w:val="17"/>
                <w:szCs w:val="17"/>
                <w:i w:val="1"/>
                <w:iCs w:val="1"/>
                <w:color w:val="auto"/>
                <w:w w:val="89"/>
              </w:rPr>
              <w:t>(Name of Shareholder)</w:t>
            </w:r>
          </w:p>
        </w:tc>
        <w:tc>
          <w:tcPr>
            <w:tcW w:w="94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7"/>
                <w:szCs w:val="17"/>
                <w:i w:val="1"/>
                <w:iCs w:val="1"/>
                <w:color w:val="auto"/>
                <w:w w:val="87"/>
              </w:rPr>
              <w:t>(Address of Shareholder)</w:t>
            </w:r>
          </w:p>
        </w:tc>
      </w:tr>
      <w:tr>
        <w:trPr>
          <w:trHeight w:val="389"/>
        </w:trPr>
        <w:tc>
          <w:tcPr>
            <w:tcW w:w="5960" w:type="dxa"/>
            <w:vAlign w:val="bottom"/>
            <w:gridSpan w:val="2"/>
          </w:tcPr>
          <w:p>
            <w:pPr>
              <w:spacing w:after="0"/>
              <w:rPr>
                <w:sz w:val="20"/>
                <w:szCs w:val="20"/>
                <w:color w:val="auto"/>
              </w:rPr>
            </w:pPr>
            <w:r>
              <w:rPr>
                <w:rFonts w:ascii="Arial" w:cs="Arial" w:eastAsia="Arial" w:hAnsi="Arial"/>
                <w:sz w:val="17"/>
                <w:szCs w:val="17"/>
                <w:color w:val="auto"/>
              </w:rPr>
              <w:t>Being a shareholder of WalkMe Ltd. hereby appoints</w:t>
            </w:r>
          </w:p>
        </w:tc>
        <w:tc>
          <w:tcPr>
            <w:tcW w:w="94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402"/>
        </w:trPr>
        <w:tc>
          <w:tcPr>
            <w:tcW w:w="13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5280" w:type="dxa"/>
            <w:vAlign w:val="bottom"/>
            <w:gridSpan w:val="2"/>
          </w:tcPr>
          <w:p>
            <w:pPr>
              <w:ind w:left="120"/>
              <w:spacing w:after="0"/>
              <w:rPr>
                <w:sz w:val="20"/>
                <w:szCs w:val="20"/>
                <w:color w:val="auto"/>
              </w:rPr>
            </w:pPr>
            <w:r>
              <w:rPr>
                <w:rFonts w:ascii="Arial" w:cs="Arial" w:eastAsia="Arial" w:hAnsi="Arial"/>
                <w:sz w:val="17"/>
                <w:szCs w:val="17"/>
                <w:color w:val="auto"/>
              </w:rPr>
              <w:t>of</w:t>
            </w:r>
          </w:p>
        </w:tc>
      </w:tr>
      <w:tr>
        <w:trPr>
          <w:trHeight w:val="206"/>
        </w:trPr>
        <w:tc>
          <w:tcPr>
            <w:tcW w:w="1300" w:type="dxa"/>
            <w:vAlign w:val="bottom"/>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4340" w:type="dxa"/>
            <w:vAlign w:val="bottom"/>
            <w:tcBorders>
              <w:bottom w:val="single" w:sz="8" w:color="auto"/>
            </w:tcBorders>
          </w:tcPr>
          <w:p>
            <w:pPr>
              <w:spacing w:after="0"/>
              <w:rPr>
                <w:sz w:val="17"/>
                <w:szCs w:val="17"/>
                <w:color w:val="auto"/>
              </w:rPr>
            </w:pPr>
          </w:p>
        </w:tc>
      </w:tr>
      <w:tr>
        <w:trPr>
          <w:trHeight w:val="213"/>
        </w:trPr>
        <w:tc>
          <w:tcPr>
            <w:tcW w:w="130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Arial" w:cs="Arial" w:eastAsia="Arial" w:hAnsi="Arial"/>
                <w:sz w:val="17"/>
                <w:szCs w:val="17"/>
                <w:i w:val="1"/>
                <w:iCs w:val="1"/>
                <w:color w:val="auto"/>
                <w:w w:val="88"/>
              </w:rPr>
              <w:t>(Name of Proxy)</w:t>
            </w:r>
          </w:p>
        </w:tc>
        <w:tc>
          <w:tcPr>
            <w:tcW w:w="94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7"/>
                <w:szCs w:val="17"/>
                <w:i w:val="1"/>
                <w:iCs w:val="1"/>
                <w:color w:val="auto"/>
                <w:w w:val="89"/>
              </w:rPr>
              <w:t>(Address of Proxy)</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as my proxy to vote for me and on my behalf at the General Meeting of the Company to be held on the ___ day of _______, _______ and at any adjournment(s)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thereof.</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Signed this ____ day of ___________, ______.</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(Signature of Appointor)”</w:t>
      </w:r>
    </w:p>
    <w:p>
      <w:pPr>
        <w:spacing w:after="0" w:line="260" w:lineRule="exact"/>
        <w:rPr>
          <w:sz w:val="20"/>
          <w:szCs w:val="20"/>
          <w:color w:val="auto"/>
        </w:rPr>
      </w:pPr>
    </w:p>
    <w:p>
      <w:pPr>
        <w:ind w:left="560" w:right="260"/>
        <w:spacing w:after="0" w:line="271" w:lineRule="auto"/>
        <w:rPr>
          <w:sz w:val="20"/>
          <w:szCs w:val="20"/>
          <w:color w:val="auto"/>
        </w:rPr>
      </w:pPr>
      <w:r>
        <w:rPr>
          <w:rFonts w:ascii="Arial" w:cs="Arial" w:eastAsia="Arial" w:hAnsi="Arial"/>
          <w:sz w:val="20"/>
          <w:szCs w:val="20"/>
          <w:color w:val="auto"/>
        </w:rPr>
        <w:t>or in any usual or common form or in such other form as may be approved by the Board of Directors. Such proxy shall be duly signed by the appointor of such person’s duly authorized attorney, or, if such appointor is company or other corporate body, in the manner in which it signs documents which binds it together with a certificate of an attorney with regard to the authority of the signatories.</w:t>
      </w:r>
    </w:p>
    <w:p>
      <w:pPr>
        <w:spacing w:after="0" w:line="217" w:lineRule="exact"/>
        <w:rPr>
          <w:sz w:val="20"/>
          <w:szCs w:val="20"/>
          <w:color w:val="auto"/>
        </w:rPr>
      </w:pPr>
    </w:p>
    <w:p>
      <w:pPr>
        <w:ind w:left="520" w:right="80" w:hanging="7"/>
        <w:spacing w:after="0" w:line="300" w:lineRule="auto"/>
        <w:tabs>
          <w:tab w:leader="none" w:pos="804" w:val="left"/>
        </w:tabs>
        <w:numPr>
          <w:ilvl w:val="1"/>
          <w:numId w:val="160"/>
        </w:numPr>
        <w:rPr>
          <w:rFonts w:ascii="Arial" w:cs="Arial" w:eastAsia="Arial" w:hAnsi="Arial"/>
          <w:sz w:val="18"/>
          <w:szCs w:val="18"/>
          <w:color w:val="auto"/>
        </w:rPr>
      </w:pPr>
      <w:r>
        <w:rPr>
          <w:rFonts w:ascii="Arial" w:cs="Arial" w:eastAsia="Arial" w:hAnsi="Arial"/>
          <w:sz w:val="18"/>
          <w:szCs w:val="18"/>
          <w:color w:val="auto"/>
        </w:rPr>
        <w:t>Subject to the Companies Law, the original instrument appointing a proxy or a copy thereof certified by an attorney (and the power of attorney or other authority, if any, under which such instrument has been signed) shall be delivered to the Company (at its Office, at its principal place of business, or at the offices of its registrar or transfer agent, or at such place as notice of the meeting may specify) not less than forty eight (48) hours (or such shorter period as the notice shall specify) before the time fixed for such meeting. Notwithstanding the above, the Chairperson shall have the right to waive the time requirement provided above with respect to all instruments of proxies and to accept instruments of proxy until the beginning of a General Meeting. A document appointing a proxy shall be valid for every adjourned meeting of the General Meeting to which the document relates.</w:t>
      </w:r>
    </w:p>
    <w:p>
      <w:pPr>
        <w:spacing w:after="0" w:line="189" w:lineRule="exact"/>
        <w:rPr>
          <w:rFonts w:ascii="Arial" w:cs="Arial" w:eastAsia="Arial" w:hAnsi="Arial"/>
          <w:sz w:val="18"/>
          <w:szCs w:val="18"/>
          <w:color w:val="auto"/>
        </w:rPr>
      </w:pPr>
    </w:p>
    <w:p>
      <w:pPr>
        <w:ind w:left="560" w:hanging="560"/>
        <w:spacing w:after="0"/>
        <w:tabs>
          <w:tab w:leader="none" w:pos="560" w:val="left"/>
        </w:tabs>
        <w:numPr>
          <w:ilvl w:val="0"/>
          <w:numId w:val="161"/>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 OF DEATH OF APPOINTER OF TRANSFER OF SHARE AND OR REVOCATION OF APPOINTMENT</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ind w:left="520" w:right="200" w:hanging="7"/>
        <w:spacing w:after="0" w:line="271" w:lineRule="auto"/>
        <w:tabs>
          <w:tab w:leader="none" w:pos="793" w:val="left"/>
        </w:tabs>
        <w:numPr>
          <w:ilvl w:val="1"/>
          <w:numId w:val="161"/>
        </w:numPr>
        <w:rPr>
          <w:rFonts w:ascii="Arial" w:cs="Arial" w:eastAsia="Arial" w:hAnsi="Arial"/>
          <w:sz w:val="20"/>
          <w:szCs w:val="20"/>
          <w:color w:val="auto"/>
        </w:rPr>
      </w:pPr>
      <w:r>
        <w:rPr>
          <w:rFonts w:ascii="Arial" w:cs="Arial" w:eastAsia="Arial" w:hAnsi="Arial"/>
          <w:sz w:val="20"/>
          <w:szCs w:val="20"/>
          <w:color w:val="auto"/>
        </w:rPr>
        <w:t>A vote cast in accordance with an instrument appointing a proxy shall be valid notwithstanding the prior death or bankruptcy of the appointing Shareholder (or of his or her attorney-in-fact, if any, who signed such instrument), or the transfer of the Share in respect of which the vote is cast, unless written notice of such matters shall have been received by the Company or by the Chairperson of such meeting prior to such vote being cast.</w:t>
      </w:r>
    </w:p>
    <w:p>
      <w:pPr>
        <w:spacing w:after="0" w:line="216" w:lineRule="exact"/>
        <w:rPr>
          <w:rFonts w:ascii="Arial" w:cs="Arial" w:eastAsia="Arial" w:hAnsi="Arial"/>
          <w:sz w:val="20"/>
          <w:szCs w:val="20"/>
          <w:color w:val="auto"/>
        </w:rPr>
      </w:pPr>
    </w:p>
    <w:p>
      <w:pPr>
        <w:ind w:left="520" w:hanging="7"/>
        <w:spacing w:after="0" w:line="279" w:lineRule="auto"/>
        <w:tabs>
          <w:tab w:leader="none" w:pos="804" w:val="left"/>
        </w:tabs>
        <w:numPr>
          <w:ilvl w:val="1"/>
          <w:numId w:val="161"/>
        </w:numPr>
        <w:rPr>
          <w:rFonts w:ascii="Arial" w:cs="Arial" w:eastAsia="Arial" w:hAnsi="Arial"/>
          <w:sz w:val="19"/>
          <w:szCs w:val="19"/>
          <w:color w:val="auto"/>
        </w:rPr>
      </w:pPr>
      <w:r>
        <w:rPr>
          <w:rFonts w:ascii="Arial" w:cs="Arial" w:eastAsia="Arial" w:hAnsi="Arial"/>
          <w:sz w:val="19"/>
          <w:szCs w:val="19"/>
          <w:color w:val="auto"/>
        </w:rPr>
        <w:t>Subject to the Companies Law, an instrument appointing a proxy shall be deemed revoked (i) upon receipt by the Company or the Chairperson, subsequent to receipt by the Company of such instrument, of written notice signed by the person signing such instrument or by the Shareholder appointing such proxy canceling the appointment thereunder (or the authority pursuant to which such instrument was signed) or of an instrument appointing a different proxy (and such other documents, if any, required under Article 33(b) for such new appointment), provided such notice of cancellation or instrument appointing a different proxy were so received at the place and within the time for delivery of the instrument revoked thereby as referred to in Article 33(b) hereof, or (ii) if the appointing Shareholder is present in person at the meeting for which such instrument of proxy was delivered, upon receipt by the Chairperson of such meeting of written notice from such Shareholder of the revocation of such appointment, or if and when such Shareholder votes at such meeting. A vote cast in accordance with an instrument appointing a proxy shall be valid notwithstanding the revocation or purported cancellation of the appointment, or the presence in person or vote of the appointing Shareholder at a meeting for which it was rendered, unless such instrument of appointment was deemed revoked in accordance with the foregoing provisions of this Article 34(b) at or prior to the time such vote was cast.</w:t>
      </w:r>
    </w:p>
    <w:p>
      <w:pPr>
        <w:spacing w:after="0" w:line="366" w:lineRule="exact"/>
        <w:rPr>
          <w:rFonts w:ascii="Arial" w:cs="Arial" w:eastAsia="Arial" w:hAnsi="Arial"/>
          <w:sz w:val="19"/>
          <w:szCs w:val="19"/>
          <w:color w:val="auto"/>
        </w:rPr>
      </w:pPr>
    </w:p>
    <w:p>
      <w:pPr>
        <w:ind w:left="5520" w:hanging="114"/>
        <w:spacing w:after="0"/>
        <w:tabs>
          <w:tab w:leader="none" w:pos="5520" w:val="left"/>
        </w:tabs>
        <w:numPr>
          <w:ilvl w:val="2"/>
          <w:numId w:val="161"/>
        </w:numPr>
        <w:rPr>
          <w:rFonts w:ascii="Arial" w:cs="Arial" w:eastAsia="Arial" w:hAnsi="Arial"/>
          <w:sz w:val="20"/>
          <w:szCs w:val="20"/>
          <w:color w:val="auto"/>
        </w:rPr>
      </w:pPr>
      <w:r>
        <w:rPr>
          <w:rFonts w:ascii="Arial" w:cs="Arial" w:eastAsia="Arial" w:hAnsi="Arial"/>
          <w:sz w:val="20"/>
          <w:szCs w:val="20"/>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41845" cy="158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20"/>
          <w:szCs w:val="20"/>
          <w:b w:val="1"/>
          <w:bCs w:val="1"/>
          <w:color w:val="auto"/>
        </w:rPr>
        <w:t>BOARD OF DIRECTORS</w:t>
      </w:r>
    </w:p>
    <w:p>
      <w:pPr>
        <w:spacing w:after="0" w:line="268" w:lineRule="exact"/>
        <w:rPr>
          <w:sz w:val="20"/>
          <w:szCs w:val="20"/>
          <w:color w:val="auto"/>
        </w:rPr>
      </w:pPr>
    </w:p>
    <w:p>
      <w:pPr>
        <w:ind w:left="560" w:hanging="560"/>
        <w:spacing w:after="0"/>
        <w:tabs>
          <w:tab w:leader="none" w:pos="560" w:val="left"/>
        </w:tabs>
        <w:numPr>
          <w:ilvl w:val="0"/>
          <w:numId w:val="162"/>
        </w:numPr>
        <w:rPr>
          <w:rFonts w:ascii="Arial" w:cs="Arial" w:eastAsia="Arial" w:hAnsi="Arial"/>
          <w:sz w:val="17"/>
          <w:szCs w:val="17"/>
          <w:color w:val="auto"/>
        </w:rPr>
      </w:pPr>
      <w:r>
        <w:rPr>
          <w:rFonts w:ascii="Arial" w:cs="Arial" w:eastAsia="Arial" w:hAnsi="Arial"/>
          <w:sz w:val="17"/>
          <w:szCs w:val="17"/>
          <w:b w:val="1"/>
          <w:bCs w:val="1"/>
          <w:u w:val="single" w:color="auto"/>
          <w:color w:val="auto"/>
        </w:rPr>
        <w:t>POWERS OF THE BOARD OF DIRECTORS</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ind w:left="520" w:right="80" w:hanging="7"/>
        <w:spacing w:after="0" w:line="302" w:lineRule="auto"/>
        <w:tabs>
          <w:tab w:leader="none" w:pos="793"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Board of Directors may exercise all such powers and do all such acts and things as the Board of Directors is authorized by law or as the Company is authorized to exercise and do and are not hereby or by law required to be exercised or done by the General Meeting. The authority conferred on the Board of Directors by this Article 35 shall be subject to the provisions of the Companies Law, these Articles and any regulation or resolution consistent with these Articles adopted from time to time at a General Meeting, provided, however, that no such regulation or resolution shall invalidate any prior act done by or pursuant to a decision of the Board of Directors which would have been valid if such regulation or resolution had not been adopted.</w:t>
      </w:r>
    </w:p>
    <w:p>
      <w:pPr>
        <w:spacing w:after="0" w:line="194" w:lineRule="exact"/>
        <w:rPr>
          <w:rFonts w:ascii="Arial" w:cs="Arial" w:eastAsia="Arial" w:hAnsi="Arial"/>
          <w:sz w:val="18"/>
          <w:szCs w:val="18"/>
          <w:color w:val="auto"/>
        </w:rPr>
      </w:pPr>
    </w:p>
    <w:p>
      <w:pPr>
        <w:ind w:left="520" w:hanging="7"/>
        <w:spacing w:after="0" w:line="266" w:lineRule="auto"/>
        <w:tabs>
          <w:tab w:leader="none" w:pos="804" w:val="left"/>
        </w:tabs>
        <w:numPr>
          <w:ilvl w:val="1"/>
          <w:numId w:val="162"/>
        </w:numPr>
        <w:rPr>
          <w:rFonts w:ascii="Arial" w:cs="Arial" w:eastAsia="Arial" w:hAnsi="Arial"/>
          <w:sz w:val="20"/>
          <w:szCs w:val="20"/>
          <w:color w:val="auto"/>
        </w:rPr>
      </w:pPr>
      <w:r>
        <w:rPr>
          <w:rFonts w:ascii="Arial" w:cs="Arial" w:eastAsia="Arial" w:hAnsi="Arial"/>
          <w:sz w:val="20"/>
          <w:szCs w:val="20"/>
          <w:color w:val="auto"/>
        </w:rPr>
        <w:t>Without limiting the generality of the foregoing, the Board of Directors may, from time to time, set aside any amount(s) out of the profits of the Company as a reserve or reserves for any purpose(s) which the Board of Directors, in its absolute discretion, shall deem fit, including without limitation, capitalization and distribution of bonus Shares, and may invest any sum so set aside in any manner and from time to time deal with and vary such investments and dispose of all or any part thereof, and employ any such reserve or any part thereof in the business of the Company without being bound to keep the same separate from other assets of the Company, and may subdivide or re-designate any reserve or cancel the same or apply the funds therein for another purpose, all as the Board of Directors may from time to time think fit.</w:t>
      </w:r>
    </w:p>
    <w:p>
      <w:pPr>
        <w:spacing w:after="0" w:line="216" w:lineRule="exact"/>
        <w:rPr>
          <w:rFonts w:ascii="Arial" w:cs="Arial" w:eastAsia="Arial" w:hAnsi="Arial"/>
          <w:sz w:val="20"/>
          <w:szCs w:val="20"/>
          <w:color w:val="auto"/>
        </w:rPr>
      </w:pPr>
    </w:p>
    <w:p>
      <w:pPr>
        <w:ind w:left="560" w:hanging="560"/>
        <w:spacing w:after="0"/>
        <w:tabs>
          <w:tab w:leader="none" w:pos="560" w:val="left"/>
        </w:tabs>
        <w:numPr>
          <w:ilvl w:val="0"/>
          <w:numId w:val="162"/>
        </w:numPr>
        <w:rPr>
          <w:rFonts w:ascii="Arial" w:cs="Arial" w:eastAsia="Arial" w:hAnsi="Arial"/>
          <w:sz w:val="17"/>
          <w:szCs w:val="17"/>
          <w:color w:val="auto"/>
        </w:rPr>
      </w:pPr>
      <w:r>
        <w:rPr>
          <w:rFonts w:ascii="Arial" w:cs="Arial" w:eastAsia="Arial" w:hAnsi="Arial"/>
          <w:sz w:val="17"/>
          <w:szCs w:val="17"/>
          <w:b w:val="1"/>
          <w:bCs w:val="1"/>
          <w:u w:val="single" w:color="auto"/>
          <w:color w:val="auto"/>
        </w:rPr>
        <w:t>EXERCISE OF POWERS OF THE BOARD OF DIRECTORS</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ind w:left="520" w:right="20" w:hanging="7"/>
        <w:spacing w:after="0" w:line="290" w:lineRule="auto"/>
        <w:tabs>
          <w:tab w:leader="none" w:pos="793" w:val="left"/>
        </w:tabs>
        <w:numPr>
          <w:ilvl w:val="1"/>
          <w:numId w:val="162"/>
        </w:numPr>
        <w:rPr>
          <w:rFonts w:ascii="Arial" w:cs="Arial" w:eastAsia="Arial" w:hAnsi="Arial"/>
          <w:sz w:val="20"/>
          <w:szCs w:val="20"/>
          <w:color w:val="auto"/>
        </w:rPr>
      </w:pPr>
      <w:r>
        <w:rPr>
          <w:rFonts w:ascii="Arial" w:cs="Arial" w:eastAsia="Arial" w:hAnsi="Arial"/>
          <w:sz w:val="20"/>
          <w:szCs w:val="20"/>
          <w:color w:val="auto"/>
        </w:rPr>
        <w:t>A meeting of the Board of Directors at which a quorum is present in accordance with Article 45 shall be competent to exercise all the authorities, powers and discretion vested in or exercisable by the Board of Directors.</w:t>
      </w:r>
    </w:p>
    <w:p>
      <w:pPr>
        <w:spacing w:after="0" w:line="197" w:lineRule="exact"/>
        <w:rPr>
          <w:rFonts w:ascii="Arial" w:cs="Arial" w:eastAsia="Arial" w:hAnsi="Arial"/>
          <w:sz w:val="20"/>
          <w:szCs w:val="20"/>
          <w:color w:val="auto"/>
        </w:rPr>
      </w:pPr>
    </w:p>
    <w:p>
      <w:pPr>
        <w:ind w:left="520" w:right="720" w:hanging="7"/>
        <w:spacing w:after="0" w:line="290" w:lineRule="auto"/>
        <w:tabs>
          <w:tab w:leader="none" w:pos="804" w:val="left"/>
        </w:tabs>
        <w:numPr>
          <w:ilvl w:val="1"/>
          <w:numId w:val="162"/>
        </w:numPr>
        <w:rPr>
          <w:rFonts w:ascii="Arial" w:cs="Arial" w:eastAsia="Arial" w:hAnsi="Arial"/>
          <w:sz w:val="20"/>
          <w:szCs w:val="20"/>
          <w:color w:val="auto"/>
        </w:rPr>
      </w:pPr>
      <w:r>
        <w:rPr>
          <w:rFonts w:ascii="Arial" w:cs="Arial" w:eastAsia="Arial" w:hAnsi="Arial"/>
          <w:sz w:val="20"/>
          <w:szCs w:val="20"/>
          <w:color w:val="auto"/>
        </w:rPr>
        <w:t>A resolution proposed at any meeting of the Board of Directors shall be deemed adopted if approved by a majority of the Directors present, entitled to vote and voting thereon when such resolution is put to a vote.</w:t>
      </w:r>
    </w:p>
    <w:p>
      <w:pPr>
        <w:spacing w:after="0" w:line="197" w:lineRule="exact"/>
        <w:rPr>
          <w:rFonts w:ascii="Arial" w:cs="Arial" w:eastAsia="Arial" w:hAnsi="Arial"/>
          <w:sz w:val="20"/>
          <w:szCs w:val="20"/>
          <w:color w:val="auto"/>
        </w:rPr>
      </w:pPr>
    </w:p>
    <w:p>
      <w:pPr>
        <w:ind w:left="520" w:right="140" w:hanging="7"/>
        <w:spacing w:after="0" w:line="290" w:lineRule="auto"/>
        <w:tabs>
          <w:tab w:leader="none" w:pos="793" w:val="left"/>
        </w:tabs>
        <w:numPr>
          <w:ilvl w:val="1"/>
          <w:numId w:val="162"/>
        </w:numPr>
        <w:rPr>
          <w:rFonts w:ascii="Arial" w:cs="Arial" w:eastAsia="Arial" w:hAnsi="Arial"/>
          <w:sz w:val="20"/>
          <w:szCs w:val="20"/>
          <w:color w:val="auto"/>
        </w:rPr>
      </w:pPr>
      <w:r>
        <w:rPr>
          <w:rFonts w:ascii="Arial" w:cs="Arial" w:eastAsia="Arial" w:hAnsi="Arial"/>
          <w:sz w:val="20"/>
          <w:szCs w:val="20"/>
          <w:color w:val="auto"/>
        </w:rPr>
        <w:t>The Board of Directors may adopt resolutions, without convening a meeting of the Board of Directors, in writing or in any other manner permitted by the Companies Law.</w:t>
      </w:r>
    </w:p>
    <w:p>
      <w:pPr>
        <w:spacing w:after="0" w:line="197" w:lineRule="exact"/>
        <w:rPr>
          <w:rFonts w:ascii="Arial" w:cs="Arial" w:eastAsia="Arial" w:hAnsi="Arial"/>
          <w:sz w:val="20"/>
          <w:szCs w:val="20"/>
          <w:color w:val="auto"/>
        </w:rPr>
      </w:pPr>
    </w:p>
    <w:p>
      <w:pPr>
        <w:ind w:left="520" w:right="20" w:hanging="7"/>
        <w:spacing w:after="0" w:line="276" w:lineRule="auto"/>
        <w:tabs>
          <w:tab w:leader="none" w:pos="804" w:val="left"/>
        </w:tabs>
        <w:numPr>
          <w:ilvl w:val="1"/>
          <w:numId w:val="162"/>
        </w:numPr>
        <w:rPr>
          <w:rFonts w:ascii="Arial" w:cs="Arial" w:eastAsia="Arial" w:hAnsi="Arial"/>
          <w:sz w:val="20"/>
          <w:szCs w:val="20"/>
          <w:color w:val="auto"/>
        </w:rPr>
      </w:pPr>
      <w:r>
        <w:rPr>
          <w:rFonts w:ascii="Arial" w:cs="Arial" w:eastAsia="Arial" w:hAnsi="Arial"/>
          <w:sz w:val="20"/>
          <w:szCs w:val="20"/>
          <w:color w:val="auto"/>
        </w:rPr>
        <w:t>Notwithstanding anything to the contrary herein, including under Articles 36(a) and 36(b), and without derogating from any other approvals required pursuant to these Articles or applicable law, the following actions shall require the affirmative consent of at least two-thirds (2/3) of the Directors then in office and entitled to vote thereon:</w:t>
      </w:r>
    </w:p>
    <w:p>
      <w:pPr>
        <w:spacing w:after="0" w:line="206" w:lineRule="exact"/>
        <w:rPr>
          <w:rFonts w:ascii="Arial" w:cs="Arial" w:eastAsia="Arial" w:hAnsi="Arial"/>
          <w:sz w:val="20"/>
          <w:szCs w:val="20"/>
          <w:color w:val="auto"/>
        </w:rPr>
      </w:pPr>
    </w:p>
    <w:p>
      <w:pPr>
        <w:ind w:left="1800" w:right="20" w:hanging="557"/>
        <w:spacing w:after="0" w:line="268" w:lineRule="auto"/>
        <w:tabs>
          <w:tab w:leader="none" w:pos="1800" w:val="left"/>
        </w:tabs>
        <w:numPr>
          <w:ilvl w:val="2"/>
          <w:numId w:val="162"/>
        </w:numPr>
        <w:rPr>
          <w:rFonts w:ascii="Arial" w:cs="Arial" w:eastAsia="Arial" w:hAnsi="Arial"/>
          <w:sz w:val="16"/>
          <w:szCs w:val="16"/>
          <w:color w:val="auto"/>
        </w:rPr>
      </w:pPr>
      <w:r>
        <w:rPr>
          <w:rFonts w:ascii="Arial" w:cs="Arial" w:eastAsia="Arial" w:hAnsi="Arial"/>
          <w:sz w:val="16"/>
          <w:szCs w:val="16"/>
          <w:color w:val="auto"/>
        </w:rPr>
        <w:t>Any resolution to enter into a merger, consolidation, acquisition, amalgamation, business combination, issue equity securities or debt securities convertible into equity or other similar transaction (collectively, a “</w:t>
      </w:r>
      <w:r>
        <w:rPr>
          <w:rFonts w:ascii="Arial" w:cs="Arial" w:eastAsia="Arial" w:hAnsi="Arial"/>
          <w:sz w:val="16"/>
          <w:szCs w:val="16"/>
          <w:b w:val="1"/>
          <w:bCs w:val="1"/>
          <w:color w:val="auto"/>
        </w:rPr>
        <w:t>Transaction</w:t>
      </w:r>
      <w:r>
        <w:rPr>
          <w:rFonts w:ascii="Arial" w:cs="Arial" w:eastAsia="Arial" w:hAnsi="Arial"/>
          <w:sz w:val="16"/>
          <w:szCs w:val="16"/>
          <w:color w:val="auto"/>
        </w:rPr>
        <w:t>”), in each case that would reasonably be expected to result (A) in any person (together with its Affiliates) becoming, as a result of such Transaction, a beneficial owner (as determined in accordance with Rule 13d-3 under the Securities Exchange Act of 1934, as amended) of twenty five percent (25%) or more of the Ordinary Shares issued and outstanding immediately following the consummation of such Transaction or (B) in the increase in the beneficial ownership of Ordinary Shares of any person (together with its Affiliates) who immediately prior to the consummation of such Transaction holds twenty five percent (25%) or more of the then issued and outstanding Ordinary Shares;</w:t>
      </w:r>
    </w:p>
    <w:p>
      <w:pPr>
        <w:spacing w:after="0" w:line="218" w:lineRule="exact"/>
        <w:rPr>
          <w:rFonts w:ascii="Arial" w:cs="Arial" w:eastAsia="Arial" w:hAnsi="Arial"/>
          <w:sz w:val="16"/>
          <w:szCs w:val="16"/>
          <w:color w:val="auto"/>
        </w:rPr>
      </w:pPr>
    </w:p>
    <w:p>
      <w:pPr>
        <w:ind w:left="1800" w:right="40" w:hanging="557"/>
        <w:spacing w:after="0" w:line="268" w:lineRule="auto"/>
        <w:tabs>
          <w:tab w:leader="none" w:pos="1800" w:val="left"/>
        </w:tabs>
        <w:numPr>
          <w:ilvl w:val="2"/>
          <w:numId w:val="162"/>
        </w:numPr>
        <w:rPr>
          <w:rFonts w:ascii="Arial" w:cs="Arial" w:eastAsia="Arial" w:hAnsi="Arial"/>
          <w:sz w:val="17"/>
          <w:szCs w:val="17"/>
          <w:color w:val="auto"/>
        </w:rPr>
      </w:pPr>
      <w:r>
        <w:rPr>
          <w:rFonts w:ascii="Arial" w:cs="Arial" w:eastAsia="Arial" w:hAnsi="Arial"/>
          <w:sz w:val="17"/>
          <w:szCs w:val="17"/>
          <w:color w:val="auto"/>
        </w:rPr>
        <w:t>Any resolution to directly or indirectly sell, assign, convey, transfer, lease or otherwise dispose, in one or series of related transactions, of all or substantially all of the assets of the Company and its subsidiaries, taken as a whole, to any person;</w:t>
      </w:r>
    </w:p>
    <w:p>
      <w:pPr>
        <w:spacing w:after="0" w:line="216" w:lineRule="exact"/>
        <w:rPr>
          <w:rFonts w:ascii="Arial" w:cs="Arial" w:eastAsia="Arial" w:hAnsi="Arial"/>
          <w:sz w:val="17"/>
          <w:szCs w:val="17"/>
          <w:color w:val="auto"/>
        </w:rPr>
      </w:pPr>
    </w:p>
    <w:p>
      <w:pPr>
        <w:ind w:left="1800" w:right="80" w:hanging="557"/>
        <w:spacing w:after="0" w:line="257" w:lineRule="auto"/>
        <w:tabs>
          <w:tab w:leader="none" w:pos="1800" w:val="left"/>
        </w:tabs>
        <w:numPr>
          <w:ilvl w:val="2"/>
          <w:numId w:val="162"/>
        </w:numPr>
        <w:rPr>
          <w:rFonts w:ascii="Arial" w:cs="Arial" w:eastAsia="Arial" w:hAnsi="Arial"/>
          <w:sz w:val="17"/>
          <w:szCs w:val="17"/>
          <w:color w:val="auto"/>
        </w:rPr>
      </w:pPr>
      <w:r>
        <w:rPr>
          <w:rFonts w:ascii="Arial" w:cs="Arial" w:eastAsia="Arial" w:hAnsi="Arial"/>
          <w:sz w:val="17"/>
          <w:szCs w:val="17"/>
          <w:color w:val="auto"/>
        </w:rPr>
        <w:t>Any resolution to effect any material change to the principal business of the Company, enter into new lines of business that are materially different from the Company’s then current line of business, or exit the then current line of business of the Company, or otherwise materially change the Company’s strategy and/or policies with respect to its main lines of business;</w:t>
      </w:r>
    </w:p>
    <w:p>
      <w:pPr>
        <w:spacing w:after="0" w:line="225" w:lineRule="exact"/>
        <w:rPr>
          <w:rFonts w:ascii="Arial" w:cs="Arial" w:eastAsia="Arial" w:hAnsi="Arial"/>
          <w:sz w:val="17"/>
          <w:szCs w:val="17"/>
          <w:color w:val="auto"/>
        </w:rPr>
      </w:pPr>
    </w:p>
    <w:p>
      <w:pPr>
        <w:ind w:left="1800" w:hanging="557"/>
        <w:spacing w:after="0"/>
        <w:tabs>
          <w:tab w:leader="none" w:pos="1800" w:val="left"/>
        </w:tabs>
        <w:numPr>
          <w:ilvl w:val="2"/>
          <w:numId w:val="162"/>
        </w:numPr>
        <w:rPr>
          <w:rFonts w:ascii="Arial" w:cs="Arial" w:eastAsia="Arial" w:hAnsi="Arial"/>
          <w:sz w:val="17"/>
          <w:szCs w:val="17"/>
          <w:color w:val="auto"/>
        </w:rPr>
      </w:pPr>
      <w:r>
        <w:rPr>
          <w:rFonts w:ascii="Arial" w:cs="Arial" w:eastAsia="Arial" w:hAnsi="Arial"/>
          <w:sz w:val="17"/>
          <w:szCs w:val="17"/>
          <w:color w:val="auto"/>
        </w:rPr>
        <w:t>Any resolution to transfer the headquarters of the Company outside of Israel; or</w:t>
      </w:r>
    </w:p>
    <w:p>
      <w:pPr>
        <w:spacing w:after="0" w:line="256" w:lineRule="exact"/>
        <w:rPr>
          <w:rFonts w:ascii="Arial" w:cs="Arial" w:eastAsia="Arial" w:hAnsi="Arial"/>
          <w:sz w:val="17"/>
          <w:szCs w:val="17"/>
          <w:color w:val="auto"/>
        </w:rPr>
      </w:pPr>
    </w:p>
    <w:p>
      <w:pPr>
        <w:ind w:left="1800" w:hanging="557"/>
        <w:spacing w:after="0" w:line="268" w:lineRule="auto"/>
        <w:tabs>
          <w:tab w:leader="none" w:pos="1800" w:val="left"/>
        </w:tabs>
        <w:numPr>
          <w:ilvl w:val="2"/>
          <w:numId w:val="162"/>
        </w:numPr>
        <w:rPr>
          <w:rFonts w:ascii="Arial" w:cs="Arial" w:eastAsia="Arial" w:hAnsi="Arial"/>
          <w:sz w:val="17"/>
          <w:szCs w:val="17"/>
          <w:color w:val="auto"/>
        </w:rPr>
      </w:pPr>
      <w:r>
        <w:rPr>
          <w:rFonts w:ascii="Arial" w:cs="Arial" w:eastAsia="Arial" w:hAnsi="Arial"/>
          <w:sz w:val="17"/>
          <w:szCs w:val="17"/>
          <w:color w:val="auto"/>
        </w:rPr>
        <w:t>Any resolution effectively not nominating for re-election by the Shareholders any of the following individuals: Dan Adika, Rafael Sweary or Haleli Barath.</w:t>
      </w:r>
    </w:p>
    <w:p>
      <w:pPr>
        <w:spacing w:after="0" w:line="219" w:lineRule="exact"/>
        <w:rPr>
          <w:rFonts w:ascii="Arial" w:cs="Arial" w:eastAsia="Arial" w:hAnsi="Arial"/>
          <w:sz w:val="17"/>
          <w:szCs w:val="17"/>
          <w:color w:val="auto"/>
        </w:rPr>
      </w:pPr>
    </w:p>
    <w:p>
      <w:pPr>
        <w:ind w:left="520" w:right="300" w:hanging="7"/>
        <w:spacing w:after="0" w:line="290" w:lineRule="auto"/>
        <w:tabs>
          <w:tab w:leader="none" w:pos="793" w:val="left"/>
        </w:tabs>
        <w:numPr>
          <w:ilvl w:val="1"/>
          <w:numId w:val="162"/>
        </w:numPr>
        <w:rPr>
          <w:rFonts w:ascii="Arial" w:cs="Arial" w:eastAsia="Arial" w:hAnsi="Arial"/>
          <w:sz w:val="20"/>
          <w:szCs w:val="20"/>
          <w:color w:val="auto"/>
        </w:rPr>
      </w:pPr>
      <w:r>
        <w:rPr>
          <w:rFonts w:ascii="Arial" w:cs="Arial" w:eastAsia="Arial" w:hAnsi="Arial"/>
          <w:sz w:val="20"/>
          <w:szCs w:val="20"/>
          <w:color w:val="auto"/>
        </w:rPr>
        <w:t>Notwithstanding anything to the contrary herein, this Article 36 may only be amended or replaced by a resolution adopted at a General Meeting by a majority of at least 65% of the total voting power of the Shares.</w:t>
      </w:r>
    </w:p>
    <w:p>
      <w:pPr>
        <w:spacing w:after="0" w:line="348" w:lineRule="exact"/>
        <w:rPr>
          <w:rFonts w:ascii="Arial" w:cs="Arial" w:eastAsia="Arial" w:hAnsi="Arial"/>
          <w:sz w:val="20"/>
          <w:szCs w:val="20"/>
          <w:color w:val="auto"/>
        </w:rPr>
      </w:pPr>
    </w:p>
    <w:p>
      <w:pPr>
        <w:ind w:left="5520" w:hanging="114"/>
        <w:spacing w:after="0"/>
        <w:tabs>
          <w:tab w:leader="none" w:pos="5520" w:val="left"/>
        </w:tabs>
        <w:numPr>
          <w:ilvl w:val="3"/>
          <w:numId w:val="162"/>
        </w:numPr>
        <w:rPr>
          <w:rFonts w:ascii="Arial" w:cs="Arial" w:eastAsia="Arial" w:hAnsi="Arial"/>
          <w:sz w:val="20"/>
          <w:szCs w:val="20"/>
          <w:color w:val="auto"/>
        </w:rPr>
      </w:pPr>
      <w:r>
        <w:rPr>
          <w:rFonts w:ascii="Arial" w:cs="Arial" w:eastAsia="Arial" w:hAnsi="Arial"/>
          <w:sz w:val="20"/>
          <w:szCs w:val="20"/>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41845" cy="158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88" w:name="page189"/>
    <w:bookmarkEnd w:id="188"/>
    <w:p>
      <w:pPr>
        <w:ind w:left="560" w:hanging="560"/>
        <w:spacing w:after="0"/>
        <w:tabs>
          <w:tab w:leader="none" w:pos="560" w:val="left"/>
        </w:tabs>
        <w:numPr>
          <w:ilvl w:val="0"/>
          <w:numId w:val="163"/>
        </w:numPr>
        <w:rPr>
          <w:rFonts w:ascii="Arial" w:cs="Arial" w:eastAsia="Arial" w:hAnsi="Arial"/>
          <w:sz w:val="17"/>
          <w:szCs w:val="17"/>
          <w:color w:val="auto"/>
        </w:rPr>
      </w:pPr>
      <w:r>
        <w:rPr>
          <w:rFonts w:ascii="Arial" w:cs="Arial" w:eastAsia="Arial" w:hAnsi="Arial"/>
          <w:sz w:val="17"/>
          <w:szCs w:val="17"/>
          <w:b w:val="1"/>
          <w:bCs w:val="1"/>
          <w:u w:val="single" w:color="auto"/>
          <w:color w:val="auto"/>
        </w:rPr>
        <w:t>DELEGATION OF POWERS</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ind w:left="520" w:hanging="7"/>
        <w:spacing w:after="0" w:line="279" w:lineRule="auto"/>
        <w:tabs>
          <w:tab w:leader="none" w:pos="793" w:val="left"/>
        </w:tabs>
        <w:numPr>
          <w:ilvl w:val="1"/>
          <w:numId w:val="163"/>
        </w:numPr>
        <w:rPr>
          <w:rFonts w:ascii="Arial" w:cs="Arial" w:eastAsia="Arial" w:hAnsi="Arial"/>
          <w:sz w:val="19"/>
          <w:szCs w:val="19"/>
          <w:color w:val="auto"/>
        </w:rPr>
      </w:pPr>
      <w:r>
        <w:rPr>
          <w:rFonts w:ascii="Arial" w:cs="Arial" w:eastAsia="Arial" w:hAnsi="Arial"/>
          <w:sz w:val="19"/>
          <w:szCs w:val="19"/>
          <w:color w:val="auto"/>
        </w:rPr>
        <w:t>The Board of Directors may, subject to the provisions of the Companies Law, delegate any or all of its powers to committees (in these Articles referred to as a “</w:t>
      </w:r>
      <w:r>
        <w:rPr>
          <w:rFonts w:ascii="Arial" w:cs="Arial" w:eastAsia="Arial" w:hAnsi="Arial"/>
          <w:sz w:val="19"/>
          <w:szCs w:val="19"/>
          <w:b w:val="1"/>
          <w:bCs w:val="1"/>
          <w:color w:val="auto"/>
        </w:rPr>
        <w:t>Committee of the Board of Directors</w:t>
      </w:r>
      <w:r>
        <w:rPr>
          <w:rFonts w:ascii="Arial" w:cs="Arial" w:eastAsia="Arial" w:hAnsi="Arial"/>
          <w:sz w:val="19"/>
          <w:szCs w:val="19"/>
          <w:color w:val="auto"/>
        </w:rPr>
        <w:t>”, or “</w:t>
      </w:r>
      <w:r>
        <w:rPr>
          <w:rFonts w:ascii="Arial" w:cs="Arial" w:eastAsia="Arial" w:hAnsi="Arial"/>
          <w:sz w:val="19"/>
          <w:szCs w:val="19"/>
          <w:b w:val="1"/>
          <w:bCs w:val="1"/>
          <w:color w:val="auto"/>
        </w:rPr>
        <w:t>Committee</w:t>
      </w:r>
      <w:r>
        <w:rPr>
          <w:rFonts w:ascii="Arial" w:cs="Arial" w:eastAsia="Arial" w:hAnsi="Arial"/>
          <w:sz w:val="19"/>
          <w:szCs w:val="19"/>
          <w:color w:val="auto"/>
        </w:rPr>
        <w:t>”), each consisting of one or more persons (who may or may not be Directors), and it may from time to time revoke such delegation or alter the composition of any such Committee. Any Committee so formed shall, in the exercise of the powers so delegated, conform to any regulations imposed on it by the Board of Directors, subject to applicable law. No regulation imposed by the Board of Directors on any Committee and no resolution of the Board of Directors shall invalidate any prior act done or pursuant to a resolution by the Committee which would have been valid if such regulation or resolution of the Board of Directors had not been adopted. The meetings and proceedings of any such Committee of the Board of Directors shall, mutatis mutandis, be governed by the provisions herein contained for regulating the meetings of the Board of Directors, to the extent not superseded by any regulations adopted by the Board of Directors. Unless otherwise expressly prohibited by the Board of Directors, in delegating powers to a Committee of the Board of Directors, such Committee shall be empowered to further delegate such powers.</w:t>
      </w:r>
    </w:p>
    <w:p>
      <w:pPr>
        <w:spacing w:after="0" w:line="218" w:lineRule="exact"/>
        <w:rPr>
          <w:rFonts w:ascii="Arial" w:cs="Arial" w:eastAsia="Arial" w:hAnsi="Arial"/>
          <w:sz w:val="19"/>
          <w:szCs w:val="19"/>
          <w:color w:val="auto"/>
        </w:rPr>
      </w:pPr>
    </w:p>
    <w:p>
      <w:pPr>
        <w:ind w:left="520" w:right="300" w:hanging="7"/>
        <w:spacing w:after="0" w:line="271" w:lineRule="auto"/>
        <w:tabs>
          <w:tab w:leader="none" w:pos="804" w:val="left"/>
        </w:tabs>
        <w:numPr>
          <w:ilvl w:val="1"/>
          <w:numId w:val="163"/>
        </w:numPr>
        <w:rPr>
          <w:rFonts w:ascii="Arial" w:cs="Arial" w:eastAsia="Arial" w:hAnsi="Arial"/>
          <w:sz w:val="20"/>
          <w:szCs w:val="20"/>
          <w:color w:val="auto"/>
        </w:rPr>
      </w:pPr>
      <w:r>
        <w:rPr>
          <w:rFonts w:ascii="Arial" w:cs="Arial" w:eastAsia="Arial" w:hAnsi="Arial"/>
          <w:sz w:val="20"/>
          <w:szCs w:val="20"/>
          <w:color w:val="auto"/>
        </w:rPr>
        <w:t>The Board of Directors may from time to time appoint a Secretary to the Company, as well as Officers, agents, employees and independent contractors, as the Board of Directors deems fit, and may terminate the service of any such person. The Board of Directors may, subject to the provisions of the Companies Law, determine the powers and duties, as well as the salaries and compensation, of all such persons.</w:t>
      </w:r>
    </w:p>
    <w:p>
      <w:pPr>
        <w:spacing w:after="0" w:line="216" w:lineRule="exact"/>
        <w:rPr>
          <w:rFonts w:ascii="Arial" w:cs="Arial" w:eastAsia="Arial" w:hAnsi="Arial"/>
          <w:sz w:val="20"/>
          <w:szCs w:val="20"/>
          <w:color w:val="auto"/>
        </w:rPr>
      </w:pPr>
    </w:p>
    <w:p>
      <w:pPr>
        <w:ind w:left="520" w:right="120" w:hanging="7"/>
        <w:spacing w:after="0" w:line="267" w:lineRule="auto"/>
        <w:tabs>
          <w:tab w:leader="none" w:pos="793" w:val="left"/>
        </w:tabs>
        <w:numPr>
          <w:ilvl w:val="1"/>
          <w:numId w:val="163"/>
        </w:numPr>
        <w:rPr>
          <w:rFonts w:ascii="Arial" w:cs="Arial" w:eastAsia="Arial" w:hAnsi="Arial"/>
          <w:sz w:val="20"/>
          <w:szCs w:val="20"/>
          <w:color w:val="auto"/>
        </w:rPr>
      </w:pPr>
      <w:r>
        <w:rPr>
          <w:rFonts w:ascii="Arial" w:cs="Arial" w:eastAsia="Arial" w:hAnsi="Arial"/>
          <w:sz w:val="20"/>
          <w:szCs w:val="20"/>
          <w:color w:val="auto"/>
        </w:rPr>
        <w:t>The Board of Directors may from time to time, by power of attorney or otherwise, appoint any person, company, firm or body of persons to be the attorney or attorneys of the Company at law or in fact for such purposes(s) and with such powers, authorities and discretions, and for such period and subject to such conditions, as it deems fit, and any such power of attorney or other appointment may contain such provisions for the protection and convenience of persons dealing with any such attorney as the Board of Directors deems fit, and may also authorize any such attorney to delegate all or any of the powers, authorities and discretions vested in him or her.</w:t>
      </w:r>
    </w:p>
    <w:p>
      <w:pPr>
        <w:spacing w:after="0" w:line="214" w:lineRule="exact"/>
        <w:rPr>
          <w:rFonts w:ascii="Arial" w:cs="Arial" w:eastAsia="Arial" w:hAnsi="Arial"/>
          <w:sz w:val="20"/>
          <w:szCs w:val="20"/>
          <w:color w:val="auto"/>
        </w:rPr>
      </w:pPr>
    </w:p>
    <w:p>
      <w:pPr>
        <w:ind w:left="560" w:hanging="560"/>
        <w:spacing w:after="0"/>
        <w:tabs>
          <w:tab w:leader="none" w:pos="560" w:val="left"/>
        </w:tabs>
        <w:numPr>
          <w:ilvl w:val="0"/>
          <w:numId w:val="163"/>
        </w:numPr>
        <w:rPr>
          <w:rFonts w:ascii="Arial" w:cs="Arial" w:eastAsia="Arial" w:hAnsi="Arial"/>
          <w:sz w:val="17"/>
          <w:szCs w:val="17"/>
          <w:color w:val="auto"/>
        </w:rPr>
      </w:pPr>
      <w:r>
        <w:rPr>
          <w:rFonts w:ascii="Arial" w:cs="Arial" w:eastAsia="Arial" w:hAnsi="Arial"/>
          <w:sz w:val="17"/>
          <w:szCs w:val="17"/>
          <w:b w:val="1"/>
          <w:bCs w:val="1"/>
          <w:u w:val="single" w:color="auto"/>
          <w:color w:val="auto"/>
        </w:rPr>
        <w:t>NUMBER OF DIRECTORS</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ind w:left="520" w:right="360" w:hanging="7"/>
        <w:spacing w:after="0" w:line="271" w:lineRule="auto"/>
        <w:tabs>
          <w:tab w:leader="none" w:pos="793" w:val="left"/>
        </w:tabs>
        <w:numPr>
          <w:ilvl w:val="1"/>
          <w:numId w:val="163"/>
        </w:numPr>
        <w:rPr>
          <w:rFonts w:ascii="Arial" w:cs="Arial" w:eastAsia="Arial" w:hAnsi="Arial"/>
          <w:sz w:val="20"/>
          <w:szCs w:val="20"/>
          <w:color w:val="auto"/>
        </w:rPr>
      </w:pPr>
      <w:r>
        <w:rPr>
          <w:rFonts w:ascii="Arial" w:cs="Arial" w:eastAsia="Arial" w:hAnsi="Arial"/>
          <w:sz w:val="20"/>
          <w:szCs w:val="20"/>
          <w:color w:val="auto"/>
        </w:rPr>
        <w:t>The Board of Directors shall consist of such number of Directors (not less than three (3) nor more than ten (10), including the External Directors, if any were elected) as may be fixed from time to time by resolution of the Board of Directors, provided, however, that in the event at any time the Board of Directors is comprised of nine (9) or less members, the maximum number of members permitted under the New Articles shall not exceed nine (9).</w:t>
      </w:r>
    </w:p>
    <w:p>
      <w:pPr>
        <w:spacing w:after="0" w:line="216" w:lineRule="exact"/>
        <w:rPr>
          <w:rFonts w:ascii="Arial" w:cs="Arial" w:eastAsia="Arial" w:hAnsi="Arial"/>
          <w:sz w:val="20"/>
          <w:szCs w:val="20"/>
          <w:color w:val="auto"/>
        </w:rPr>
      </w:pPr>
    </w:p>
    <w:p>
      <w:pPr>
        <w:ind w:left="520" w:right="300" w:hanging="7"/>
        <w:spacing w:after="0" w:line="290" w:lineRule="auto"/>
        <w:tabs>
          <w:tab w:leader="none" w:pos="804" w:val="left"/>
        </w:tabs>
        <w:numPr>
          <w:ilvl w:val="1"/>
          <w:numId w:val="163"/>
        </w:numPr>
        <w:rPr>
          <w:rFonts w:ascii="Arial" w:cs="Arial" w:eastAsia="Arial" w:hAnsi="Arial"/>
          <w:sz w:val="20"/>
          <w:szCs w:val="20"/>
          <w:color w:val="auto"/>
        </w:rPr>
      </w:pPr>
      <w:r>
        <w:rPr>
          <w:rFonts w:ascii="Arial" w:cs="Arial" w:eastAsia="Arial" w:hAnsi="Arial"/>
          <w:sz w:val="20"/>
          <w:szCs w:val="20"/>
          <w:color w:val="auto"/>
        </w:rPr>
        <w:t>Notwithstanding anything to the contrary herein, this Article 38 may only be amended or replaced by a resolution adopted at a General Meeting by a majority of at least 65% of the total voting power of the Shares.</w:t>
      </w:r>
    </w:p>
    <w:p>
      <w:pPr>
        <w:spacing w:after="0" w:line="189" w:lineRule="exact"/>
        <w:rPr>
          <w:rFonts w:ascii="Arial" w:cs="Arial" w:eastAsia="Arial" w:hAnsi="Arial"/>
          <w:sz w:val="20"/>
          <w:szCs w:val="20"/>
          <w:color w:val="auto"/>
        </w:rPr>
      </w:pPr>
    </w:p>
    <w:p>
      <w:pPr>
        <w:ind w:left="560" w:hanging="560"/>
        <w:spacing w:after="0"/>
        <w:tabs>
          <w:tab w:leader="none" w:pos="560" w:val="left"/>
        </w:tabs>
        <w:numPr>
          <w:ilvl w:val="0"/>
          <w:numId w:val="163"/>
        </w:numPr>
        <w:rPr>
          <w:rFonts w:ascii="Arial" w:cs="Arial" w:eastAsia="Arial" w:hAnsi="Arial"/>
          <w:sz w:val="17"/>
          <w:szCs w:val="17"/>
          <w:color w:val="auto"/>
        </w:rPr>
      </w:pPr>
      <w:r>
        <w:rPr>
          <w:rFonts w:ascii="Arial" w:cs="Arial" w:eastAsia="Arial" w:hAnsi="Arial"/>
          <w:sz w:val="17"/>
          <w:szCs w:val="17"/>
          <w:b w:val="1"/>
          <w:bCs w:val="1"/>
          <w:u w:val="single" w:color="auto"/>
          <w:color w:val="auto"/>
        </w:rPr>
        <w:t>ELECTION AND REMOVAL OF DIRECTORS</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ind w:left="520" w:right="60" w:hanging="7"/>
        <w:spacing w:after="0" w:line="271" w:lineRule="auto"/>
        <w:tabs>
          <w:tab w:leader="none" w:pos="793" w:val="left"/>
        </w:tabs>
        <w:numPr>
          <w:ilvl w:val="1"/>
          <w:numId w:val="163"/>
        </w:numPr>
        <w:rPr>
          <w:rFonts w:ascii="Arial" w:cs="Arial" w:eastAsia="Arial" w:hAnsi="Arial"/>
          <w:sz w:val="20"/>
          <w:szCs w:val="20"/>
          <w:color w:val="auto"/>
        </w:rPr>
      </w:pPr>
      <w:r>
        <w:rPr>
          <w:rFonts w:ascii="Arial" w:cs="Arial" w:eastAsia="Arial" w:hAnsi="Arial"/>
          <w:sz w:val="20"/>
          <w:szCs w:val="20"/>
          <w:color w:val="auto"/>
        </w:rPr>
        <w:t>The Directors (excluding the External Directors if any were elected), shall be classified, with respect to the term for which they each severally hold office, into three classes, as nearly equal in number as practicable, hereby designated as Class I, Class II and Class III (each, a “</w:t>
      </w:r>
      <w:r>
        <w:rPr>
          <w:rFonts w:ascii="Arial" w:cs="Arial" w:eastAsia="Arial" w:hAnsi="Arial"/>
          <w:sz w:val="20"/>
          <w:szCs w:val="20"/>
          <w:b w:val="1"/>
          <w:bCs w:val="1"/>
          <w:color w:val="auto"/>
        </w:rPr>
        <w:t>Class</w:t>
      </w:r>
      <w:r>
        <w:rPr>
          <w:rFonts w:ascii="Arial" w:cs="Arial" w:eastAsia="Arial" w:hAnsi="Arial"/>
          <w:sz w:val="20"/>
          <w:szCs w:val="20"/>
          <w:color w:val="auto"/>
        </w:rPr>
        <w:t>”). The Board of Directors may assign members of the Board of Directors already in office to such classes at the time such classification becomes effective.</w:t>
      </w:r>
    </w:p>
    <w:p>
      <w:pPr>
        <w:spacing w:after="0" w:line="216" w:lineRule="exact"/>
        <w:rPr>
          <w:rFonts w:ascii="Arial" w:cs="Arial" w:eastAsia="Arial" w:hAnsi="Arial"/>
          <w:sz w:val="20"/>
          <w:szCs w:val="20"/>
          <w:color w:val="auto"/>
        </w:rPr>
      </w:pPr>
    </w:p>
    <w:p>
      <w:pPr>
        <w:ind w:left="1020" w:right="280" w:firstLine="5"/>
        <w:spacing w:after="0" w:line="290" w:lineRule="auto"/>
        <w:tabs>
          <w:tab w:leader="none" w:pos="1259" w:val="left"/>
        </w:tabs>
        <w:numPr>
          <w:ilvl w:val="2"/>
          <w:numId w:val="163"/>
        </w:numPr>
        <w:rPr>
          <w:rFonts w:ascii="Arial" w:cs="Arial" w:eastAsia="Arial" w:hAnsi="Arial"/>
          <w:sz w:val="20"/>
          <w:szCs w:val="20"/>
          <w:color w:val="auto"/>
        </w:rPr>
      </w:pPr>
      <w:r>
        <w:rPr>
          <w:rFonts w:ascii="Arial" w:cs="Arial" w:eastAsia="Arial" w:hAnsi="Arial"/>
          <w:sz w:val="20"/>
          <w:szCs w:val="20"/>
          <w:color w:val="auto"/>
        </w:rPr>
        <w:t>The term of office of the initial Class I directors shall expire at the Annual General Meeting to be held in 2022 and when their successors are elected and qualified,</w:t>
      </w:r>
    </w:p>
    <w:p>
      <w:pPr>
        <w:spacing w:after="0" w:line="197" w:lineRule="exact"/>
        <w:rPr>
          <w:rFonts w:ascii="Arial" w:cs="Arial" w:eastAsia="Arial" w:hAnsi="Arial"/>
          <w:sz w:val="20"/>
          <w:szCs w:val="20"/>
          <w:color w:val="auto"/>
        </w:rPr>
      </w:pPr>
    </w:p>
    <w:p>
      <w:pPr>
        <w:ind w:left="1020" w:right="340" w:firstLine="5"/>
        <w:spacing w:after="0" w:line="318" w:lineRule="auto"/>
        <w:tabs>
          <w:tab w:leader="none" w:pos="1315" w:val="left"/>
        </w:tabs>
        <w:numPr>
          <w:ilvl w:val="2"/>
          <w:numId w:val="163"/>
        </w:numPr>
        <w:rPr>
          <w:rFonts w:ascii="Arial" w:cs="Arial" w:eastAsia="Arial" w:hAnsi="Arial"/>
          <w:sz w:val="19"/>
          <w:szCs w:val="19"/>
          <w:color w:val="auto"/>
        </w:rPr>
      </w:pPr>
      <w:r>
        <w:rPr>
          <w:rFonts w:ascii="Arial" w:cs="Arial" w:eastAsia="Arial" w:hAnsi="Arial"/>
          <w:sz w:val="19"/>
          <w:szCs w:val="19"/>
          <w:color w:val="auto"/>
        </w:rPr>
        <w:t>The term of office of the initial Class II directors shall expire at the first Annual General Meeting following the Annual General Meeting referred to in clause (i) above and when their successors are elected and qualified, and</w:t>
      </w:r>
    </w:p>
    <w:p>
      <w:pPr>
        <w:spacing w:after="0" w:line="174" w:lineRule="exact"/>
        <w:rPr>
          <w:rFonts w:ascii="Arial" w:cs="Arial" w:eastAsia="Arial" w:hAnsi="Arial"/>
          <w:sz w:val="19"/>
          <w:szCs w:val="19"/>
          <w:color w:val="auto"/>
        </w:rPr>
      </w:pPr>
    </w:p>
    <w:p>
      <w:pPr>
        <w:ind w:left="1020" w:right="220" w:firstLine="5"/>
        <w:spacing w:after="0" w:line="290" w:lineRule="auto"/>
        <w:tabs>
          <w:tab w:leader="none" w:pos="1371" w:val="left"/>
        </w:tabs>
        <w:numPr>
          <w:ilvl w:val="2"/>
          <w:numId w:val="163"/>
        </w:numPr>
        <w:rPr>
          <w:rFonts w:ascii="Arial" w:cs="Arial" w:eastAsia="Arial" w:hAnsi="Arial"/>
          <w:sz w:val="20"/>
          <w:szCs w:val="20"/>
          <w:color w:val="auto"/>
        </w:rPr>
      </w:pPr>
      <w:r>
        <w:rPr>
          <w:rFonts w:ascii="Arial" w:cs="Arial" w:eastAsia="Arial" w:hAnsi="Arial"/>
          <w:sz w:val="20"/>
          <w:szCs w:val="20"/>
          <w:color w:val="auto"/>
        </w:rPr>
        <w:t>The term of office of the initial Class III directors shall expire at the first Annual General Meeting following the Annual General Meeting referred to in clause (ii) above and when their successors are elected and qualified.</w:t>
      </w:r>
    </w:p>
    <w:p>
      <w:pPr>
        <w:spacing w:after="0" w:line="348" w:lineRule="exact"/>
        <w:rPr>
          <w:rFonts w:ascii="Arial" w:cs="Arial" w:eastAsia="Arial" w:hAnsi="Arial"/>
          <w:sz w:val="20"/>
          <w:szCs w:val="20"/>
          <w:color w:val="auto"/>
        </w:rPr>
      </w:pPr>
    </w:p>
    <w:p>
      <w:pPr>
        <w:ind w:left="5520" w:hanging="114"/>
        <w:spacing w:after="0"/>
        <w:tabs>
          <w:tab w:leader="none" w:pos="5520" w:val="left"/>
        </w:tabs>
        <w:numPr>
          <w:ilvl w:val="3"/>
          <w:numId w:val="163"/>
        </w:numPr>
        <w:rPr>
          <w:rFonts w:ascii="Arial" w:cs="Arial" w:eastAsia="Arial" w:hAnsi="Arial"/>
          <w:sz w:val="20"/>
          <w:szCs w:val="20"/>
          <w:color w:val="auto"/>
        </w:rPr>
      </w:pPr>
      <w:r>
        <w:rPr>
          <w:rFonts w:ascii="Arial" w:cs="Arial" w:eastAsia="Arial" w:hAnsi="Arial"/>
          <w:sz w:val="20"/>
          <w:szCs w:val="20"/>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41845" cy="158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89" w:name="page190"/>
    <w:bookmarkEnd w:id="189"/>
    <w:p>
      <w:pPr>
        <w:spacing w:after="0" w:line="108" w:lineRule="exact"/>
        <w:rPr>
          <w:sz w:val="20"/>
          <w:szCs w:val="20"/>
          <w:color w:val="auto"/>
        </w:rPr>
      </w:pPr>
    </w:p>
    <w:p>
      <w:pPr>
        <w:ind w:left="68" w:right="20" w:hanging="7"/>
        <w:spacing w:after="0" w:line="267" w:lineRule="auto"/>
        <w:tabs>
          <w:tab w:leader="none" w:pos="352" w:val="left"/>
        </w:tabs>
        <w:numPr>
          <w:ilvl w:val="1"/>
          <w:numId w:val="164"/>
        </w:numPr>
        <w:rPr>
          <w:rFonts w:ascii="Arial" w:cs="Arial" w:eastAsia="Arial" w:hAnsi="Arial"/>
          <w:sz w:val="20"/>
          <w:szCs w:val="20"/>
          <w:color w:val="auto"/>
        </w:rPr>
      </w:pPr>
      <w:r>
        <w:rPr>
          <w:rFonts w:ascii="Arial" w:cs="Arial" w:eastAsia="Arial" w:hAnsi="Arial"/>
          <w:sz w:val="20"/>
          <w:szCs w:val="20"/>
          <w:color w:val="auto"/>
        </w:rPr>
        <w:t>At each Annual General Meeting, commencing with the Annual General Meeting to be held in 2022, each Nominee or Alternate Nominee (each as defined below) elected at such Annual General Meeting to serve as a Director in a Class whose term shall have expired at such Annual General Meeting shall be elected to hold office until the third Annual General Meeting next succeeding his or her election and until his or her respective successor shall have been elected and qualified. Notwithstanding anything to the contrary, each Director shall serve until his or her successor is elected and qualified or until such earlier time as such Director’s office is vacated.</w:t>
      </w:r>
    </w:p>
    <w:p>
      <w:pPr>
        <w:spacing w:after="0" w:line="222" w:lineRule="exact"/>
        <w:rPr>
          <w:rFonts w:ascii="Arial" w:cs="Arial" w:eastAsia="Arial" w:hAnsi="Arial"/>
          <w:sz w:val="20"/>
          <w:szCs w:val="20"/>
          <w:color w:val="auto"/>
        </w:rPr>
      </w:pPr>
    </w:p>
    <w:p>
      <w:pPr>
        <w:ind w:left="68" w:right="60" w:hanging="7"/>
        <w:spacing w:after="0" w:line="310" w:lineRule="auto"/>
        <w:tabs>
          <w:tab w:leader="none" w:pos="341"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If the number of Directors (excluding External Directors, if any were elected) that comprises the Board of Directors is hereafter changed by the Board of Directors, any newly created directorships or decrease in directorships shall be so apportioned by the Board of Directors among the classes as to make all classes as nearly equal in number as is practicable, provided that no decrease in the number of Directors constituting the Board of Directors shall shorten the term of any incumbent Director.</w:t>
      </w:r>
    </w:p>
    <w:p>
      <w:pPr>
        <w:spacing w:after="0" w:line="185" w:lineRule="exact"/>
        <w:rPr>
          <w:rFonts w:ascii="Arial" w:cs="Arial" w:eastAsia="Arial" w:hAnsi="Arial"/>
          <w:sz w:val="18"/>
          <w:szCs w:val="18"/>
          <w:color w:val="auto"/>
        </w:rPr>
      </w:pPr>
    </w:p>
    <w:p>
      <w:pPr>
        <w:ind w:left="348" w:hanging="287"/>
        <w:spacing w:after="0"/>
        <w:tabs>
          <w:tab w:leader="none" w:pos="348" w:val="left"/>
        </w:tabs>
        <w:numPr>
          <w:ilvl w:val="1"/>
          <w:numId w:val="164"/>
        </w:numPr>
        <w:rPr>
          <w:rFonts w:ascii="Arial" w:cs="Arial" w:eastAsia="Arial" w:hAnsi="Arial"/>
          <w:sz w:val="18"/>
          <w:szCs w:val="18"/>
          <w:color w:val="auto"/>
        </w:rPr>
      </w:pPr>
      <w:r>
        <w:rPr>
          <w:rFonts w:ascii="Arial" w:cs="Arial" w:eastAsia="Arial" w:hAnsi="Arial"/>
          <w:sz w:val="18"/>
          <w:szCs w:val="18"/>
          <w:color w:val="auto"/>
        </w:rPr>
        <w:t>Prior to every General Meeting of the Company at which Directors are to be elected, and subject to clauses (a) and (h) of this</w:t>
      </w:r>
    </w:p>
    <w:p>
      <w:pPr>
        <w:spacing w:after="0" w:line="49" w:lineRule="exact"/>
        <w:rPr>
          <w:rFonts w:ascii="Arial" w:cs="Arial" w:eastAsia="Arial" w:hAnsi="Arial"/>
          <w:sz w:val="18"/>
          <w:szCs w:val="18"/>
          <w:color w:val="auto"/>
        </w:rPr>
      </w:pPr>
    </w:p>
    <w:p>
      <w:pPr>
        <w:jc w:val="both"/>
        <w:ind w:left="68" w:right="100"/>
        <w:spacing w:after="0" w:line="272" w:lineRule="auto"/>
        <w:rPr>
          <w:rFonts w:ascii="Arial" w:cs="Arial" w:eastAsia="Arial" w:hAnsi="Arial"/>
          <w:sz w:val="18"/>
          <w:szCs w:val="18"/>
          <w:color w:val="auto"/>
        </w:rPr>
      </w:pPr>
      <w:r>
        <w:rPr>
          <w:rFonts w:ascii="Arial" w:cs="Arial" w:eastAsia="Arial" w:hAnsi="Arial"/>
          <w:sz w:val="20"/>
          <w:szCs w:val="20"/>
          <w:color w:val="auto"/>
        </w:rPr>
        <w:t>Article, the Board of Directors (or a Committee thereof) shall select, by a resolution adopted by a majority of the Board of Directors (or such Committee), a number of persons to be proposed to the Shareholders for election as Directors at such General Meeting (the “</w:t>
      </w:r>
      <w:r>
        <w:rPr>
          <w:rFonts w:ascii="Arial" w:cs="Arial" w:eastAsia="Arial" w:hAnsi="Arial"/>
          <w:sz w:val="20"/>
          <w:szCs w:val="20"/>
          <w:b w:val="1"/>
          <w:bCs w:val="1"/>
          <w:color w:val="auto"/>
        </w:rPr>
        <w:t>Nominees</w:t>
      </w:r>
      <w:r>
        <w:rPr>
          <w:rFonts w:ascii="Arial" w:cs="Arial" w:eastAsia="Arial" w:hAnsi="Arial"/>
          <w:sz w:val="20"/>
          <w:szCs w:val="20"/>
          <w:color w:val="auto"/>
        </w:rPr>
        <w:t>”).</w:t>
      </w:r>
    </w:p>
    <w:p>
      <w:pPr>
        <w:spacing w:after="0" w:line="216" w:lineRule="exact"/>
        <w:rPr>
          <w:rFonts w:ascii="Arial" w:cs="Arial" w:eastAsia="Arial" w:hAnsi="Arial"/>
          <w:sz w:val="18"/>
          <w:szCs w:val="18"/>
          <w:color w:val="auto"/>
        </w:rPr>
      </w:pPr>
    </w:p>
    <w:p>
      <w:pPr>
        <w:ind w:left="8" w:right="20" w:hanging="8"/>
        <w:spacing w:after="0" w:line="293" w:lineRule="auto"/>
        <w:tabs>
          <w:tab w:leader="none" w:pos="28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Proposing Shareholder requesting to include on the agenda of a General Meeting a nomination of a person to be proposed to the Shareholders for election as Director (such person, an “</w:t>
      </w:r>
      <w:r>
        <w:rPr>
          <w:rFonts w:ascii="Arial" w:cs="Arial" w:eastAsia="Arial" w:hAnsi="Arial"/>
          <w:sz w:val="18"/>
          <w:szCs w:val="18"/>
          <w:b w:val="1"/>
          <w:bCs w:val="1"/>
          <w:color w:val="auto"/>
        </w:rPr>
        <w:t>Alternate Nominee</w:t>
      </w:r>
      <w:r>
        <w:rPr>
          <w:rFonts w:ascii="Arial" w:cs="Arial" w:eastAsia="Arial" w:hAnsi="Arial"/>
          <w:sz w:val="18"/>
          <w:szCs w:val="18"/>
          <w:color w:val="auto"/>
        </w:rPr>
        <w:t>”), may so request provided that it complies with this Article 39(e), Article 25 and applicable law. Unless otherwise determined by the Board of Directors, a Proposal Request relating to an Alternate Nominee is deemed to be a matter that is appropriate to be considered only at an Annual General Meeting. In addition to any information required to be included in accordance with applicable law, such a Proposal Request shall include information required pursuant to Article 25, and shall also set forth: (i) the name, address, telephone number, fax number and email address of the Alternate Nominee and all citizenships and residencies of the Alternate Nominee; (ii) a description of all arrangements, relations or understandings during the past three (3) years, and any other material relationships, between the Proposing Shareholder(s) or any of its Affiliates and each Alternate Nominee; (iii) a declaration signed by the Alternate Nominee that he or she consents to be named in the Company’s notices and proxy materials and on the Company’s proxy card relating to the General Meeting, if provided or published, and that he or she, if elected, consents to serve on the Board of Directors and to be named in the Company’s disclosures and filings; (iv) a declaration signed by each Alternate Nominee as required under the Companies Law and any other applicable law and stock exchange rules and regulations for the appointment of such an Alternate Nominee and an undertaking that all of the information that is required under law and stock exchange rules and regulations to be provided to the Company in connection with such an appointment has been provided (including, information in respect of the Alternate Nominee as would be provided in response to the applicable disclosure requirements under Form 20-F (or Form 10-K, if applicable) or any other applicable form prescribed by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(v) a declaration made by the Alternate Nominee of whether he or she meets the criteria for an independent director and, if applicable, External Director of the Company under the Companies Law and/or under any applicable law, regulation or stock exchange rules, and if not, then an explanation of why not; and (vi) any other information required at the time of submission of the Proposal Request by applicable law, regulations or stock exchange rules. In addition, the Proposing Shareholder(s) and each Alternate Nominee shall promptly provide any other information reasonably requested by the Company, including a duly completed director and officer questionnaire, in such form as may be provided by the Company, with respect to each Alternate Nominee. The Board of Directors may refuse to acknowledge the nomination of any person not made in compliance with the foregoing. The Company shall be entitled to publish any information provided by a Proposing Shareholder or Alternate Nominee pursuant to this Article 39(e) and Article 25, and the Proposing Shareholder and Alternate Nominee shall be responsible for the accuracy and completeness thereof.</w:t>
      </w:r>
    </w:p>
    <w:p>
      <w:pPr>
        <w:spacing w:after="0" w:line="208" w:lineRule="exact"/>
        <w:rPr>
          <w:rFonts w:ascii="Arial" w:cs="Arial" w:eastAsia="Arial" w:hAnsi="Arial"/>
          <w:sz w:val="18"/>
          <w:szCs w:val="18"/>
          <w:color w:val="auto"/>
        </w:rPr>
      </w:pPr>
    </w:p>
    <w:p>
      <w:pPr>
        <w:ind w:left="68" w:right="60" w:hanging="7"/>
        <w:spacing w:after="0" w:line="292" w:lineRule="auto"/>
        <w:tabs>
          <w:tab w:leader="none" w:pos="318"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Nominees or Alternate Nominees shall be elected by a resolution adopted at the General Meeting at which they are subject to election. Notwithstanding Articles 25(a) and 25(c), in the event of a Contested Election, the method of calculation of the votes and the manner in which the resolutions will be presented to the General Meeting shall be determined by the Board of Directors in its discretion. In the event that the Board of Directors does not or is unable to make a determination on such matter, then the method described in clause (ii) below shall apply. The Board of Directors may consider, among other things, the following methods:</w:t>
      </w:r>
    </w:p>
    <w:p>
      <w:pPr>
        <w:spacing w:after="0" w:line="2" w:lineRule="exact"/>
        <w:rPr>
          <w:rFonts w:ascii="Arial" w:cs="Arial" w:eastAsia="Arial" w:hAnsi="Arial"/>
          <w:sz w:val="18"/>
          <w:szCs w:val="18"/>
          <w:color w:val="auto"/>
        </w:rPr>
      </w:pPr>
    </w:p>
    <w:p>
      <w:pPr>
        <w:ind w:left="68" w:hanging="7"/>
        <w:spacing w:after="0" w:line="294" w:lineRule="auto"/>
        <w:tabs>
          <w:tab w:leader="none" w:pos="30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 xml:space="preserve">election of competing slates of Director nominees (determined in a manner approved by the Board of Directors) by a majority of the voting power represented at the General Meeting in person or by proxy and voting on such competing slates, (ii) election of individual Directors by a plurality of the voting power represented at the General Meeting in person or by proxy and voting on the election of Directors (which shall mean that the nominees receiving the largest number of “for” votes will be elected in such Contested Election), (iii) election of each nominee by a majority of the voting power represented at the General Meeting in person or by proxy and voting on the election of Directors, provided that if the number of such nominees exceeds the number of Directors to be elected, then as among such nominees the election shall be by plurality of the voting power as described above, and (iv) such other method of voting as the Board of Directors deems appropriate, including use of a “universal proxy card” listing all Nominees and Alternate Nominees by the Company. For the purposes of these Articles, election of Directors at a General Meeting shall be considered a “Contested Election” if the aggregate number of Nominees and Alternate Nominees at such meeting exceeds the total number of Directors to be elected at such meeting, with the determination thereof being made by the Secretary (or, in the absence thereof, by the Chief Executive Officer of the Company) as of the close of the applicable notice of nomination period under Article 25 or under applicable law, based on whether one or more notice(s) of nomination were timely filed in accordance with Article 25, this Article 39 and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determination that an election is a Contested Election shall not be determinative as to the validity of any such notice of nomination; and provided, further, that, if, prior to the time the Company mails its initial proxy statement in connection with such election of Directors, one or more notices of nomination of an Alternate Nominee</w:t>
      </w:r>
    </w:p>
    <w:p>
      <w:pPr>
        <w:sectPr>
          <w:pgSz w:w="11900" w:h="16947" w:orient="portrait"/>
          <w:cols w:equalWidth="0" w:num="1">
            <w:col w:w="10788"/>
          </w:cols>
          <w:pgMar w:left="772" w:top="382" w:right="339" w:bottom="0" w:gutter="0" w:footer="0" w:header="0"/>
        </w:sectPr>
      </w:pPr>
    </w:p>
    <w:bookmarkStart w:id="190" w:name="page191"/>
    <w:bookmarkEnd w:id="190"/>
    <w:p>
      <w:pPr>
        <w:jc w:val="both"/>
        <w:ind w:left="7" w:right="180"/>
        <w:spacing w:after="0" w:line="276" w:lineRule="auto"/>
        <w:rPr>
          <w:sz w:val="20"/>
          <w:szCs w:val="20"/>
          <w:color w:val="auto"/>
        </w:rPr>
      </w:pPr>
      <w:r>
        <w:rPr>
          <w:rFonts w:ascii="Arial" w:cs="Arial" w:eastAsia="Arial" w:hAnsi="Arial"/>
          <w:sz w:val="20"/>
          <w:szCs w:val="20"/>
          <w:color w:val="auto"/>
        </w:rPr>
        <w:t>are withdrawn such that the number of candidates for election as Director no longer exceeds the number of Directors to be elected, the election shall not be considered a Contested Election. Shareholders shall not be entitled to cumulative voting in the election of Directors, except to the extent specifically set forth in this clause (f).</w:t>
      </w:r>
    </w:p>
    <w:p>
      <w:pPr>
        <w:spacing w:after="0" w:line="211" w:lineRule="exact"/>
        <w:rPr>
          <w:sz w:val="20"/>
          <w:szCs w:val="20"/>
          <w:color w:val="auto"/>
        </w:rPr>
      </w:pPr>
    </w:p>
    <w:p>
      <w:pPr>
        <w:ind w:left="7" w:right="140" w:hanging="7"/>
        <w:spacing w:after="0" w:line="349" w:lineRule="auto"/>
        <w:tabs>
          <w:tab w:leader="none" w:pos="29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this Article 39 and Article 42(e) may only be amended, replaced or suspended by a resolution adopted at a General Meeting by a majority of at least 65% of the total voting power of the Shares.</w:t>
      </w:r>
    </w:p>
    <w:p>
      <w:pPr>
        <w:spacing w:after="0" w:line="151" w:lineRule="exact"/>
        <w:rPr>
          <w:rFonts w:ascii="Arial" w:cs="Arial" w:eastAsia="Arial" w:hAnsi="Arial"/>
          <w:sz w:val="18"/>
          <w:szCs w:val="18"/>
          <w:color w:val="auto"/>
        </w:rPr>
      </w:pPr>
    </w:p>
    <w:p>
      <w:pPr>
        <w:ind w:left="7" w:hanging="7"/>
        <w:spacing w:after="0" w:line="290" w:lineRule="auto"/>
        <w:tabs>
          <w:tab w:leader="none" w:pos="292" w:val="left"/>
        </w:tabs>
        <w:numPr>
          <w:ilvl w:val="0"/>
          <w:numId w:val="167"/>
        </w:numPr>
        <w:rPr>
          <w:rFonts w:ascii="Arial" w:cs="Arial" w:eastAsia="Arial" w:hAnsi="Arial"/>
          <w:sz w:val="20"/>
          <w:szCs w:val="20"/>
          <w:color w:val="auto"/>
        </w:rPr>
      </w:pPr>
      <w:r>
        <w:rPr>
          <w:rFonts w:ascii="Arial" w:cs="Arial" w:eastAsia="Arial" w:hAnsi="Arial"/>
          <w:sz w:val="20"/>
          <w:szCs w:val="20"/>
          <w:color w:val="auto"/>
        </w:rPr>
        <w:t>Notwithstanding anything to the contrary in these Articles, the election, qualification, removal or dismissal of External Directors, if so elected, shall be only in accordance with the applicable provisions set forth in the Companies Law.</w:t>
      </w:r>
    </w:p>
    <w:p>
      <w:pPr>
        <w:spacing w:after="0" w:line="348" w:lineRule="exact"/>
        <w:rPr>
          <w:rFonts w:ascii="Arial" w:cs="Arial" w:eastAsia="Arial" w:hAnsi="Arial"/>
          <w:sz w:val="20"/>
          <w:szCs w:val="20"/>
          <w:color w:val="auto"/>
        </w:rPr>
      </w:pPr>
    </w:p>
    <w:p>
      <w:pPr>
        <w:ind w:left="5007" w:hanging="114"/>
        <w:spacing w:after="0"/>
        <w:tabs>
          <w:tab w:leader="none" w:pos="5007" w:val="left"/>
        </w:tabs>
        <w:numPr>
          <w:ilvl w:val="1"/>
          <w:numId w:val="167"/>
        </w:numPr>
        <w:rPr>
          <w:rFonts w:ascii="Arial" w:cs="Arial" w:eastAsia="Arial" w:hAnsi="Arial"/>
          <w:sz w:val="20"/>
          <w:szCs w:val="20"/>
          <w:color w:val="auto"/>
        </w:rPr>
      </w:pPr>
      <w:r>
        <w:rPr>
          <w:rFonts w:ascii="Arial" w:cs="Arial" w:eastAsia="Arial" w:hAnsi="Arial"/>
          <w:sz w:val="20"/>
          <w:szCs w:val="20"/>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42545</wp:posOffset>
            </wp:positionV>
            <wp:extent cx="7141845" cy="158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0667"/>
          </w:cols>
          <w:pgMar w:left="833" w:top="131" w:right="399" w:bottom="1440" w:gutter="0" w:footer="0" w:header="0"/>
        </w:sectPr>
      </w:pPr>
    </w:p>
    <w:bookmarkStart w:id="191" w:name="page192"/>
    <w:bookmarkEnd w:id="191"/>
    <w:p>
      <w:pPr>
        <w:ind w:left="560" w:hanging="560"/>
        <w:spacing w:after="0"/>
        <w:tabs>
          <w:tab w:leader="none" w:pos="560" w:val="left"/>
        </w:tabs>
        <w:numPr>
          <w:ilvl w:val="0"/>
          <w:numId w:val="168"/>
        </w:numPr>
        <w:rPr>
          <w:rFonts w:ascii="Arial" w:cs="Arial" w:eastAsia="Arial" w:hAnsi="Arial"/>
          <w:sz w:val="17"/>
          <w:szCs w:val="17"/>
          <w:color w:val="auto"/>
        </w:rPr>
      </w:pPr>
      <w:r>
        <w:rPr>
          <w:rFonts w:ascii="Arial" w:cs="Arial" w:eastAsia="Arial" w:hAnsi="Arial"/>
          <w:sz w:val="17"/>
          <w:szCs w:val="17"/>
          <w:b w:val="1"/>
          <w:bCs w:val="1"/>
          <w:u w:val="single" w:color="auto"/>
          <w:color w:val="auto"/>
        </w:rPr>
        <w:t>COMMENCEMENT OF DIRECTORSHIP</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540"/>
        <w:spacing w:after="0" w:line="290" w:lineRule="auto"/>
        <w:rPr>
          <w:sz w:val="20"/>
          <w:szCs w:val="20"/>
          <w:color w:val="auto"/>
        </w:rPr>
      </w:pPr>
      <w:r>
        <w:rPr>
          <w:rFonts w:ascii="Arial" w:cs="Arial" w:eastAsia="Arial" w:hAnsi="Arial"/>
          <w:sz w:val="20"/>
          <w:szCs w:val="20"/>
          <w:color w:val="auto"/>
        </w:rPr>
        <w:t>Without derogating from Article 39, the term of office of a Director shall commence as of the date of his or her appointment or election, or on a later date if so specified in his or her appointment or election.</w:t>
      </w:r>
    </w:p>
    <w:p>
      <w:pPr>
        <w:spacing w:after="0" w:line="190" w:lineRule="exact"/>
        <w:rPr>
          <w:sz w:val="20"/>
          <w:szCs w:val="20"/>
          <w:color w:val="auto"/>
        </w:rPr>
      </w:pPr>
    </w:p>
    <w:p>
      <w:pPr>
        <w:ind w:left="560" w:hanging="560"/>
        <w:spacing w:after="0"/>
        <w:tabs>
          <w:tab w:leader="none" w:pos="560" w:val="left"/>
        </w:tabs>
        <w:numPr>
          <w:ilvl w:val="0"/>
          <w:numId w:val="169"/>
        </w:numPr>
        <w:rPr>
          <w:rFonts w:ascii="Arial" w:cs="Arial" w:eastAsia="Arial" w:hAnsi="Arial"/>
          <w:sz w:val="17"/>
          <w:szCs w:val="17"/>
          <w:color w:val="auto"/>
        </w:rPr>
      </w:pPr>
      <w:r>
        <w:rPr>
          <w:rFonts w:ascii="Arial" w:cs="Arial" w:eastAsia="Arial" w:hAnsi="Arial"/>
          <w:sz w:val="17"/>
          <w:szCs w:val="17"/>
          <w:b w:val="1"/>
          <w:bCs w:val="1"/>
          <w:u w:val="single" w:color="auto"/>
          <w:color w:val="auto"/>
        </w:rPr>
        <w:t>CONTINUING DIRECTORS IN THE EVENT OF VACANCIES</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spacing w:after="0" w:line="279" w:lineRule="auto"/>
        <w:rPr>
          <w:sz w:val="20"/>
          <w:szCs w:val="20"/>
          <w:color w:val="auto"/>
        </w:rPr>
      </w:pPr>
      <w:r>
        <w:rPr>
          <w:rFonts w:ascii="Arial" w:cs="Arial" w:eastAsia="Arial" w:hAnsi="Arial"/>
          <w:sz w:val="19"/>
          <w:szCs w:val="19"/>
          <w:color w:val="auto"/>
        </w:rPr>
        <w:t>The Board of Directors (and, if so determined by the Board of Directors, the General Meeting) may at any time and from time to time appoint any person as a Director to fill a vacancy (whether such vacancy is due to a Director no longer serving or due to the number of Directors serving being less than the maximum number stated in Article 38 hereof). In the event of one or more such vacancies in the Board of Directors, the continuing Directors may continue to act in every matter, provided, however, that if the number of Directors serving is less than the minimum number provided for pursuant to Article 38 hereof, they may only act in an emergency or to fill the office of a Director which has become vacant up to a number equal to the minimum number provided for pursuant to Article 38 hereof, or in order to call a General Meeting of the Company for the purpose of electing Directors to fill any or all vacancies. The office of a Director that was appointed by the Board of Directors to fill any vacancy shall only be for the remaining period of time during which the Director whose service has ended was filled would have held office, or in case of a vacancy due to the number of Directors serving being less than the maximum number stated in Article 38 hereof the Board of Directors shall determine at the time of appointment the class pursuant to Article 39 to which the additional Director shall be assigned. Notwithstanding anything to the contrary herein, this Article 41 may only be amended, replaced or suspended by a resolution adopted at a General Meeting by a majority of at least 65% of the total voting power of the Shares.</w:t>
      </w:r>
    </w:p>
    <w:p>
      <w:pPr>
        <w:spacing w:after="0" w:line="205" w:lineRule="exact"/>
        <w:rPr>
          <w:sz w:val="20"/>
          <w:szCs w:val="20"/>
          <w:color w:val="auto"/>
        </w:rPr>
      </w:pPr>
    </w:p>
    <w:p>
      <w:pPr>
        <w:ind w:left="560" w:hanging="560"/>
        <w:spacing w:after="0"/>
        <w:tabs>
          <w:tab w:leader="none" w:pos="560" w:val="left"/>
        </w:tabs>
        <w:numPr>
          <w:ilvl w:val="0"/>
          <w:numId w:val="170"/>
        </w:numPr>
        <w:rPr>
          <w:rFonts w:ascii="Arial" w:cs="Arial" w:eastAsia="Arial" w:hAnsi="Arial"/>
          <w:sz w:val="17"/>
          <w:szCs w:val="17"/>
          <w:color w:val="auto"/>
        </w:rPr>
      </w:pPr>
      <w:r>
        <w:rPr>
          <w:rFonts w:ascii="Arial" w:cs="Arial" w:eastAsia="Arial" w:hAnsi="Arial"/>
          <w:sz w:val="17"/>
          <w:szCs w:val="17"/>
          <w:b w:val="1"/>
          <w:bCs w:val="1"/>
          <w:u w:val="single" w:color="auto"/>
          <w:color w:val="auto"/>
        </w:rPr>
        <w:t>VACATION OF OFFICE</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20"/>
          <w:szCs w:val="20"/>
          <w:color w:val="auto"/>
        </w:rPr>
        <w:t>The office of a Director shall be vacated and he shall be dismissed or removed:</w:t>
      </w:r>
    </w:p>
    <w:p>
      <w:pPr>
        <w:spacing w:after="0" w:line="272" w:lineRule="exact"/>
        <w:rPr>
          <w:sz w:val="20"/>
          <w:szCs w:val="20"/>
          <w:color w:val="auto"/>
        </w:rPr>
      </w:pPr>
    </w:p>
    <w:p>
      <w:pPr>
        <w:ind w:left="780" w:hanging="267"/>
        <w:spacing w:after="0"/>
        <w:tabs>
          <w:tab w:leader="none" w:pos="78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ipso facto, upon his or her death;</w:t>
      </w:r>
    </w:p>
    <w:p>
      <w:pPr>
        <w:spacing w:after="0" w:line="272" w:lineRule="exact"/>
        <w:rPr>
          <w:rFonts w:ascii="Arial" w:cs="Arial" w:eastAsia="Arial" w:hAnsi="Arial"/>
          <w:sz w:val="20"/>
          <w:szCs w:val="20"/>
          <w:color w:val="auto"/>
        </w:rPr>
      </w:pPr>
    </w:p>
    <w:p>
      <w:pPr>
        <w:ind w:left="800" w:hanging="287"/>
        <w:spacing w:after="0"/>
        <w:tabs>
          <w:tab w:leader="none" w:pos="80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if he or she is prevented by applicable law from serving as a Director;</w:t>
      </w:r>
    </w:p>
    <w:p>
      <w:pPr>
        <w:spacing w:after="0" w:line="272" w:lineRule="exact"/>
        <w:rPr>
          <w:rFonts w:ascii="Arial" w:cs="Arial" w:eastAsia="Arial" w:hAnsi="Arial"/>
          <w:sz w:val="20"/>
          <w:szCs w:val="20"/>
          <w:color w:val="auto"/>
        </w:rPr>
      </w:pPr>
    </w:p>
    <w:p>
      <w:pPr>
        <w:ind w:left="780" w:hanging="267"/>
        <w:spacing w:after="0"/>
        <w:tabs>
          <w:tab w:leader="none" w:pos="78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if the Board of Directors determines that due to his or her mental or physical state he or she is unable to serve as a director;</w:t>
      </w:r>
    </w:p>
    <w:p>
      <w:pPr>
        <w:spacing w:after="0" w:line="283" w:lineRule="exact"/>
        <w:rPr>
          <w:rFonts w:ascii="Arial" w:cs="Arial" w:eastAsia="Arial" w:hAnsi="Arial"/>
          <w:sz w:val="19"/>
          <w:szCs w:val="19"/>
          <w:color w:val="auto"/>
        </w:rPr>
      </w:pPr>
    </w:p>
    <w:p>
      <w:pPr>
        <w:ind w:left="800" w:hanging="287"/>
        <w:spacing w:after="0"/>
        <w:tabs>
          <w:tab w:leader="none" w:pos="80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if his or her directorship expires pursuant to these Articles and/or applicable law;</w:t>
      </w:r>
    </w:p>
    <w:p>
      <w:pPr>
        <w:spacing w:after="0" w:line="272" w:lineRule="exact"/>
        <w:rPr>
          <w:rFonts w:ascii="Arial" w:cs="Arial" w:eastAsia="Arial" w:hAnsi="Arial"/>
          <w:sz w:val="20"/>
          <w:szCs w:val="20"/>
          <w:color w:val="auto"/>
        </w:rPr>
      </w:pPr>
    </w:p>
    <w:p>
      <w:pPr>
        <w:ind w:left="520" w:right="440" w:hanging="7"/>
        <w:spacing w:after="0" w:line="290" w:lineRule="auto"/>
        <w:tabs>
          <w:tab w:leader="none" w:pos="793" w:val="left"/>
        </w:tabs>
        <w:numPr>
          <w:ilvl w:val="0"/>
          <w:numId w:val="171"/>
        </w:numPr>
        <w:rPr>
          <w:rFonts w:ascii="Arial" w:cs="Arial" w:eastAsia="Arial" w:hAnsi="Arial"/>
          <w:sz w:val="20"/>
          <w:szCs w:val="20"/>
          <w:color w:val="auto"/>
        </w:rPr>
      </w:pPr>
      <w:r>
        <w:rPr>
          <w:rFonts w:ascii="Arial" w:cs="Arial" w:eastAsia="Arial" w:hAnsi="Arial"/>
          <w:sz w:val="20"/>
          <w:szCs w:val="20"/>
          <w:color w:val="auto"/>
        </w:rPr>
        <w:t>by a resolution adopted at a General Meeting by a majority of at least 65% of the total voting power of the Shares (with such removal becoming effective on the date fixed in such resolution);</w:t>
      </w:r>
    </w:p>
    <w:p>
      <w:pPr>
        <w:spacing w:after="0" w:line="197" w:lineRule="exact"/>
        <w:rPr>
          <w:rFonts w:ascii="Arial" w:cs="Arial" w:eastAsia="Arial" w:hAnsi="Arial"/>
          <w:sz w:val="20"/>
          <w:szCs w:val="20"/>
          <w:color w:val="auto"/>
        </w:rPr>
      </w:pPr>
    </w:p>
    <w:p>
      <w:pPr>
        <w:ind w:left="520" w:right="60" w:hanging="7"/>
        <w:spacing w:after="0" w:line="290" w:lineRule="auto"/>
        <w:tabs>
          <w:tab w:leader="none" w:pos="77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by his or her written resignation, such resignation becoming effective on the date fixed therein, or upon the delivery thereof to the Company, whichever is later; or</w:t>
      </w:r>
    </w:p>
    <w:p>
      <w:pPr>
        <w:spacing w:after="0" w:line="197" w:lineRule="exact"/>
        <w:rPr>
          <w:rFonts w:ascii="Arial" w:cs="Arial" w:eastAsia="Arial" w:hAnsi="Arial"/>
          <w:sz w:val="20"/>
          <w:szCs w:val="20"/>
          <w:color w:val="auto"/>
        </w:rPr>
      </w:pPr>
    </w:p>
    <w:p>
      <w:pPr>
        <w:ind w:left="520" w:right="840" w:hanging="7"/>
        <w:spacing w:after="0" w:line="290" w:lineRule="auto"/>
        <w:tabs>
          <w:tab w:leader="none" w:pos="804" w:val="left"/>
        </w:tabs>
        <w:numPr>
          <w:ilvl w:val="0"/>
          <w:numId w:val="171"/>
        </w:numPr>
        <w:rPr>
          <w:rFonts w:ascii="Arial" w:cs="Arial" w:eastAsia="Arial" w:hAnsi="Arial"/>
          <w:sz w:val="20"/>
          <w:szCs w:val="20"/>
          <w:color w:val="auto"/>
        </w:rPr>
      </w:pPr>
      <w:r>
        <w:rPr>
          <w:rFonts w:ascii="Arial" w:cs="Arial" w:eastAsia="Arial" w:hAnsi="Arial"/>
          <w:sz w:val="20"/>
          <w:szCs w:val="20"/>
          <w:color w:val="auto"/>
        </w:rPr>
        <w:t>with respect to an External Director, if so elected, and notwithstanding anything to the contrary herein, only pursuant to applicable law.</w:t>
      </w:r>
    </w:p>
    <w:p>
      <w:pPr>
        <w:spacing w:after="0" w:line="348" w:lineRule="exact"/>
        <w:rPr>
          <w:rFonts w:ascii="Arial" w:cs="Arial" w:eastAsia="Arial" w:hAnsi="Arial"/>
          <w:sz w:val="20"/>
          <w:szCs w:val="20"/>
          <w:color w:val="auto"/>
        </w:rPr>
      </w:pPr>
    </w:p>
    <w:p>
      <w:pPr>
        <w:ind w:left="5520" w:hanging="114"/>
        <w:spacing w:after="0"/>
        <w:tabs>
          <w:tab w:leader="none" w:pos="552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41845" cy="158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92" w:name="page193"/>
    <w:bookmarkEnd w:id="192"/>
    <w:p>
      <w:pPr>
        <w:ind w:left="560" w:hanging="560"/>
        <w:spacing w:after="0"/>
        <w:tabs>
          <w:tab w:leader="none" w:pos="560" w:val="left"/>
        </w:tabs>
        <w:numPr>
          <w:ilvl w:val="0"/>
          <w:numId w:val="172"/>
        </w:numPr>
        <w:rPr>
          <w:rFonts w:ascii="Arial" w:cs="Arial" w:eastAsia="Arial" w:hAnsi="Arial"/>
          <w:sz w:val="17"/>
          <w:szCs w:val="17"/>
          <w:color w:val="auto"/>
        </w:rPr>
      </w:pPr>
      <w:r>
        <w:rPr>
          <w:rFonts w:ascii="Arial" w:cs="Arial" w:eastAsia="Arial" w:hAnsi="Arial"/>
          <w:sz w:val="17"/>
          <w:szCs w:val="17"/>
          <w:b w:val="1"/>
          <w:bCs w:val="1"/>
          <w:u w:val="single" w:color="auto"/>
          <w:color w:val="auto"/>
        </w:rPr>
        <w:t>CONFLICT OF INTERESTS; APPROVAL OF RELATED PARTY TRANSACTIONS</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ind w:left="520" w:right="20" w:hanging="7"/>
        <w:spacing w:after="0" w:line="280" w:lineRule="auto"/>
        <w:tabs>
          <w:tab w:leader="none" w:pos="793" w:val="left"/>
        </w:tabs>
        <w:numPr>
          <w:ilvl w:val="1"/>
          <w:numId w:val="172"/>
        </w:numPr>
        <w:rPr>
          <w:rFonts w:ascii="Arial" w:cs="Arial" w:eastAsia="Arial" w:hAnsi="Arial"/>
          <w:sz w:val="19"/>
          <w:szCs w:val="19"/>
          <w:color w:val="auto"/>
        </w:rPr>
      </w:pPr>
      <w:r>
        <w:rPr>
          <w:rFonts w:ascii="Arial" w:cs="Arial" w:eastAsia="Arial" w:hAnsi="Arial"/>
          <w:sz w:val="19"/>
          <w:szCs w:val="19"/>
          <w:color w:val="auto"/>
        </w:rPr>
        <w:t>Subject to the provisions of applicable law and these Articles, no Director shall be disqualified by virtue of his or her office from holding any office or place of profit in the Company or in any company in which the Company shall be a Shareholder or otherwise interested, or from contracting with the Company as vendor, purchaser or otherwise, nor shall any such contract, or any contract or arrangement entered into by or on behalf of the Company in which any Director shall be in any way interested, be avoided, nor, other than as required under the Companies Law, shall any Director be liable to account to the Company for any profit arising from any such office or place of profit or realized by any such contract or arrangement by reason only of such Director’s holding that office or of the fiduciary relations thereby established, but the nature of his or her interest, as well as any material fact or document, must be disclosed by him or her at the meeting of the Board of Directors at which the contract or arrangement is first considered, if his or her interest then exists, or, in any other case, at no later than the first meeting of the Board of Directors after the acquisition of his or her interest.</w:t>
      </w:r>
    </w:p>
    <w:p>
      <w:pPr>
        <w:spacing w:after="0" w:line="212" w:lineRule="exact"/>
        <w:rPr>
          <w:rFonts w:ascii="Arial" w:cs="Arial" w:eastAsia="Arial" w:hAnsi="Arial"/>
          <w:sz w:val="19"/>
          <w:szCs w:val="19"/>
          <w:color w:val="auto"/>
        </w:rPr>
      </w:pPr>
    </w:p>
    <w:p>
      <w:pPr>
        <w:ind w:left="520" w:right="160" w:hanging="7"/>
        <w:spacing w:after="0" w:line="269" w:lineRule="auto"/>
        <w:tabs>
          <w:tab w:leader="none" w:pos="804" w:val="left"/>
        </w:tabs>
        <w:numPr>
          <w:ilvl w:val="1"/>
          <w:numId w:val="172"/>
        </w:numPr>
        <w:rPr>
          <w:rFonts w:ascii="Arial" w:cs="Arial" w:eastAsia="Arial" w:hAnsi="Arial"/>
          <w:sz w:val="20"/>
          <w:szCs w:val="20"/>
          <w:color w:val="auto"/>
        </w:rPr>
      </w:pPr>
      <w:r>
        <w:rPr>
          <w:rFonts w:ascii="Arial" w:cs="Arial" w:eastAsia="Arial" w:hAnsi="Arial"/>
          <w:sz w:val="20"/>
          <w:szCs w:val="20"/>
          <w:color w:val="auto"/>
        </w:rPr>
        <w:t>Subject to the Companies Law and these Articles, a transaction between the Company and an Office Holder, and a transaction between the Company and another entity in which an Office Holder of the Company has a personal interest, in each case, which is not an Extraordinary Transaction (as defined by the Companies Law), shall require only approval by the Board of Directors or a Committee of the Board of Directors. Such authorization, as well as the actual approval, may be for a particular transaction or more generally for specific type of transactions.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PROCEEDINGS OF THE BOARD OF DIRECTORS</w:t>
      </w:r>
    </w:p>
    <w:p>
      <w:pPr>
        <w:spacing w:after="0" w:line="268" w:lineRule="exact"/>
        <w:rPr>
          <w:sz w:val="20"/>
          <w:szCs w:val="20"/>
          <w:color w:val="auto"/>
        </w:rPr>
      </w:pPr>
    </w:p>
    <w:p>
      <w:pPr>
        <w:ind w:left="560" w:hanging="560"/>
        <w:spacing w:after="0"/>
        <w:tabs>
          <w:tab w:leader="none" w:pos="560" w:val="left"/>
        </w:tabs>
        <w:numPr>
          <w:ilvl w:val="0"/>
          <w:numId w:val="173"/>
        </w:numPr>
        <w:rPr>
          <w:rFonts w:ascii="Arial" w:cs="Arial" w:eastAsia="Arial" w:hAnsi="Arial"/>
          <w:sz w:val="17"/>
          <w:szCs w:val="17"/>
          <w:color w:val="auto"/>
        </w:rPr>
      </w:pPr>
      <w:r>
        <w:rPr>
          <w:rFonts w:ascii="Arial" w:cs="Arial" w:eastAsia="Arial" w:hAnsi="Arial"/>
          <w:sz w:val="17"/>
          <w:szCs w:val="17"/>
          <w:b w:val="1"/>
          <w:bCs w:val="1"/>
          <w:u w:val="single" w:color="auto"/>
          <w:color w:val="auto"/>
        </w:rPr>
        <w:t>MEETINGS</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ind w:left="520" w:right="40" w:hanging="7"/>
        <w:spacing w:after="0" w:line="290" w:lineRule="auto"/>
        <w:tabs>
          <w:tab w:leader="none" w:pos="793" w:val="left"/>
        </w:tabs>
        <w:numPr>
          <w:ilvl w:val="1"/>
          <w:numId w:val="173"/>
        </w:numPr>
        <w:rPr>
          <w:rFonts w:ascii="Arial" w:cs="Arial" w:eastAsia="Arial" w:hAnsi="Arial"/>
          <w:sz w:val="20"/>
          <w:szCs w:val="20"/>
          <w:color w:val="auto"/>
        </w:rPr>
      </w:pPr>
      <w:r>
        <w:rPr>
          <w:rFonts w:ascii="Arial" w:cs="Arial" w:eastAsia="Arial" w:hAnsi="Arial"/>
          <w:sz w:val="20"/>
          <w:szCs w:val="20"/>
          <w:color w:val="auto"/>
        </w:rPr>
        <w:t>The Board of Directors may meet and adjourn its meetings and otherwise regulate such meetings and proceedings as the Board of Directors thinks fit.</w:t>
      </w:r>
    </w:p>
    <w:p>
      <w:pPr>
        <w:spacing w:after="0" w:line="197" w:lineRule="exact"/>
        <w:rPr>
          <w:rFonts w:ascii="Arial" w:cs="Arial" w:eastAsia="Arial" w:hAnsi="Arial"/>
          <w:sz w:val="20"/>
          <w:szCs w:val="20"/>
          <w:color w:val="auto"/>
        </w:rPr>
      </w:pPr>
    </w:p>
    <w:p>
      <w:pPr>
        <w:jc w:val="both"/>
        <w:ind w:left="520" w:right="60" w:hanging="7"/>
        <w:spacing w:after="0" w:line="310" w:lineRule="auto"/>
        <w:tabs>
          <w:tab w:leader="none" w:pos="804" w:val="left"/>
        </w:tabs>
        <w:numPr>
          <w:ilvl w:val="1"/>
          <w:numId w:val="173"/>
        </w:numPr>
        <w:rPr>
          <w:rFonts w:ascii="Arial" w:cs="Arial" w:eastAsia="Arial" w:hAnsi="Arial"/>
          <w:sz w:val="17"/>
          <w:szCs w:val="17"/>
          <w:color w:val="auto"/>
        </w:rPr>
      </w:pPr>
      <w:r>
        <w:rPr>
          <w:rFonts w:ascii="Arial" w:cs="Arial" w:eastAsia="Arial" w:hAnsi="Arial"/>
          <w:sz w:val="17"/>
          <w:szCs w:val="17"/>
          <w:color w:val="auto"/>
        </w:rPr>
        <w:t>A meeting of the Board of Directors shall be convened by the Secretary upon instruction of the Chairperson or upon a request of at least two (2) Directors which is submitted to the Chairperson or in any event that such meeting is required by the provisions of the Companies Law. In the event that the Chairperson does not instruct the Secretary to convene a meeting upon a request of at least two</w:t>
      </w:r>
    </w:p>
    <w:p>
      <w:pPr>
        <w:spacing w:after="0" w:line="1" w:lineRule="exact"/>
        <w:rPr>
          <w:rFonts w:ascii="Arial" w:cs="Arial" w:eastAsia="Arial" w:hAnsi="Arial"/>
          <w:sz w:val="17"/>
          <w:szCs w:val="17"/>
          <w:color w:val="auto"/>
        </w:rPr>
      </w:pPr>
    </w:p>
    <w:p>
      <w:pPr>
        <w:ind w:left="520"/>
        <w:spacing w:after="0" w:line="267" w:lineRule="auto"/>
        <w:rPr>
          <w:rFonts w:ascii="Arial" w:cs="Arial" w:eastAsia="Arial" w:hAnsi="Arial"/>
          <w:sz w:val="17"/>
          <w:szCs w:val="17"/>
          <w:color w:val="auto"/>
        </w:rPr>
      </w:pPr>
      <w:r>
        <w:rPr>
          <w:rFonts w:ascii="Arial" w:cs="Arial" w:eastAsia="Arial" w:hAnsi="Arial"/>
          <w:sz w:val="20"/>
          <w:szCs w:val="20"/>
          <w:color w:val="auto"/>
        </w:rPr>
        <w:t>(2) Directors within seven (7) days of such request, then such two (2) Directors may convene a meeting of the Board of Directors. Any meeting of the Board of Directors shall be convened upon not less than two (2) days’ notice, unless such notice is waived in writing by all of the Directors as to a particular meeting or by their attendance at such meeting or unless the matters to be discussed at such meeting are of such urgency and importance that notice is reasonably determined by the Chairperson as ought to be waived or shortened under the circumstances.</w:t>
      </w:r>
    </w:p>
    <w:p>
      <w:pPr>
        <w:spacing w:after="0" w:line="221" w:lineRule="exact"/>
        <w:rPr>
          <w:rFonts w:ascii="Arial" w:cs="Arial" w:eastAsia="Arial" w:hAnsi="Arial"/>
          <w:sz w:val="17"/>
          <w:szCs w:val="17"/>
          <w:color w:val="auto"/>
        </w:rPr>
      </w:pPr>
    </w:p>
    <w:p>
      <w:pPr>
        <w:ind w:left="520" w:right="420" w:hanging="7"/>
        <w:spacing w:after="0" w:line="290" w:lineRule="auto"/>
        <w:tabs>
          <w:tab w:leader="none" w:pos="793" w:val="left"/>
        </w:tabs>
        <w:numPr>
          <w:ilvl w:val="1"/>
          <w:numId w:val="173"/>
        </w:numPr>
        <w:rPr>
          <w:rFonts w:ascii="Arial" w:cs="Arial" w:eastAsia="Arial" w:hAnsi="Arial"/>
          <w:sz w:val="20"/>
          <w:szCs w:val="20"/>
          <w:color w:val="auto"/>
        </w:rPr>
      </w:pPr>
      <w:r>
        <w:rPr>
          <w:rFonts w:ascii="Arial" w:cs="Arial" w:eastAsia="Arial" w:hAnsi="Arial"/>
          <w:sz w:val="20"/>
          <w:szCs w:val="20"/>
          <w:color w:val="auto"/>
        </w:rPr>
        <w:t>Notice of any such meeting shall be given orally, by telephone, in writing or by mail, facsimile, email or such other means of delivery of notices as the Company may apply, from time to time.</w:t>
      </w:r>
    </w:p>
    <w:p>
      <w:pPr>
        <w:spacing w:after="0" w:line="197" w:lineRule="exact"/>
        <w:rPr>
          <w:rFonts w:ascii="Arial" w:cs="Arial" w:eastAsia="Arial" w:hAnsi="Arial"/>
          <w:sz w:val="20"/>
          <w:szCs w:val="20"/>
          <w:color w:val="auto"/>
        </w:rPr>
      </w:pPr>
    </w:p>
    <w:p>
      <w:pPr>
        <w:ind w:left="520" w:right="120" w:hanging="7"/>
        <w:spacing w:after="0" w:line="266" w:lineRule="auto"/>
        <w:tabs>
          <w:tab w:leader="none" w:pos="804" w:val="left"/>
        </w:tabs>
        <w:numPr>
          <w:ilvl w:val="1"/>
          <w:numId w:val="173"/>
        </w:numPr>
        <w:rPr>
          <w:rFonts w:ascii="Arial" w:cs="Arial" w:eastAsia="Arial" w:hAnsi="Arial"/>
          <w:sz w:val="20"/>
          <w:szCs w:val="20"/>
          <w:color w:val="auto"/>
        </w:rPr>
      </w:pPr>
      <w:r>
        <w:rPr>
          <w:rFonts w:ascii="Arial" w:cs="Arial" w:eastAsia="Arial" w:hAnsi="Arial"/>
          <w:sz w:val="20"/>
          <w:szCs w:val="20"/>
          <w:color w:val="auto"/>
        </w:rPr>
        <w:t>Notwithstanding anything to the contrary herein, failure to deliver notice to a Director of any such meeting in the manner required hereby may be waived by such Director, and a meeting shall be deemed to have been duly convened notwithstanding such defective notice if such failure or defect is waived prior to action being taken at such meeting, by all Directors entitled to participate at such meeting to whom notice was not duly given as aforesaid. Without derogating from the foregoing, no Director present at any time during a meeting of the Board of Directors shall be entitled to seek the cancellation or invalidation of any proceedings or resolutions adopted at such meeting on account of any defect in the notice of such meeting relating to the date, time or the place thereof or the convening of the meeting.</w:t>
      </w:r>
    </w:p>
    <w:p>
      <w:pPr>
        <w:spacing w:after="0" w:line="374" w:lineRule="exact"/>
        <w:rPr>
          <w:rFonts w:ascii="Arial" w:cs="Arial" w:eastAsia="Arial" w:hAnsi="Arial"/>
          <w:sz w:val="20"/>
          <w:szCs w:val="20"/>
          <w:color w:val="auto"/>
        </w:rPr>
      </w:pPr>
    </w:p>
    <w:p>
      <w:pPr>
        <w:ind w:left="5520" w:hanging="114"/>
        <w:spacing w:after="0"/>
        <w:tabs>
          <w:tab w:leader="none" w:pos="5520" w:val="left"/>
        </w:tabs>
        <w:numPr>
          <w:ilvl w:val="2"/>
          <w:numId w:val="173"/>
        </w:numPr>
        <w:rPr>
          <w:rFonts w:ascii="Arial" w:cs="Arial" w:eastAsia="Arial" w:hAnsi="Arial"/>
          <w:sz w:val="20"/>
          <w:szCs w:val="20"/>
          <w:color w:val="auto"/>
        </w:rPr>
      </w:pPr>
      <w:r>
        <w:rPr>
          <w:rFonts w:ascii="Arial" w:cs="Arial" w:eastAsia="Arial" w:hAnsi="Arial"/>
          <w:sz w:val="20"/>
          <w:szCs w:val="20"/>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41845" cy="158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93" w:name="page194"/>
    <w:bookmarkEnd w:id="193"/>
    <w:p>
      <w:pPr>
        <w:ind w:left="560" w:hanging="560"/>
        <w:spacing w:after="0"/>
        <w:tabs>
          <w:tab w:leader="none" w:pos="560" w:val="left"/>
        </w:tabs>
        <w:numPr>
          <w:ilvl w:val="0"/>
          <w:numId w:val="174"/>
        </w:numPr>
        <w:rPr>
          <w:rFonts w:ascii="Arial" w:cs="Arial" w:eastAsia="Arial" w:hAnsi="Arial"/>
          <w:sz w:val="17"/>
          <w:szCs w:val="17"/>
          <w:color w:val="auto"/>
        </w:rPr>
      </w:pPr>
      <w:r>
        <w:rPr>
          <w:rFonts w:ascii="Arial" w:cs="Arial" w:eastAsia="Arial" w:hAnsi="Arial"/>
          <w:sz w:val="17"/>
          <w:szCs w:val="17"/>
          <w:b w:val="1"/>
          <w:bCs w:val="1"/>
          <w:u w:val="single" w:color="auto"/>
          <w:color w:val="auto"/>
        </w:rPr>
        <w:t>QUORUM</w:t>
      </w:r>
      <w:r>
        <w:rPr>
          <w:rFonts w:ascii="Arial" w:cs="Arial" w:eastAsia="Arial" w:hAnsi="Arial"/>
          <w:sz w:val="17"/>
          <w:szCs w:val="17"/>
          <w:u w:val="single" w:color="auto"/>
          <w:color w:val="auto"/>
        </w:rPr>
        <w:t>.</w:t>
      </w:r>
    </w:p>
    <w:p>
      <w:pPr>
        <w:spacing w:after="0" w:line="264" w:lineRule="exact"/>
        <w:rPr>
          <w:sz w:val="20"/>
          <w:szCs w:val="20"/>
          <w:color w:val="auto"/>
        </w:rPr>
      </w:pPr>
    </w:p>
    <w:p>
      <w:pPr>
        <w:ind w:left="460"/>
        <w:spacing w:after="0" w:line="291" w:lineRule="auto"/>
        <w:rPr>
          <w:sz w:val="20"/>
          <w:szCs w:val="20"/>
          <w:color w:val="auto"/>
        </w:rPr>
      </w:pPr>
      <w:r>
        <w:rPr>
          <w:rFonts w:ascii="Arial" w:cs="Arial" w:eastAsia="Arial" w:hAnsi="Arial"/>
          <w:sz w:val="18"/>
          <w:szCs w:val="18"/>
          <w:color w:val="auto"/>
        </w:rPr>
        <w:t>Until otherwise unanimously decided by the Board of Directors, a quorum at a meeting of the Board of Directors shall be constituted by the presence in person or by any means of communication of a majority of the Directors then in office who are lawfully entitled to participate and vote in the meeting. No business shall be transacted at a meeting of the Board of Directors unless the requisite quorum is present (in person or by any means of communication on the condition that all participating Directors can hear each other simultaneously) when the meeting proceeds to business. If within thirty (30) minutes from the time appointed for a meeting of the Board of Directors a quorum is not present, the meeting shall stand adjourned at the same place and time forty-eight (48) hours thereafter unless the Chairperson has determined that there is such urgency and importance that a shorter period is required under the circumstances. If an adjourned meeting is convened in accordance with the foregoing and a quorum is not present within thirty</w:t>
      </w:r>
    </w:p>
    <w:p>
      <w:pPr>
        <w:spacing w:after="0" w:line="7" w:lineRule="exact"/>
        <w:rPr>
          <w:sz w:val="20"/>
          <w:szCs w:val="20"/>
          <w:color w:val="auto"/>
        </w:rPr>
      </w:pPr>
    </w:p>
    <w:p>
      <w:pPr>
        <w:ind w:left="460" w:hanging="8"/>
        <w:spacing w:after="0" w:line="301" w:lineRule="auto"/>
        <w:tabs>
          <w:tab w:leader="none" w:pos="844" w:val="left"/>
        </w:tabs>
        <w:numPr>
          <w:ilvl w:val="1"/>
          <w:numId w:val="175"/>
        </w:numPr>
        <w:rPr>
          <w:rFonts w:ascii="Arial" w:cs="Arial" w:eastAsia="Arial" w:hAnsi="Arial"/>
          <w:sz w:val="18"/>
          <w:szCs w:val="18"/>
          <w:color w:val="auto"/>
        </w:rPr>
      </w:pPr>
      <w:r>
        <w:rPr>
          <w:rFonts w:ascii="Arial" w:cs="Arial" w:eastAsia="Arial" w:hAnsi="Arial"/>
          <w:sz w:val="18"/>
          <w:szCs w:val="18"/>
          <w:color w:val="auto"/>
        </w:rPr>
        <w:t>minutes of the announced time, the requisite quorum at such adjourned meeting shall be, any two (2) Directors, if the number of Directors then serving is up to five (5), and any three (3) Directors, if the number of Directors then serving is more than five (5), in each case who are lawfully entitled to participate in the meeting and who are present at such adjourned meeting. At an adjourned meeting of the Board of Directors the only matters to be considered shall be those matters which might have been lawfully considered at the meeting of the Board of Directors originally called if a requisite quorum had been present, and the only resolutions to be adopted are such types of resolutions which could have been adopted at the meeting of the Board of Directors originally called.</w:t>
      </w:r>
    </w:p>
    <w:p>
      <w:pPr>
        <w:spacing w:after="0" w:line="186" w:lineRule="exact"/>
        <w:rPr>
          <w:rFonts w:ascii="Arial" w:cs="Arial" w:eastAsia="Arial" w:hAnsi="Arial"/>
          <w:sz w:val="18"/>
          <w:szCs w:val="18"/>
          <w:color w:val="auto"/>
        </w:rPr>
      </w:pPr>
    </w:p>
    <w:p>
      <w:pPr>
        <w:ind w:left="560" w:hanging="560"/>
        <w:spacing w:after="0"/>
        <w:tabs>
          <w:tab w:leader="none" w:pos="560" w:val="left"/>
        </w:tabs>
        <w:numPr>
          <w:ilvl w:val="0"/>
          <w:numId w:val="176"/>
        </w:numPr>
        <w:rPr>
          <w:rFonts w:ascii="Arial" w:cs="Arial" w:eastAsia="Arial" w:hAnsi="Arial"/>
          <w:sz w:val="17"/>
          <w:szCs w:val="17"/>
          <w:color w:val="auto"/>
        </w:rPr>
      </w:pPr>
      <w:r>
        <w:rPr>
          <w:rFonts w:ascii="Arial" w:cs="Arial" w:eastAsia="Arial" w:hAnsi="Arial"/>
          <w:sz w:val="17"/>
          <w:szCs w:val="17"/>
          <w:b w:val="1"/>
          <w:bCs w:val="1"/>
          <w:u w:val="single" w:color="auto"/>
          <w:color w:val="auto"/>
        </w:rPr>
        <w:t>CHAIRPERSON OF THE BOARD OF DIRECTORS</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280"/>
        <w:spacing w:after="0" w:line="293" w:lineRule="auto"/>
        <w:rPr>
          <w:sz w:val="20"/>
          <w:szCs w:val="20"/>
          <w:color w:val="auto"/>
        </w:rPr>
      </w:pPr>
      <w:r>
        <w:rPr>
          <w:rFonts w:ascii="Arial" w:cs="Arial" w:eastAsia="Arial" w:hAnsi="Arial"/>
          <w:sz w:val="18"/>
          <w:szCs w:val="18"/>
          <w:color w:val="auto"/>
        </w:rPr>
        <w:t>The Board of Directors shall, from time to time, elect one of its members to be the Chairperson of the Board of Directors, remove such Chairperson from office and appoint in his or her place. The Chairperson of the Board of Directors shall preside at every meeting of the Board of Directors, but if there is no such Chairperson, or if at any meeting he is not present within fifteen</w:t>
      </w:r>
    </w:p>
    <w:p>
      <w:pPr>
        <w:spacing w:after="0" w:line="1" w:lineRule="exact"/>
        <w:rPr>
          <w:sz w:val="20"/>
          <w:szCs w:val="20"/>
          <w:color w:val="auto"/>
        </w:rPr>
      </w:pPr>
    </w:p>
    <w:p>
      <w:pPr>
        <w:ind w:left="900" w:hanging="387"/>
        <w:spacing w:after="0"/>
        <w:tabs>
          <w:tab w:leader="none" w:pos="900" w:val="left"/>
        </w:tabs>
        <w:numPr>
          <w:ilvl w:val="1"/>
          <w:numId w:val="177"/>
        </w:numPr>
        <w:rPr>
          <w:rFonts w:ascii="Arial" w:cs="Arial" w:eastAsia="Arial" w:hAnsi="Arial"/>
          <w:sz w:val="19"/>
          <w:szCs w:val="19"/>
          <w:color w:val="auto"/>
        </w:rPr>
      </w:pPr>
      <w:r>
        <w:rPr>
          <w:rFonts w:ascii="Arial" w:cs="Arial" w:eastAsia="Arial" w:hAnsi="Arial"/>
          <w:sz w:val="19"/>
          <w:szCs w:val="19"/>
          <w:color w:val="auto"/>
        </w:rPr>
        <w:t>minutes of the time fixed for the meeting or if he is unwilling to take the chair, the Directors present shall choose one of the</w:t>
      </w:r>
    </w:p>
    <w:p>
      <w:pPr>
        <w:spacing w:after="0" w:line="32" w:lineRule="exact"/>
        <w:rPr>
          <w:rFonts w:ascii="Arial" w:cs="Arial" w:eastAsia="Arial" w:hAnsi="Arial"/>
          <w:sz w:val="19"/>
          <w:szCs w:val="19"/>
          <w:color w:val="auto"/>
        </w:rPr>
      </w:pPr>
    </w:p>
    <w:p>
      <w:pPr>
        <w:ind w:left="520"/>
        <w:spacing w:after="0" w:line="283" w:lineRule="auto"/>
        <w:rPr>
          <w:rFonts w:ascii="Arial" w:cs="Arial" w:eastAsia="Arial" w:hAnsi="Arial"/>
          <w:sz w:val="19"/>
          <w:szCs w:val="19"/>
          <w:color w:val="auto"/>
        </w:rPr>
      </w:pPr>
      <w:r>
        <w:rPr>
          <w:rFonts w:ascii="Arial" w:cs="Arial" w:eastAsia="Arial" w:hAnsi="Arial"/>
          <w:sz w:val="20"/>
          <w:szCs w:val="20"/>
          <w:color w:val="auto"/>
        </w:rPr>
        <w:t>Directors present at the meeting to be the Chairperson of such meeting. The office of Chairperson of the Board of Directors shall not, by itself, entitle the holder to a second or casting vote.</w:t>
      </w:r>
    </w:p>
    <w:p>
      <w:pPr>
        <w:spacing w:after="0" w:line="197" w:lineRule="exact"/>
        <w:rPr>
          <w:rFonts w:ascii="Arial" w:cs="Arial" w:eastAsia="Arial" w:hAnsi="Arial"/>
          <w:sz w:val="19"/>
          <w:szCs w:val="19"/>
          <w:color w:val="auto"/>
        </w:rPr>
      </w:pPr>
    </w:p>
    <w:p>
      <w:pPr>
        <w:ind w:left="560" w:hanging="560"/>
        <w:spacing w:after="0"/>
        <w:tabs>
          <w:tab w:leader="none" w:pos="560" w:val="left"/>
        </w:tabs>
        <w:numPr>
          <w:ilvl w:val="0"/>
          <w:numId w:val="178"/>
        </w:numPr>
        <w:rPr>
          <w:rFonts w:ascii="Arial" w:cs="Arial" w:eastAsia="Arial" w:hAnsi="Arial"/>
          <w:sz w:val="17"/>
          <w:szCs w:val="17"/>
          <w:color w:val="auto"/>
        </w:rPr>
      </w:pPr>
      <w:r>
        <w:rPr>
          <w:rFonts w:ascii="Arial" w:cs="Arial" w:eastAsia="Arial" w:hAnsi="Arial"/>
          <w:sz w:val="17"/>
          <w:szCs w:val="17"/>
          <w:b w:val="1"/>
          <w:bCs w:val="1"/>
          <w:u w:val="single" w:color="auto"/>
          <w:color w:val="auto"/>
        </w:rPr>
        <w:t>VALIDITY OF ACTS DESPITE DEFECTS</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80"/>
        <w:spacing w:after="0" w:line="271" w:lineRule="auto"/>
        <w:rPr>
          <w:sz w:val="20"/>
          <w:szCs w:val="20"/>
          <w:color w:val="auto"/>
        </w:rPr>
      </w:pPr>
      <w:r>
        <w:rPr>
          <w:rFonts w:ascii="Arial" w:cs="Arial" w:eastAsia="Arial" w:hAnsi="Arial"/>
          <w:sz w:val="20"/>
          <w:szCs w:val="20"/>
          <w:color w:val="auto"/>
        </w:rPr>
        <w:t>All acts done or transacted at any meeting of the Board of Directors, or of a Committee of the Board of Directors, or by any person(s) acting as Director(s), shall, notwithstanding that it may afterwards be discovered that there was some defect in the appointment of the participants in such meeting or any of them or any person(s) acting as aforesaid, or that they or any of them were disqualified, be as valid as if there were no such defect or disqualification.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CHIEF EXECUTIVE OFFICER</w:t>
      </w:r>
    </w:p>
    <w:p>
      <w:pPr>
        <w:spacing w:after="0" w:line="268" w:lineRule="exact"/>
        <w:rPr>
          <w:sz w:val="20"/>
          <w:szCs w:val="20"/>
          <w:color w:val="auto"/>
        </w:rPr>
      </w:pPr>
    </w:p>
    <w:p>
      <w:pPr>
        <w:ind w:left="560" w:hanging="560"/>
        <w:spacing w:after="0"/>
        <w:tabs>
          <w:tab w:leader="none" w:pos="560" w:val="left"/>
        </w:tabs>
        <w:numPr>
          <w:ilvl w:val="0"/>
          <w:numId w:val="179"/>
        </w:numPr>
        <w:rPr>
          <w:rFonts w:ascii="Arial" w:cs="Arial" w:eastAsia="Arial" w:hAnsi="Arial"/>
          <w:sz w:val="17"/>
          <w:szCs w:val="17"/>
          <w:color w:val="auto"/>
        </w:rPr>
      </w:pPr>
      <w:r>
        <w:rPr>
          <w:rFonts w:ascii="Arial" w:cs="Arial" w:eastAsia="Arial" w:hAnsi="Arial"/>
          <w:sz w:val="17"/>
          <w:szCs w:val="17"/>
          <w:b w:val="1"/>
          <w:bCs w:val="1"/>
          <w:u w:val="single" w:color="auto"/>
          <w:color w:val="auto"/>
        </w:rPr>
        <w:t>CHIEF EXECUTIVE OFFICER</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60"/>
        <w:spacing w:after="0" w:line="266" w:lineRule="auto"/>
        <w:rPr>
          <w:sz w:val="20"/>
          <w:szCs w:val="20"/>
          <w:color w:val="auto"/>
        </w:rPr>
      </w:pPr>
      <w:r>
        <w:rPr>
          <w:rFonts w:ascii="Arial" w:cs="Arial" w:eastAsia="Arial" w:hAnsi="Arial"/>
          <w:sz w:val="20"/>
          <w:szCs w:val="20"/>
          <w:color w:val="auto"/>
        </w:rPr>
        <w:t>The Board of Directors shall from time to time appoint one or more persons, whether or not Directors, as Chief Executive Officer of the Company who shall have the powers and authorities set forth in the Companies Law, and may confer upon such person(s), and from time to time modify or revoke, such titles and such duties and authorities of the Board of Directors as the Board of Directors may deem fit, subject to such limitations and restrictions as the Board of Directors may from time to time prescribe. Such appointment(s) may be either for a fixed term or without any limitation of time, and the Board of Directors may from time to time (subject to any additional approvals required under, and the provisions of, the Companies Law and of any contract between any such person and the Company) fix their salaries and compensation, remove or dismiss them from office and appoint another or others in his, her or their place or places.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41845" cy="158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374" w:right="359" w:bottom="1440" w:gutter="0" w:footer="0" w:header="0"/>
        </w:sectPr>
      </w:pPr>
    </w:p>
    <w:bookmarkStart w:id="194" w:name="page195"/>
    <w:bookmarkEnd w:id="194"/>
    <w:p>
      <w:pPr>
        <w:jc w:val="center"/>
        <w:ind w:right="-39"/>
        <w:spacing w:after="0"/>
        <w:rPr>
          <w:sz w:val="20"/>
          <w:szCs w:val="20"/>
          <w:color w:val="auto"/>
        </w:rPr>
      </w:pPr>
      <w:r>
        <w:rPr>
          <w:rFonts w:ascii="Arial" w:cs="Arial" w:eastAsia="Arial" w:hAnsi="Arial"/>
          <w:sz w:val="20"/>
          <w:szCs w:val="20"/>
          <w:b w:val="1"/>
          <w:bCs w:val="1"/>
          <w:color w:val="auto"/>
        </w:rPr>
        <w:t>MINUTES</w:t>
      </w:r>
    </w:p>
    <w:p>
      <w:pPr>
        <w:spacing w:after="0" w:line="268" w:lineRule="exact"/>
        <w:rPr>
          <w:sz w:val="20"/>
          <w:szCs w:val="20"/>
          <w:color w:val="auto"/>
        </w:rPr>
      </w:pPr>
    </w:p>
    <w:p>
      <w:pPr>
        <w:ind w:left="560" w:hanging="560"/>
        <w:spacing w:after="0"/>
        <w:tabs>
          <w:tab w:leader="none" w:pos="560" w:val="left"/>
        </w:tabs>
        <w:numPr>
          <w:ilvl w:val="0"/>
          <w:numId w:val="180"/>
        </w:numPr>
        <w:rPr>
          <w:rFonts w:ascii="Arial" w:cs="Arial" w:eastAsia="Arial" w:hAnsi="Arial"/>
          <w:sz w:val="17"/>
          <w:szCs w:val="17"/>
          <w:color w:val="auto"/>
        </w:rPr>
      </w:pPr>
      <w:r>
        <w:rPr>
          <w:rFonts w:ascii="Arial" w:cs="Arial" w:eastAsia="Arial" w:hAnsi="Arial"/>
          <w:sz w:val="17"/>
          <w:szCs w:val="17"/>
          <w:b w:val="1"/>
          <w:bCs w:val="1"/>
          <w:u w:val="single" w:color="auto"/>
          <w:color w:val="auto"/>
        </w:rPr>
        <w:t>MINUTES</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20"/>
        <w:spacing w:after="0" w:line="271" w:lineRule="auto"/>
        <w:rPr>
          <w:sz w:val="20"/>
          <w:szCs w:val="20"/>
          <w:color w:val="auto"/>
        </w:rPr>
      </w:pPr>
      <w:r>
        <w:rPr>
          <w:rFonts w:ascii="Arial" w:cs="Arial" w:eastAsia="Arial" w:hAnsi="Arial"/>
          <w:sz w:val="20"/>
          <w:szCs w:val="20"/>
          <w:color w:val="auto"/>
        </w:rPr>
        <w:t>Any minutes of the General Meeting or the Board of Directors or any Committee thereof, if purporting to be signed by the Chairperson of the General Meeting, the Board of Directors or a Committee thereof, as the case may be, or by the Chairperson of the next succeeding General Meeting, meeting of the Board of Directors or meeting of a Committee, as the case may be, shall constitute prima facie evidence of the matters recorded therein.</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DIVIDENDS</w:t>
      </w:r>
    </w:p>
    <w:p>
      <w:pPr>
        <w:spacing w:after="0" w:line="268" w:lineRule="exact"/>
        <w:rPr>
          <w:sz w:val="20"/>
          <w:szCs w:val="20"/>
          <w:color w:val="auto"/>
        </w:rPr>
      </w:pPr>
    </w:p>
    <w:p>
      <w:pPr>
        <w:ind w:left="560" w:hanging="560"/>
        <w:spacing w:after="0"/>
        <w:tabs>
          <w:tab w:leader="none" w:pos="560" w:val="left"/>
        </w:tabs>
        <w:numPr>
          <w:ilvl w:val="0"/>
          <w:numId w:val="181"/>
        </w:numPr>
        <w:rPr>
          <w:rFonts w:ascii="Arial" w:cs="Arial" w:eastAsia="Arial" w:hAnsi="Arial"/>
          <w:sz w:val="17"/>
          <w:szCs w:val="17"/>
          <w:color w:val="auto"/>
        </w:rPr>
      </w:pPr>
      <w:r>
        <w:rPr>
          <w:rFonts w:ascii="Arial" w:cs="Arial" w:eastAsia="Arial" w:hAnsi="Arial"/>
          <w:sz w:val="17"/>
          <w:szCs w:val="17"/>
          <w:b w:val="1"/>
          <w:bCs w:val="1"/>
          <w:u w:val="single" w:color="auto"/>
          <w:color w:val="auto"/>
        </w:rPr>
        <w:t>DECLARATION OF DIVIDENDS</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320"/>
        <w:spacing w:after="0" w:line="276" w:lineRule="auto"/>
        <w:rPr>
          <w:sz w:val="20"/>
          <w:szCs w:val="20"/>
          <w:color w:val="auto"/>
        </w:rPr>
      </w:pPr>
      <w:r>
        <w:rPr>
          <w:rFonts w:ascii="Arial" w:cs="Arial" w:eastAsia="Arial" w:hAnsi="Arial"/>
          <w:sz w:val="20"/>
          <w:szCs w:val="20"/>
          <w:color w:val="auto"/>
        </w:rPr>
        <w:t>The Board of Directors may, from time to time, declare, and cause the Company to pay dividends as permitted by the Companies Law. The Board of Directors shall determine the time for payment of such dividends and the record date for determining the shareholders entitled thereto.</w:t>
      </w:r>
    </w:p>
    <w:p>
      <w:pPr>
        <w:spacing w:after="0" w:line="203" w:lineRule="exact"/>
        <w:rPr>
          <w:sz w:val="20"/>
          <w:szCs w:val="20"/>
          <w:color w:val="auto"/>
        </w:rPr>
      </w:pPr>
    </w:p>
    <w:p>
      <w:pPr>
        <w:ind w:left="560" w:hanging="560"/>
        <w:spacing w:after="0"/>
        <w:tabs>
          <w:tab w:leader="none" w:pos="560" w:val="left"/>
        </w:tabs>
        <w:numPr>
          <w:ilvl w:val="0"/>
          <w:numId w:val="182"/>
        </w:numPr>
        <w:rPr>
          <w:rFonts w:ascii="Arial" w:cs="Arial" w:eastAsia="Arial" w:hAnsi="Arial"/>
          <w:sz w:val="17"/>
          <w:szCs w:val="17"/>
          <w:color w:val="auto"/>
        </w:rPr>
      </w:pPr>
      <w:r>
        <w:rPr>
          <w:rFonts w:ascii="Arial" w:cs="Arial" w:eastAsia="Arial" w:hAnsi="Arial"/>
          <w:sz w:val="17"/>
          <w:szCs w:val="17"/>
          <w:b w:val="1"/>
          <w:bCs w:val="1"/>
          <w:u w:val="single" w:color="auto"/>
          <w:color w:val="auto"/>
        </w:rPr>
        <w:t>AMOUNT PAYABLE BY WAY OF DIVIDENDS</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120"/>
        <w:spacing w:after="0" w:line="269" w:lineRule="auto"/>
        <w:rPr>
          <w:sz w:val="20"/>
          <w:szCs w:val="20"/>
          <w:color w:val="auto"/>
        </w:rPr>
      </w:pPr>
      <w:r>
        <w:rPr>
          <w:rFonts w:ascii="Arial" w:cs="Arial" w:eastAsia="Arial" w:hAnsi="Arial"/>
          <w:sz w:val="20"/>
          <w:szCs w:val="20"/>
          <w:color w:val="auto"/>
        </w:rPr>
        <w:t xml:space="preserve">Subject to the provisions of these Articles and subject to the rights or conditions attached at that time to any Share in the capital of the Company granting preferential, special or deferred rights or not granting any rights with respect to dividends, any dividend paid by the Company shall be allocated among the Shareholders (not in default in payment of any sum referred to in Article 13 hereof) entitled thereto on a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basis in proportion to their respective holdings of the issued and outstanding Shares in respect of which such dividends are being paid.</w:t>
      </w:r>
    </w:p>
    <w:p>
      <w:pPr>
        <w:spacing w:after="0" w:line="210" w:lineRule="exact"/>
        <w:rPr>
          <w:sz w:val="20"/>
          <w:szCs w:val="20"/>
          <w:color w:val="auto"/>
        </w:rPr>
      </w:pPr>
    </w:p>
    <w:p>
      <w:pPr>
        <w:ind w:left="560" w:hanging="560"/>
        <w:spacing w:after="0"/>
        <w:tabs>
          <w:tab w:leader="none" w:pos="560" w:val="left"/>
        </w:tabs>
        <w:numPr>
          <w:ilvl w:val="0"/>
          <w:numId w:val="183"/>
        </w:numPr>
        <w:rPr>
          <w:rFonts w:ascii="Arial" w:cs="Arial" w:eastAsia="Arial" w:hAnsi="Arial"/>
          <w:sz w:val="17"/>
          <w:szCs w:val="17"/>
          <w:color w:val="auto"/>
        </w:rPr>
      </w:pPr>
      <w:r>
        <w:rPr>
          <w:rFonts w:ascii="Arial" w:cs="Arial" w:eastAsia="Arial" w:hAnsi="Arial"/>
          <w:sz w:val="17"/>
          <w:szCs w:val="17"/>
          <w:b w:val="1"/>
          <w:bCs w:val="1"/>
          <w:u w:val="single" w:color="auto"/>
          <w:color w:val="auto"/>
        </w:rPr>
        <w:t>INTEREST</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20"/>
          <w:szCs w:val="20"/>
          <w:color w:val="auto"/>
        </w:rPr>
        <w:t>No dividend shall carry interest as against the Company.</w:t>
      </w:r>
    </w:p>
    <w:p>
      <w:pPr>
        <w:spacing w:after="0" w:line="264" w:lineRule="exact"/>
        <w:rPr>
          <w:sz w:val="20"/>
          <w:szCs w:val="20"/>
          <w:color w:val="auto"/>
        </w:rPr>
      </w:pPr>
    </w:p>
    <w:p>
      <w:pPr>
        <w:ind w:left="560" w:hanging="560"/>
        <w:spacing w:after="0"/>
        <w:tabs>
          <w:tab w:leader="none" w:pos="560" w:val="left"/>
        </w:tabs>
        <w:numPr>
          <w:ilvl w:val="0"/>
          <w:numId w:val="184"/>
        </w:numPr>
        <w:rPr>
          <w:rFonts w:ascii="Arial" w:cs="Arial" w:eastAsia="Arial" w:hAnsi="Arial"/>
          <w:sz w:val="17"/>
          <w:szCs w:val="17"/>
          <w:color w:val="auto"/>
        </w:rPr>
      </w:pPr>
      <w:r>
        <w:rPr>
          <w:rFonts w:ascii="Arial" w:cs="Arial" w:eastAsia="Arial" w:hAnsi="Arial"/>
          <w:sz w:val="17"/>
          <w:szCs w:val="17"/>
          <w:b w:val="1"/>
          <w:bCs w:val="1"/>
          <w:u w:val="single" w:color="auto"/>
          <w:color w:val="auto"/>
        </w:rPr>
        <w:t>PAYMENT IN SPECIE</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80"/>
        <w:spacing w:after="0" w:line="271" w:lineRule="auto"/>
        <w:rPr>
          <w:sz w:val="20"/>
          <w:szCs w:val="20"/>
          <w:color w:val="auto"/>
        </w:rPr>
      </w:pPr>
      <w:r>
        <w:rPr>
          <w:rFonts w:ascii="Arial" w:cs="Arial" w:eastAsia="Arial" w:hAnsi="Arial"/>
          <w:sz w:val="20"/>
          <w:szCs w:val="20"/>
          <w:color w:val="auto"/>
        </w:rPr>
        <w:t>If so declared by the Board of Directors, a dividend declared in accordance with Article 50 may be paid, in whole or in part, by the distribution of specific assets of the Company or by distribution of paid up Shares, debentures or other securities of the Company or of any other companies, or in any combination thereof, in each case, the fair value of which shall be determined by the Board of Directors in good faith.</w:t>
      </w:r>
    </w:p>
    <w:p>
      <w:pPr>
        <w:spacing w:after="0" w:line="209" w:lineRule="exact"/>
        <w:rPr>
          <w:sz w:val="20"/>
          <w:szCs w:val="20"/>
          <w:color w:val="auto"/>
        </w:rPr>
      </w:pPr>
    </w:p>
    <w:p>
      <w:pPr>
        <w:ind w:left="560" w:hanging="560"/>
        <w:spacing w:after="0"/>
        <w:tabs>
          <w:tab w:leader="none" w:pos="560" w:val="left"/>
        </w:tabs>
        <w:numPr>
          <w:ilvl w:val="0"/>
          <w:numId w:val="185"/>
        </w:numPr>
        <w:rPr>
          <w:rFonts w:ascii="Arial" w:cs="Arial" w:eastAsia="Arial" w:hAnsi="Arial"/>
          <w:sz w:val="17"/>
          <w:szCs w:val="17"/>
          <w:color w:val="auto"/>
        </w:rPr>
      </w:pPr>
      <w:r>
        <w:rPr>
          <w:rFonts w:ascii="Arial" w:cs="Arial" w:eastAsia="Arial" w:hAnsi="Arial"/>
          <w:sz w:val="17"/>
          <w:szCs w:val="17"/>
          <w:b w:val="1"/>
          <w:bCs w:val="1"/>
          <w:u w:val="single" w:color="auto"/>
          <w:color w:val="auto"/>
        </w:rPr>
        <w:t>IMPLEMENTATION OF POWERS</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spacing w:after="0" w:line="284" w:lineRule="auto"/>
        <w:rPr>
          <w:sz w:val="20"/>
          <w:szCs w:val="20"/>
          <w:color w:val="auto"/>
        </w:rPr>
      </w:pPr>
      <w:r>
        <w:rPr>
          <w:rFonts w:ascii="Arial" w:cs="Arial" w:eastAsia="Arial" w:hAnsi="Arial"/>
          <w:sz w:val="19"/>
          <w:szCs w:val="19"/>
          <w:color w:val="auto"/>
        </w:rPr>
        <w:t>The Board of Directors may settle, as it deems fit, any difficulty arising with regard to the distribution of dividends, bonus shares or otherwise, and in particular, to issue certificates for fractions of shares and sell such fractions of shares in order to pay their consideration to those entitled thereto, or to set the value for the distribution of certain assets and to determine that cash payments shall be paid to the Shareholders on the basis of such value, or that fractions whose value is less than NIS 0.01 shall not be taken into account. The Board of Directors may instruct to pay cash or convey these certain assets to a trustee in favor of those people who are entitled to a dividend, as the Board of Directors shall deem appropriate.</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41845" cy="158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378" w:right="379" w:bottom="1440" w:gutter="0" w:footer="0" w:header="0"/>
        </w:sectPr>
      </w:pPr>
    </w:p>
    <w:bookmarkStart w:id="195" w:name="page196"/>
    <w:bookmarkEnd w:id="195"/>
    <w:p>
      <w:pPr>
        <w:ind w:left="560" w:hanging="560"/>
        <w:spacing w:after="0"/>
        <w:tabs>
          <w:tab w:leader="none" w:pos="560" w:val="left"/>
        </w:tabs>
        <w:numPr>
          <w:ilvl w:val="0"/>
          <w:numId w:val="186"/>
        </w:numPr>
        <w:rPr>
          <w:rFonts w:ascii="Arial" w:cs="Arial" w:eastAsia="Arial" w:hAnsi="Arial"/>
          <w:sz w:val="17"/>
          <w:szCs w:val="17"/>
          <w:color w:val="auto"/>
        </w:rPr>
      </w:pPr>
      <w:r>
        <w:rPr>
          <w:rFonts w:ascii="Arial" w:cs="Arial" w:eastAsia="Arial" w:hAnsi="Arial"/>
          <w:sz w:val="17"/>
          <w:szCs w:val="17"/>
          <w:b w:val="1"/>
          <w:bCs w:val="1"/>
          <w:u w:val="single" w:color="auto"/>
          <w:color w:val="auto"/>
        </w:rPr>
        <w:t>DEDUCTIONS FROM DIVIDENDS</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120"/>
        <w:spacing w:after="0" w:line="276" w:lineRule="auto"/>
        <w:rPr>
          <w:sz w:val="20"/>
          <w:szCs w:val="20"/>
          <w:color w:val="auto"/>
        </w:rPr>
      </w:pPr>
      <w:r>
        <w:rPr>
          <w:rFonts w:ascii="Arial" w:cs="Arial" w:eastAsia="Arial" w:hAnsi="Arial"/>
          <w:sz w:val="20"/>
          <w:szCs w:val="20"/>
          <w:color w:val="auto"/>
        </w:rPr>
        <w:t>The Board of Directors may deduct from any dividend or other moneys payable to any Shareholder in respect of a Share any and all sums of money then payable by him or her to the Company on account of calls or otherwise in respect of Shares of the Company and/or on account of any other matter of transaction whatsoever.</w:t>
      </w:r>
    </w:p>
    <w:p>
      <w:pPr>
        <w:spacing w:after="0" w:line="203" w:lineRule="exact"/>
        <w:rPr>
          <w:sz w:val="20"/>
          <w:szCs w:val="20"/>
          <w:color w:val="auto"/>
        </w:rPr>
      </w:pPr>
    </w:p>
    <w:p>
      <w:pPr>
        <w:ind w:left="560" w:hanging="560"/>
        <w:spacing w:after="0"/>
        <w:tabs>
          <w:tab w:leader="none" w:pos="560" w:val="left"/>
        </w:tabs>
        <w:numPr>
          <w:ilvl w:val="0"/>
          <w:numId w:val="187"/>
        </w:numPr>
        <w:rPr>
          <w:rFonts w:ascii="Arial" w:cs="Arial" w:eastAsia="Arial" w:hAnsi="Arial"/>
          <w:sz w:val="17"/>
          <w:szCs w:val="17"/>
          <w:color w:val="auto"/>
        </w:rPr>
      </w:pPr>
      <w:r>
        <w:rPr>
          <w:rFonts w:ascii="Arial" w:cs="Arial" w:eastAsia="Arial" w:hAnsi="Arial"/>
          <w:sz w:val="17"/>
          <w:szCs w:val="17"/>
          <w:b w:val="1"/>
          <w:bCs w:val="1"/>
          <w:u w:val="single" w:color="auto"/>
          <w:color w:val="auto"/>
        </w:rPr>
        <w:t>RETENTION OF DIVIDENDS</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jc w:val="both"/>
        <w:ind w:left="520" w:right="20" w:hanging="7"/>
        <w:spacing w:after="0" w:line="276" w:lineRule="auto"/>
        <w:tabs>
          <w:tab w:leader="none" w:pos="793" w:val="left"/>
        </w:tabs>
        <w:numPr>
          <w:ilvl w:val="1"/>
          <w:numId w:val="187"/>
        </w:numPr>
        <w:rPr>
          <w:rFonts w:ascii="Arial" w:cs="Arial" w:eastAsia="Arial" w:hAnsi="Arial"/>
          <w:sz w:val="20"/>
          <w:szCs w:val="20"/>
          <w:color w:val="auto"/>
        </w:rPr>
      </w:pPr>
      <w:r>
        <w:rPr>
          <w:rFonts w:ascii="Arial" w:cs="Arial" w:eastAsia="Arial" w:hAnsi="Arial"/>
          <w:sz w:val="20"/>
          <w:szCs w:val="20"/>
          <w:color w:val="auto"/>
        </w:rPr>
        <w:t>The Board of Directors may retain any dividend or other moneys payable or property distributable in respect of a Share on which the Company has a lien, and may apply the same in or toward satisfaction of the debts, liabilities, or engagements in respect of which the lien exists.</w:t>
      </w:r>
    </w:p>
    <w:p>
      <w:pPr>
        <w:spacing w:after="0" w:line="210" w:lineRule="exact"/>
        <w:rPr>
          <w:rFonts w:ascii="Arial" w:cs="Arial" w:eastAsia="Arial" w:hAnsi="Arial"/>
          <w:sz w:val="20"/>
          <w:szCs w:val="20"/>
          <w:color w:val="auto"/>
        </w:rPr>
      </w:pPr>
    </w:p>
    <w:p>
      <w:pPr>
        <w:ind w:left="520" w:right="20" w:hanging="7"/>
        <w:spacing w:after="0" w:line="296" w:lineRule="auto"/>
        <w:tabs>
          <w:tab w:leader="none" w:pos="804" w:val="left"/>
        </w:tabs>
        <w:numPr>
          <w:ilvl w:val="1"/>
          <w:numId w:val="187"/>
        </w:numPr>
        <w:rPr>
          <w:rFonts w:ascii="Arial" w:cs="Arial" w:eastAsia="Arial" w:hAnsi="Arial"/>
          <w:sz w:val="19"/>
          <w:szCs w:val="19"/>
          <w:color w:val="auto"/>
        </w:rPr>
      </w:pPr>
      <w:r>
        <w:rPr>
          <w:rFonts w:ascii="Arial" w:cs="Arial" w:eastAsia="Arial" w:hAnsi="Arial"/>
          <w:sz w:val="19"/>
          <w:szCs w:val="19"/>
          <w:color w:val="auto"/>
        </w:rPr>
        <w:t>The Board of Directors may retain any dividend or other moneys payable or property distributable in respect of a Share in respect of which any person is, under Articles 21 or 22, entitled to become a Shareholder, or which any person is, under said Articles, entitled to transfer, until such person shall become a Shareholder in respect of such Share or shall transfer the same.</w:t>
      </w:r>
    </w:p>
    <w:p>
      <w:pPr>
        <w:spacing w:after="0" w:line="188" w:lineRule="exact"/>
        <w:rPr>
          <w:rFonts w:ascii="Arial" w:cs="Arial" w:eastAsia="Arial" w:hAnsi="Arial"/>
          <w:sz w:val="19"/>
          <w:szCs w:val="19"/>
          <w:color w:val="auto"/>
        </w:rPr>
      </w:pPr>
    </w:p>
    <w:p>
      <w:pPr>
        <w:ind w:left="560" w:hanging="560"/>
        <w:spacing w:after="0"/>
        <w:tabs>
          <w:tab w:leader="none" w:pos="560" w:val="left"/>
        </w:tabs>
        <w:numPr>
          <w:ilvl w:val="0"/>
          <w:numId w:val="187"/>
        </w:numPr>
        <w:rPr>
          <w:rFonts w:ascii="Arial" w:cs="Arial" w:eastAsia="Arial" w:hAnsi="Arial"/>
          <w:sz w:val="17"/>
          <w:szCs w:val="17"/>
          <w:color w:val="auto"/>
        </w:rPr>
      </w:pPr>
      <w:r>
        <w:rPr>
          <w:rFonts w:ascii="Arial" w:cs="Arial" w:eastAsia="Arial" w:hAnsi="Arial"/>
          <w:sz w:val="17"/>
          <w:szCs w:val="17"/>
          <w:b w:val="1"/>
          <w:bCs w:val="1"/>
          <w:u w:val="single" w:color="auto"/>
          <w:color w:val="auto"/>
        </w:rPr>
        <w:t>UNCLAIMED DIVIDENDS</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300"/>
        <w:spacing w:after="0" w:line="290" w:lineRule="auto"/>
        <w:rPr>
          <w:sz w:val="20"/>
          <w:szCs w:val="20"/>
          <w:color w:val="auto"/>
        </w:rPr>
      </w:pPr>
      <w:r>
        <w:rPr>
          <w:rFonts w:ascii="Arial" w:cs="Arial" w:eastAsia="Arial" w:hAnsi="Arial"/>
          <w:sz w:val="20"/>
          <w:szCs w:val="20"/>
          <w:color w:val="auto"/>
        </w:rPr>
        <w:t>All unclaimed dividends or other moneys payable in respect of a Share may be invested or otherwise made use of by the Board of Directors for the benefit of the Company until claimed.</w:t>
      </w:r>
    </w:p>
    <w:p>
      <w:pPr>
        <w:spacing w:after="0" w:line="197" w:lineRule="exact"/>
        <w:rPr>
          <w:sz w:val="20"/>
          <w:szCs w:val="20"/>
          <w:color w:val="auto"/>
        </w:rPr>
      </w:pPr>
    </w:p>
    <w:p>
      <w:pPr>
        <w:ind w:left="520" w:right="60"/>
        <w:spacing w:after="0" w:line="282" w:lineRule="auto"/>
        <w:rPr>
          <w:sz w:val="20"/>
          <w:szCs w:val="20"/>
          <w:color w:val="auto"/>
        </w:rPr>
      </w:pPr>
      <w:r>
        <w:rPr>
          <w:rFonts w:ascii="Arial" w:cs="Arial" w:eastAsia="Arial" w:hAnsi="Arial"/>
          <w:sz w:val="19"/>
          <w:szCs w:val="19"/>
          <w:color w:val="auto"/>
        </w:rPr>
        <w:t xml:space="preserve">The payment of any unclaimed dividend or such other moneys into a separate account shall not constitute the Company a trustee in respect thereof, and any dividend unclaimed after a period of one (1) year (or such other period determined by the Board of Directors) from the date of declaration of such dividend, and any such other moneys unclaimed after a like period from the date the same were payable, shall be forfeited and shall revert to the Company,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the Board of Directors may, at its discretion, cause the Company to pay any such dividend or such other moneys, or any part thereof, to a person who would have been entitled thereto had the same not reverted to the Company. The principal (and only the principal) of any unclaimed dividend of such other moneys shall be if claimed, paid to a person entitled thereto.</w:t>
      </w:r>
    </w:p>
    <w:p>
      <w:pPr>
        <w:spacing w:after="0" w:line="204" w:lineRule="exact"/>
        <w:rPr>
          <w:sz w:val="20"/>
          <w:szCs w:val="20"/>
          <w:color w:val="auto"/>
        </w:rPr>
      </w:pPr>
    </w:p>
    <w:p>
      <w:pPr>
        <w:ind w:left="560" w:hanging="560"/>
        <w:spacing w:after="0"/>
        <w:tabs>
          <w:tab w:leader="none" w:pos="560" w:val="left"/>
        </w:tabs>
        <w:numPr>
          <w:ilvl w:val="0"/>
          <w:numId w:val="188"/>
        </w:numPr>
        <w:rPr>
          <w:rFonts w:ascii="Arial" w:cs="Arial" w:eastAsia="Arial" w:hAnsi="Arial"/>
          <w:sz w:val="17"/>
          <w:szCs w:val="17"/>
          <w:color w:val="auto"/>
        </w:rPr>
      </w:pPr>
      <w:r>
        <w:rPr>
          <w:rFonts w:ascii="Arial" w:cs="Arial" w:eastAsia="Arial" w:hAnsi="Arial"/>
          <w:sz w:val="17"/>
          <w:szCs w:val="17"/>
          <w:b w:val="1"/>
          <w:bCs w:val="1"/>
          <w:u w:val="single" w:color="auto"/>
          <w:color w:val="auto"/>
        </w:rPr>
        <w:t>MECHANICS OF PAYMENT</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spacing w:after="0" w:line="279" w:lineRule="auto"/>
        <w:rPr>
          <w:sz w:val="20"/>
          <w:szCs w:val="20"/>
          <w:color w:val="auto"/>
        </w:rPr>
      </w:pPr>
      <w:r>
        <w:rPr>
          <w:rFonts w:ascii="Arial" w:cs="Arial" w:eastAsia="Arial" w:hAnsi="Arial"/>
          <w:sz w:val="19"/>
          <w:szCs w:val="19"/>
          <w:color w:val="auto"/>
        </w:rPr>
        <w:t>Any dividend or other moneys payable in cash in respect of a Share, less the tax required to be withheld pursuant to applicable law, may, as determined by the Board of Directors in its sole discretion, be paid by check or warrant sent through the post to, or left at, the registered address of the person entitled thereto or by transfer to a bank account specified by such person (or, if two (2) or more persons are registered as joint holders of such Share or are entitled jointly thereto in consequence of the death or bankruptcy of the holder or otherwise, to any one of such persons or his or her bank account or the person who the Company may then recognize as the owner thereof or entitled thereto under Article 21 or 22 hereof, as applicable, or such person’s bank account), or to such person and at such other address as the person entitled thereto may by writing direct, or in any other manner the Board of Directors deems appropriate. Every such check or warrant or other method of payment shall be made payable to the order of the person to whom it is sent, or to such person as the person entitled thereto as aforesaid may direct, and payment of the check or warrant by the banker upon whom it is drawn shall be a good discharge to the Company. Every such check shall be sent at the risk of the person entitled to the money represented thereby.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ACCOUNTS</w:t>
      </w:r>
    </w:p>
    <w:p>
      <w:pPr>
        <w:spacing w:after="0" w:line="268" w:lineRule="exact"/>
        <w:rPr>
          <w:sz w:val="20"/>
          <w:szCs w:val="20"/>
          <w:color w:val="auto"/>
        </w:rPr>
      </w:pPr>
    </w:p>
    <w:p>
      <w:pPr>
        <w:ind w:left="560" w:hanging="560"/>
        <w:spacing w:after="0"/>
        <w:tabs>
          <w:tab w:leader="none" w:pos="560" w:val="left"/>
        </w:tabs>
        <w:numPr>
          <w:ilvl w:val="0"/>
          <w:numId w:val="189"/>
        </w:numPr>
        <w:rPr>
          <w:rFonts w:ascii="Arial" w:cs="Arial" w:eastAsia="Arial" w:hAnsi="Arial"/>
          <w:sz w:val="17"/>
          <w:szCs w:val="17"/>
          <w:color w:val="auto"/>
        </w:rPr>
      </w:pPr>
      <w:r>
        <w:rPr>
          <w:rFonts w:ascii="Arial" w:cs="Arial" w:eastAsia="Arial" w:hAnsi="Arial"/>
          <w:sz w:val="17"/>
          <w:szCs w:val="17"/>
          <w:b w:val="1"/>
          <w:bCs w:val="1"/>
          <w:u w:val="single" w:color="auto"/>
          <w:color w:val="auto"/>
        </w:rPr>
        <w:t>BOOKS OF ACCOUNT</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60"/>
        <w:spacing w:after="0" w:line="267" w:lineRule="auto"/>
        <w:rPr>
          <w:sz w:val="20"/>
          <w:szCs w:val="20"/>
          <w:color w:val="auto"/>
        </w:rPr>
      </w:pPr>
      <w:r>
        <w:rPr>
          <w:rFonts w:ascii="Arial" w:cs="Arial" w:eastAsia="Arial" w:hAnsi="Arial"/>
          <w:sz w:val="20"/>
          <w:szCs w:val="20"/>
          <w:color w:val="auto"/>
        </w:rPr>
        <w:t>The Company’s books of account shall be kept at the Office of the Company, or at such other place or places as the Board of Directors may think fit, and they shall always be open to inspection by all Directors. No shareholder, not being a Director, shall have any right to inspect any account or book or other similar document of the Company, except as explicitly conferred by law or authorized by the Board of Directors. The Company shall make copies of its annual financial statements available for inspection by the Shareholders at the principal offices of the Company. The Company shall not be required to send copies of its annual financial statements to the Shareholders.</w:t>
      </w:r>
    </w:p>
    <w:p>
      <w:pPr>
        <w:spacing w:after="0" w:line="214" w:lineRule="exact"/>
        <w:rPr>
          <w:sz w:val="20"/>
          <w:szCs w:val="20"/>
          <w:color w:val="auto"/>
        </w:rPr>
      </w:pPr>
    </w:p>
    <w:p>
      <w:pPr>
        <w:ind w:left="560" w:hanging="560"/>
        <w:spacing w:after="0"/>
        <w:tabs>
          <w:tab w:leader="none" w:pos="560" w:val="left"/>
        </w:tabs>
        <w:numPr>
          <w:ilvl w:val="0"/>
          <w:numId w:val="190"/>
        </w:numPr>
        <w:rPr>
          <w:rFonts w:ascii="Arial" w:cs="Arial" w:eastAsia="Arial" w:hAnsi="Arial"/>
          <w:sz w:val="17"/>
          <w:szCs w:val="17"/>
          <w:color w:val="auto"/>
        </w:rPr>
      </w:pPr>
      <w:r>
        <w:rPr>
          <w:rFonts w:ascii="Arial" w:cs="Arial" w:eastAsia="Arial" w:hAnsi="Arial"/>
          <w:sz w:val="17"/>
          <w:szCs w:val="17"/>
          <w:b w:val="1"/>
          <w:bCs w:val="1"/>
          <w:u w:val="single" w:color="auto"/>
          <w:color w:val="auto"/>
        </w:rPr>
        <w:t>AUDITORS</w:t>
      </w:r>
      <w:r>
        <w:rPr>
          <w:rFonts w:ascii="Arial" w:cs="Arial" w:eastAsia="Arial" w:hAnsi="Arial"/>
          <w:sz w:val="17"/>
          <w:szCs w:val="17"/>
          <w:color w:val="auto"/>
        </w:rPr>
        <w:t>.</w:t>
      </w:r>
    </w:p>
    <w:p>
      <w:pPr>
        <w:spacing w:after="0" w:line="264" w:lineRule="exact"/>
        <w:rPr>
          <w:sz w:val="20"/>
          <w:szCs w:val="20"/>
          <w:color w:val="auto"/>
        </w:rPr>
      </w:pPr>
    </w:p>
    <w:p>
      <w:pPr>
        <w:ind w:left="520" w:right="40"/>
        <w:spacing w:after="0" w:line="281" w:lineRule="auto"/>
        <w:rPr>
          <w:sz w:val="20"/>
          <w:szCs w:val="20"/>
          <w:color w:val="auto"/>
        </w:rPr>
      </w:pPr>
      <w:r>
        <w:rPr>
          <w:rFonts w:ascii="Arial" w:cs="Arial" w:eastAsia="Arial" w:hAnsi="Arial"/>
          <w:sz w:val="19"/>
          <w:szCs w:val="19"/>
          <w:color w:val="auto"/>
        </w:rPr>
        <w:t>The appointment, authorities, rights and duties of the auditor(s) of the Company, shall be regulated by applicable law, provided, however, that in exercising its authority to fix the remuneration of the auditor(s), the Shareholders in General Meeting may act (and in the absence of any action in connection therewith shall be deemed to have so acted) to authorize the Board of Directors (with right of delegation to a Committee thereof or to management) to fix such remuneration subject to such criteria or standards, and if no such criteria or standards are so provided, such remuneration shall be fixed in an amount commensurate with the volume and nature of the services rendered by such auditor(s). The General Meeting may, if so recommended by the Board of Directors, appoint the auditors for a period that may extend until the third Annual General Meeting after the Annual General Meeting in which the auditors were appointed.</w:t>
      </w:r>
    </w:p>
    <w:p>
      <w:pPr>
        <w:sectPr>
          <w:pgSz w:w="11900" w:h="16838" w:orient="portrait"/>
          <w:cols w:equalWidth="0" w:num="1">
            <w:col w:w="11240"/>
          </w:cols>
          <w:pgMar w:left="320" w:top="374" w:right="339" w:bottom="87" w:gutter="0" w:footer="0" w:header="0"/>
        </w:sectPr>
      </w:pPr>
    </w:p>
    <w:bookmarkStart w:id="196" w:name="page197"/>
    <w:bookmarkEnd w:id="196"/>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56515</wp:posOffset>
            </wp:positionV>
            <wp:extent cx="7141845" cy="158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97" w:name="page198"/>
    <w:bookmarkEnd w:id="197"/>
    <w:p>
      <w:pPr>
        <w:ind w:left="560" w:hanging="560"/>
        <w:spacing w:after="0"/>
        <w:tabs>
          <w:tab w:leader="none" w:pos="560" w:val="left"/>
        </w:tabs>
        <w:numPr>
          <w:ilvl w:val="0"/>
          <w:numId w:val="191"/>
        </w:numPr>
        <w:rPr>
          <w:rFonts w:ascii="Arial" w:cs="Arial" w:eastAsia="Arial" w:hAnsi="Arial"/>
          <w:sz w:val="17"/>
          <w:szCs w:val="17"/>
          <w:color w:val="auto"/>
        </w:rPr>
      </w:pPr>
      <w:r>
        <w:rPr>
          <w:rFonts w:ascii="Arial" w:cs="Arial" w:eastAsia="Arial" w:hAnsi="Arial"/>
          <w:sz w:val="17"/>
          <w:szCs w:val="17"/>
          <w:b w:val="1"/>
          <w:bCs w:val="1"/>
          <w:u w:val="single" w:color="auto"/>
          <w:color w:val="auto"/>
        </w:rPr>
        <w:t>FISCAL YEAR</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20"/>
          <w:szCs w:val="20"/>
          <w:color w:val="auto"/>
        </w:rPr>
        <w:t>The fiscal year of the Company shall be the 12 months period ending on December 31 of each calendar year.</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SUPPLEMENTARY REGISTERS</w:t>
      </w:r>
    </w:p>
    <w:p>
      <w:pPr>
        <w:spacing w:after="0" w:line="268" w:lineRule="exact"/>
        <w:rPr>
          <w:sz w:val="20"/>
          <w:szCs w:val="20"/>
          <w:color w:val="auto"/>
        </w:rPr>
      </w:pPr>
    </w:p>
    <w:p>
      <w:pPr>
        <w:ind w:left="560" w:hanging="560"/>
        <w:spacing w:after="0"/>
        <w:tabs>
          <w:tab w:leader="none" w:pos="560" w:val="left"/>
        </w:tabs>
        <w:numPr>
          <w:ilvl w:val="0"/>
          <w:numId w:val="192"/>
        </w:numPr>
        <w:rPr>
          <w:rFonts w:ascii="Arial" w:cs="Arial" w:eastAsia="Arial" w:hAnsi="Arial"/>
          <w:sz w:val="17"/>
          <w:szCs w:val="17"/>
          <w:color w:val="auto"/>
        </w:rPr>
      </w:pPr>
      <w:r>
        <w:rPr>
          <w:rFonts w:ascii="Arial" w:cs="Arial" w:eastAsia="Arial" w:hAnsi="Arial"/>
          <w:sz w:val="17"/>
          <w:szCs w:val="17"/>
          <w:b w:val="1"/>
          <w:bCs w:val="1"/>
          <w:u w:val="single" w:color="auto"/>
          <w:color w:val="auto"/>
        </w:rPr>
        <w:t>SUPPLEMENTARY REGISTERS</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140"/>
        <w:spacing w:after="0" w:line="271" w:lineRule="auto"/>
        <w:rPr>
          <w:sz w:val="20"/>
          <w:szCs w:val="20"/>
          <w:color w:val="auto"/>
        </w:rPr>
      </w:pPr>
      <w:r>
        <w:rPr>
          <w:rFonts w:ascii="Arial" w:cs="Arial" w:eastAsia="Arial" w:hAnsi="Arial"/>
          <w:sz w:val="20"/>
          <w:szCs w:val="20"/>
          <w:color w:val="auto"/>
        </w:rPr>
        <w:t>Subject to and in accordance with the provisions of Sections 138 and 139 of the Companies Law, the Company may cause supplementary registers to be kept in any place outside Israel as the Board of Directors may think fit, and, subject to all applicable requirements of law, the Board of Directors may from time to time adopt such rules and procedures as it may think fit in connection with the keeping of such branch registers.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EXEMPTION, INDEMNITY AND INSURANCE</w:t>
      </w:r>
    </w:p>
    <w:p>
      <w:pPr>
        <w:spacing w:after="0" w:line="268" w:lineRule="exact"/>
        <w:rPr>
          <w:sz w:val="20"/>
          <w:szCs w:val="20"/>
          <w:color w:val="auto"/>
        </w:rPr>
      </w:pPr>
    </w:p>
    <w:p>
      <w:pPr>
        <w:ind w:left="560" w:hanging="560"/>
        <w:spacing w:after="0"/>
        <w:tabs>
          <w:tab w:leader="none" w:pos="560" w:val="left"/>
        </w:tabs>
        <w:numPr>
          <w:ilvl w:val="0"/>
          <w:numId w:val="193"/>
        </w:numPr>
        <w:rPr>
          <w:rFonts w:ascii="Arial" w:cs="Arial" w:eastAsia="Arial" w:hAnsi="Arial"/>
          <w:sz w:val="17"/>
          <w:szCs w:val="17"/>
          <w:color w:val="auto"/>
        </w:rPr>
      </w:pPr>
      <w:r>
        <w:rPr>
          <w:rFonts w:ascii="Arial" w:cs="Arial" w:eastAsia="Arial" w:hAnsi="Arial"/>
          <w:sz w:val="17"/>
          <w:szCs w:val="17"/>
          <w:b w:val="1"/>
          <w:bCs w:val="1"/>
          <w:u w:val="single" w:color="auto"/>
          <w:color w:val="auto"/>
        </w:rPr>
        <w:t>INSURANCE</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spacing w:after="0" w:line="271" w:lineRule="auto"/>
        <w:rPr>
          <w:sz w:val="20"/>
          <w:szCs w:val="20"/>
          <w:color w:val="auto"/>
        </w:rPr>
      </w:pPr>
      <w:r>
        <w:rPr>
          <w:rFonts w:ascii="Arial" w:cs="Arial" w:eastAsia="Arial" w:hAnsi="Arial"/>
          <w:sz w:val="20"/>
          <w:szCs w:val="20"/>
          <w:color w:val="auto"/>
        </w:rPr>
        <w:t>Subject to the provisions of the Companies Law with regard to such matters, the Company may enter into a contract for the insurance of the liability, in whole or in part, of any of its Office Holders imposed on such Office Holder due to an act performed by or an omission of the Office Holder in the Office Holder’s capacity as an Office Holder of the Company arising from any matter permitted by law, including the following:</w:t>
      </w:r>
    </w:p>
    <w:p>
      <w:pPr>
        <w:spacing w:after="0" w:line="217" w:lineRule="exact"/>
        <w:rPr>
          <w:sz w:val="20"/>
          <w:szCs w:val="20"/>
          <w:color w:val="auto"/>
        </w:rPr>
      </w:pPr>
    </w:p>
    <w:p>
      <w:pPr>
        <w:ind w:left="780" w:hanging="267"/>
        <w:spacing w:after="0"/>
        <w:tabs>
          <w:tab w:leader="none" w:pos="780" w:val="left"/>
        </w:tabs>
        <w:numPr>
          <w:ilvl w:val="1"/>
          <w:numId w:val="194"/>
        </w:numPr>
        <w:rPr>
          <w:rFonts w:ascii="Arial" w:cs="Arial" w:eastAsia="Arial" w:hAnsi="Arial"/>
          <w:sz w:val="20"/>
          <w:szCs w:val="20"/>
          <w:color w:val="auto"/>
        </w:rPr>
      </w:pPr>
      <w:r>
        <w:rPr>
          <w:rFonts w:ascii="Arial" w:cs="Arial" w:eastAsia="Arial" w:hAnsi="Arial"/>
          <w:sz w:val="20"/>
          <w:szCs w:val="20"/>
          <w:color w:val="auto"/>
        </w:rPr>
        <w:t>a breach of duty of care to the Company or to any other person;</w:t>
      </w:r>
    </w:p>
    <w:p>
      <w:pPr>
        <w:spacing w:after="0" w:line="272" w:lineRule="exact"/>
        <w:rPr>
          <w:rFonts w:ascii="Arial" w:cs="Arial" w:eastAsia="Arial" w:hAnsi="Arial"/>
          <w:sz w:val="20"/>
          <w:szCs w:val="20"/>
          <w:color w:val="auto"/>
        </w:rPr>
      </w:pPr>
    </w:p>
    <w:p>
      <w:pPr>
        <w:ind w:left="520" w:right="420" w:hanging="7"/>
        <w:spacing w:after="0" w:line="318" w:lineRule="auto"/>
        <w:tabs>
          <w:tab w:leader="none" w:pos="804" w:val="left"/>
        </w:tabs>
        <w:numPr>
          <w:ilvl w:val="1"/>
          <w:numId w:val="194"/>
        </w:numPr>
        <w:rPr>
          <w:rFonts w:ascii="Arial" w:cs="Arial" w:eastAsia="Arial" w:hAnsi="Arial"/>
          <w:sz w:val="19"/>
          <w:szCs w:val="19"/>
          <w:color w:val="auto"/>
        </w:rPr>
      </w:pPr>
      <w:r>
        <w:rPr>
          <w:rFonts w:ascii="Arial" w:cs="Arial" w:eastAsia="Arial" w:hAnsi="Arial"/>
          <w:sz w:val="19"/>
          <w:szCs w:val="19"/>
          <w:color w:val="auto"/>
        </w:rPr>
        <w:t>a breach of his or her duty of loyalty to the Company, provided that the Office Holder acted in good faith and had reasonable grounds to assume that act that resulted in such breach would not prejudice the interests of the Company;</w:t>
      </w:r>
    </w:p>
    <w:p>
      <w:pPr>
        <w:spacing w:after="0" w:line="174" w:lineRule="exact"/>
        <w:rPr>
          <w:rFonts w:ascii="Arial" w:cs="Arial" w:eastAsia="Arial" w:hAnsi="Arial"/>
          <w:sz w:val="19"/>
          <w:szCs w:val="19"/>
          <w:color w:val="auto"/>
        </w:rPr>
      </w:pPr>
    </w:p>
    <w:p>
      <w:pPr>
        <w:ind w:left="780" w:hanging="267"/>
        <w:spacing w:after="0"/>
        <w:tabs>
          <w:tab w:leader="none" w:pos="780" w:val="left"/>
        </w:tabs>
        <w:numPr>
          <w:ilvl w:val="1"/>
          <w:numId w:val="194"/>
        </w:numPr>
        <w:rPr>
          <w:rFonts w:ascii="Arial" w:cs="Arial" w:eastAsia="Arial" w:hAnsi="Arial"/>
          <w:sz w:val="20"/>
          <w:szCs w:val="20"/>
          <w:color w:val="auto"/>
        </w:rPr>
      </w:pPr>
      <w:r>
        <w:rPr>
          <w:rFonts w:ascii="Arial" w:cs="Arial" w:eastAsia="Arial" w:hAnsi="Arial"/>
          <w:sz w:val="20"/>
          <w:szCs w:val="20"/>
          <w:color w:val="auto"/>
        </w:rPr>
        <w:t>a financial liability imposed on such Office Holder in favor of any other person; and</w:t>
      </w:r>
    </w:p>
    <w:p>
      <w:pPr>
        <w:spacing w:after="0" w:line="272" w:lineRule="exact"/>
        <w:rPr>
          <w:rFonts w:ascii="Arial" w:cs="Arial" w:eastAsia="Arial" w:hAnsi="Arial"/>
          <w:sz w:val="20"/>
          <w:szCs w:val="20"/>
          <w:color w:val="auto"/>
        </w:rPr>
      </w:pPr>
    </w:p>
    <w:p>
      <w:pPr>
        <w:jc w:val="both"/>
        <w:ind w:left="520" w:right="60" w:hanging="7"/>
        <w:spacing w:after="0" w:line="310" w:lineRule="auto"/>
        <w:tabs>
          <w:tab w:leader="none" w:pos="804"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any other event, occurrence, matters or circumstances under any law with respect to which the Company may, or will be able to, insure an Office Holder, and to the extent such law requires the inclusion of a provision permitting such insurance in these Articles, then such provision is deemed to be included and incorporated herein by reference (including, without limitation, in accordance with Section 56h(b)(1) of the Securities Law, if and to the extent applicable, and Section 50P of the Economic Competition Law).</w:t>
      </w:r>
    </w:p>
    <w:p>
      <w:pPr>
        <w:spacing w:after="0" w:line="178" w:lineRule="exact"/>
        <w:rPr>
          <w:rFonts w:ascii="Arial" w:cs="Arial" w:eastAsia="Arial" w:hAnsi="Arial"/>
          <w:sz w:val="18"/>
          <w:szCs w:val="18"/>
          <w:color w:val="auto"/>
        </w:rPr>
      </w:pPr>
    </w:p>
    <w:p>
      <w:pPr>
        <w:ind w:left="560" w:hanging="560"/>
        <w:spacing w:after="0"/>
        <w:tabs>
          <w:tab w:leader="none" w:pos="560" w:val="left"/>
        </w:tabs>
        <w:numPr>
          <w:ilvl w:val="0"/>
          <w:numId w:val="195"/>
        </w:numPr>
        <w:rPr>
          <w:rFonts w:ascii="Arial" w:cs="Arial" w:eastAsia="Arial" w:hAnsi="Arial"/>
          <w:sz w:val="17"/>
          <w:szCs w:val="17"/>
          <w:color w:val="auto"/>
        </w:rPr>
      </w:pPr>
      <w:r>
        <w:rPr>
          <w:rFonts w:ascii="Arial" w:cs="Arial" w:eastAsia="Arial" w:hAnsi="Arial"/>
          <w:sz w:val="17"/>
          <w:szCs w:val="17"/>
          <w:b w:val="1"/>
          <w:bCs w:val="1"/>
          <w:u w:val="single" w:color="auto"/>
          <w:color w:val="auto"/>
        </w:rPr>
        <w:t>INDEMNITY</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ind w:left="520" w:right="120" w:hanging="7"/>
        <w:spacing w:after="0" w:line="310" w:lineRule="auto"/>
        <w:tabs>
          <w:tab w:leader="none" w:pos="793" w:val="left"/>
        </w:tabs>
        <w:numPr>
          <w:ilvl w:val="1"/>
          <w:numId w:val="195"/>
        </w:numPr>
        <w:rPr>
          <w:rFonts w:ascii="Arial" w:cs="Arial" w:eastAsia="Arial" w:hAnsi="Arial"/>
          <w:sz w:val="18"/>
          <w:szCs w:val="18"/>
          <w:color w:val="auto"/>
        </w:rPr>
      </w:pPr>
      <w:r>
        <w:rPr>
          <w:rFonts w:ascii="Arial" w:cs="Arial" w:eastAsia="Arial" w:hAnsi="Arial"/>
          <w:sz w:val="18"/>
          <w:szCs w:val="18"/>
          <w:color w:val="auto"/>
        </w:rPr>
        <w:t>Subject to the provisions of the Companies Law, the Company may retroactively indemnify an Office Holder of the Company to the maximum extent permitted under applicable law, including with respect to the following liabilities and expenses, provided that such liabilities or expenses were imposed on such Office Holder or incurred by such Office Holder due to an act performed by or an omission of the Office Holder in such Office Holder’s capacity as an Office Holder of the Company:</w:t>
      </w:r>
    </w:p>
    <w:p>
      <w:pPr>
        <w:spacing w:after="0" w:line="185" w:lineRule="exact"/>
        <w:rPr>
          <w:rFonts w:ascii="Arial" w:cs="Arial" w:eastAsia="Arial" w:hAnsi="Arial"/>
          <w:sz w:val="18"/>
          <w:szCs w:val="18"/>
          <w:color w:val="auto"/>
        </w:rPr>
      </w:pPr>
    </w:p>
    <w:p>
      <w:pPr>
        <w:ind w:left="1020" w:right="260" w:firstLine="5"/>
        <w:spacing w:after="0" w:line="290" w:lineRule="auto"/>
        <w:tabs>
          <w:tab w:leader="none" w:pos="1260" w:val="left"/>
        </w:tabs>
        <w:numPr>
          <w:ilvl w:val="2"/>
          <w:numId w:val="195"/>
        </w:numPr>
        <w:rPr>
          <w:rFonts w:ascii="Arial" w:cs="Arial" w:eastAsia="Arial" w:hAnsi="Arial"/>
          <w:sz w:val="20"/>
          <w:szCs w:val="20"/>
          <w:color w:val="auto"/>
        </w:rPr>
      </w:pPr>
      <w:r>
        <w:rPr>
          <w:rFonts w:ascii="Arial" w:cs="Arial" w:eastAsia="Arial" w:hAnsi="Arial"/>
          <w:sz w:val="20"/>
          <w:szCs w:val="20"/>
          <w:color w:val="auto"/>
        </w:rPr>
        <w:t>a financial liability imposed on an Office Holder in favor of another person by any court judgment, including a judgment given as a result of a settlement or an arbitrator’s award which has been confirmed by a court;</w:t>
      </w:r>
    </w:p>
    <w:p>
      <w:pPr>
        <w:spacing w:after="0" w:line="197" w:lineRule="exact"/>
        <w:rPr>
          <w:rFonts w:ascii="Arial" w:cs="Arial" w:eastAsia="Arial" w:hAnsi="Arial"/>
          <w:sz w:val="20"/>
          <w:szCs w:val="20"/>
          <w:color w:val="auto"/>
        </w:rPr>
      </w:pPr>
    </w:p>
    <w:p>
      <w:pPr>
        <w:ind w:left="1020" w:right="140" w:firstLine="5"/>
        <w:spacing w:after="0" w:line="294" w:lineRule="auto"/>
        <w:tabs>
          <w:tab w:leader="none" w:pos="1316" w:val="left"/>
        </w:tabs>
        <w:numPr>
          <w:ilvl w:val="2"/>
          <w:numId w:val="195"/>
        </w:numPr>
        <w:rPr>
          <w:rFonts w:ascii="Arial" w:cs="Arial" w:eastAsia="Arial" w:hAnsi="Arial"/>
          <w:sz w:val="18"/>
          <w:szCs w:val="18"/>
          <w:color w:val="auto"/>
        </w:rPr>
      </w:pPr>
      <w:r>
        <w:rPr>
          <w:rFonts w:ascii="Arial" w:cs="Arial" w:eastAsia="Arial" w:hAnsi="Arial"/>
          <w:sz w:val="18"/>
          <w:szCs w:val="18"/>
          <w:color w:val="auto"/>
        </w:rPr>
        <w:t>reasonable litigation expenses, including legal fees, expended by the Office Holder (A) as a result of an investigation or proceeding instituted against him or her by an authority authorized to conduct such investigation or proceeding, provided that</w:t>
      </w:r>
    </w:p>
    <w:p>
      <w:pPr>
        <w:ind w:left="1020" w:right="140"/>
        <w:spacing w:after="0" w:line="308" w:lineRule="auto"/>
        <w:rPr>
          <w:rFonts w:ascii="Arial" w:cs="Arial" w:eastAsia="Arial" w:hAnsi="Arial"/>
          <w:sz w:val="18"/>
          <w:szCs w:val="18"/>
          <w:color w:val="auto"/>
        </w:rPr>
      </w:pPr>
      <w:r>
        <w:rPr>
          <w:rFonts w:ascii="Arial" w:cs="Arial" w:eastAsia="Arial" w:hAnsi="Arial"/>
          <w:sz w:val="18"/>
          <w:szCs w:val="18"/>
          <w:color w:val="auto"/>
        </w:rPr>
        <w:t>(1) no indictment (as defined in the Companies Law) was filed against such Office Holder as a result of such investigation or proceeding; and (2) no financial liability in lieu of a criminal proceeding (as defined in the Companies Law) was imposed upon him or her as a result of such investigation or proceeding or if such financial liability was imposed, it was imposed with respect to an offense that does not require proof of criminal intent or (B) in connection with a financial sanction;</w:t>
      </w:r>
    </w:p>
    <w:p>
      <w:pPr>
        <w:spacing w:after="0" w:line="337" w:lineRule="exact"/>
        <w:rPr>
          <w:rFonts w:ascii="Arial" w:cs="Arial" w:eastAsia="Arial" w:hAnsi="Arial"/>
          <w:sz w:val="18"/>
          <w:szCs w:val="18"/>
          <w:color w:val="auto"/>
        </w:rPr>
      </w:pPr>
    </w:p>
    <w:p>
      <w:pPr>
        <w:ind w:left="5520" w:hanging="114"/>
        <w:spacing w:after="0"/>
        <w:tabs>
          <w:tab w:leader="none" w:pos="5520" w:val="left"/>
        </w:tabs>
        <w:numPr>
          <w:ilvl w:val="3"/>
          <w:numId w:val="195"/>
        </w:numPr>
        <w:rPr>
          <w:rFonts w:ascii="Arial" w:cs="Arial" w:eastAsia="Arial" w:hAnsi="Arial"/>
          <w:sz w:val="20"/>
          <w:szCs w:val="20"/>
          <w:color w:val="auto"/>
        </w:rPr>
      </w:pPr>
      <w:r>
        <w:rPr>
          <w:rFonts w:ascii="Arial" w:cs="Arial" w:eastAsia="Arial" w:hAnsi="Arial"/>
          <w:sz w:val="20"/>
          <w:szCs w:val="20"/>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41845" cy="158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98" w:name="page199"/>
    <w:bookmarkEnd w:id="198"/>
    <w:p>
      <w:pPr>
        <w:ind w:left="1020" w:right="80" w:firstLine="5"/>
        <w:spacing w:after="0" w:line="271" w:lineRule="auto"/>
        <w:tabs>
          <w:tab w:leader="none" w:pos="1371" w:val="left"/>
        </w:tabs>
        <w:numPr>
          <w:ilvl w:val="2"/>
          <w:numId w:val="196"/>
        </w:numPr>
        <w:rPr>
          <w:rFonts w:ascii="Arial" w:cs="Arial" w:eastAsia="Arial" w:hAnsi="Arial"/>
          <w:sz w:val="20"/>
          <w:szCs w:val="20"/>
          <w:color w:val="auto"/>
        </w:rPr>
      </w:pPr>
      <w:r>
        <w:rPr>
          <w:rFonts w:ascii="Arial" w:cs="Arial" w:eastAsia="Arial" w:hAnsi="Arial"/>
          <w:sz w:val="20"/>
          <w:szCs w:val="20"/>
          <w:color w:val="auto"/>
        </w:rPr>
        <w:t>reasonable litigation costs, including legal fees, expended by an Office Holder or which were imposed on an Office Holder by a court in proceedings filed against the Office Holder by the Company or in its name or by any other person or in a criminal charge in respect of which the Office Holder was acquitted or in a criminal charge in respect of which the Office Holder was convicted for an offence which did not require proof of criminal intent; and</w:t>
      </w:r>
    </w:p>
    <w:p>
      <w:pPr>
        <w:spacing w:after="0" w:line="216" w:lineRule="exact"/>
        <w:rPr>
          <w:rFonts w:ascii="Arial" w:cs="Arial" w:eastAsia="Arial" w:hAnsi="Arial"/>
          <w:sz w:val="20"/>
          <w:szCs w:val="20"/>
          <w:color w:val="auto"/>
        </w:rPr>
      </w:pPr>
    </w:p>
    <w:p>
      <w:pPr>
        <w:ind w:left="1360" w:hanging="335"/>
        <w:spacing w:after="0"/>
        <w:tabs>
          <w:tab w:leader="none" w:pos="1360" w:val="left"/>
        </w:tabs>
        <w:numPr>
          <w:ilvl w:val="2"/>
          <w:numId w:val="196"/>
        </w:numPr>
        <w:rPr>
          <w:rFonts w:ascii="Arial" w:cs="Arial" w:eastAsia="Arial" w:hAnsi="Arial"/>
          <w:sz w:val="18"/>
          <w:szCs w:val="18"/>
          <w:color w:val="auto"/>
        </w:rPr>
      </w:pPr>
      <w:r>
        <w:rPr>
          <w:rFonts w:ascii="Arial" w:cs="Arial" w:eastAsia="Arial" w:hAnsi="Arial"/>
          <w:sz w:val="18"/>
          <w:szCs w:val="18"/>
          <w:color w:val="auto"/>
        </w:rPr>
        <w:t>any other event, occurrence, matter or circumstance under any law with respect to which the Company may, or will be</w:t>
      </w:r>
    </w:p>
    <w:p>
      <w:pPr>
        <w:spacing w:after="0" w:line="49" w:lineRule="exact"/>
        <w:rPr>
          <w:rFonts w:ascii="Arial" w:cs="Arial" w:eastAsia="Arial" w:hAnsi="Arial"/>
          <w:sz w:val="18"/>
          <w:szCs w:val="18"/>
          <w:color w:val="auto"/>
        </w:rPr>
      </w:pPr>
    </w:p>
    <w:p>
      <w:pPr>
        <w:ind w:left="1020"/>
        <w:spacing w:after="0" w:line="291" w:lineRule="auto"/>
        <w:rPr>
          <w:rFonts w:ascii="Arial" w:cs="Arial" w:eastAsia="Arial" w:hAnsi="Arial"/>
          <w:sz w:val="18"/>
          <w:szCs w:val="18"/>
          <w:color w:val="auto"/>
        </w:rPr>
      </w:pPr>
      <w:r>
        <w:rPr>
          <w:rFonts w:ascii="Arial" w:cs="Arial" w:eastAsia="Arial" w:hAnsi="Arial"/>
          <w:sz w:val="18"/>
          <w:szCs w:val="18"/>
          <w:color w:val="auto"/>
        </w:rPr>
        <w:t>able to, indemnify an Office Holder, and to the extent such law requires the inclusion of a provision permitting such indemnity in these Articles, then such provision is deemed to be included and incorporated herein by reference (including, without limitation, in accordance with Section 56h(b)(1) of the Israeli Securities Law, if and to the extent applicable, and</w:t>
      </w:r>
    </w:p>
    <w:p>
      <w:pPr>
        <w:ind w:left="1020"/>
        <w:spacing w:after="0"/>
        <w:rPr>
          <w:rFonts w:ascii="Arial" w:cs="Arial" w:eastAsia="Arial" w:hAnsi="Arial"/>
          <w:sz w:val="18"/>
          <w:szCs w:val="18"/>
          <w:color w:val="auto"/>
        </w:rPr>
      </w:pPr>
      <w:r>
        <w:rPr>
          <w:rFonts w:ascii="Arial" w:cs="Arial" w:eastAsia="Arial" w:hAnsi="Arial"/>
          <w:sz w:val="20"/>
          <w:szCs w:val="20"/>
          <w:color w:val="auto"/>
        </w:rPr>
        <w:t>Section 50P(b)(2) of the RTP Law).</w:t>
      </w:r>
    </w:p>
    <w:p>
      <w:pPr>
        <w:spacing w:after="0" w:line="266" w:lineRule="exact"/>
        <w:rPr>
          <w:rFonts w:ascii="Arial" w:cs="Arial" w:eastAsia="Arial" w:hAnsi="Arial"/>
          <w:sz w:val="18"/>
          <w:szCs w:val="18"/>
          <w:color w:val="auto"/>
        </w:rPr>
      </w:pPr>
    </w:p>
    <w:p>
      <w:pPr>
        <w:ind w:left="520" w:right="240" w:hanging="7"/>
        <w:spacing w:after="0" w:line="290" w:lineRule="auto"/>
        <w:tabs>
          <w:tab w:leader="none" w:pos="804" w:val="left"/>
        </w:tabs>
        <w:numPr>
          <w:ilvl w:val="1"/>
          <w:numId w:val="197"/>
        </w:numPr>
        <w:rPr>
          <w:rFonts w:ascii="Arial" w:cs="Arial" w:eastAsia="Arial" w:hAnsi="Arial"/>
          <w:sz w:val="20"/>
          <w:szCs w:val="20"/>
          <w:color w:val="auto"/>
        </w:rPr>
      </w:pPr>
      <w:r>
        <w:rPr>
          <w:rFonts w:ascii="Arial" w:cs="Arial" w:eastAsia="Arial" w:hAnsi="Arial"/>
          <w:sz w:val="20"/>
          <w:szCs w:val="20"/>
          <w:color w:val="auto"/>
        </w:rPr>
        <w:t>Subject to the provisions of the Companies Law, the Company may undertake to indemnify an Office Holder, in advance, with respect to those liabilities and expenses described in the following Articles:</w:t>
      </w:r>
    </w:p>
    <w:p>
      <w:pPr>
        <w:spacing w:after="0" w:line="193" w:lineRule="exact"/>
        <w:rPr>
          <w:rFonts w:ascii="Arial" w:cs="Arial" w:eastAsia="Arial" w:hAnsi="Arial"/>
          <w:sz w:val="20"/>
          <w:szCs w:val="20"/>
          <w:color w:val="auto"/>
        </w:rPr>
      </w:pPr>
    </w:p>
    <w:p>
      <w:pPr>
        <w:ind w:left="1800" w:hanging="557"/>
        <w:spacing w:after="0"/>
        <w:tabs>
          <w:tab w:leader="none" w:pos="1800" w:val="left"/>
        </w:tabs>
        <w:numPr>
          <w:ilvl w:val="3"/>
          <w:numId w:val="197"/>
        </w:numPr>
        <w:rPr>
          <w:rFonts w:ascii="Arial" w:cs="Arial" w:eastAsia="Arial" w:hAnsi="Arial"/>
          <w:sz w:val="17"/>
          <w:szCs w:val="17"/>
          <w:color w:val="auto"/>
        </w:rPr>
      </w:pPr>
      <w:r>
        <w:rPr>
          <w:rFonts w:ascii="Arial" w:cs="Arial" w:eastAsia="Arial" w:hAnsi="Arial"/>
          <w:sz w:val="17"/>
          <w:szCs w:val="17"/>
          <w:color w:val="auto"/>
        </w:rPr>
        <w:t>Sub-Article 6464(a)(i)(a)(ii) to 64(a)(iv); and</w:t>
      </w:r>
    </w:p>
    <w:p>
      <w:pPr>
        <w:spacing w:after="0" w:line="256" w:lineRule="exact"/>
        <w:rPr>
          <w:rFonts w:ascii="Arial" w:cs="Arial" w:eastAsia="Arial" w:hAnsi="Arial"/>
          <w:sz w:val="17"/>
          <w:szCs w:val="17"/>
          <w:color w:val="auto"/>
        </w:rPr>
      </w:pPr>
    </w:p>
    <w:p>
      <w:pPr>
        <w:ind w:left="1800" w:hanging="557"/>
        <w:spacing w:after="0"/>
        <w:tabs>
          <w:tab w:leader="none" w:pos="1800" w:val="left"/>
        </w:tabs>
        <w:numPr>
          <w:ilvl w:val="3"/>
          <w:numId w:val="197"/>
        </w:numPr>
        <w:rPr>
          <w:rFonts w:ascii="Arial" w:cs="Arial" w:eastAsia="Arial" w:hAnsi="Arial"/>
          <w:sz w:val="17"/>
          <w:szCs w:val="17"/>
          <w:color w:val="auto"/>
        </w:rPr>
      </w:pPr>
      <w:r>
        <w:rPr>
          <w:rFonts w:ascii="Arial" w:cs="Arial" w:eastAsia="Arial" w:hAnsi="Arial"/>
          <w:sz w:val="17"/>
          <w:szCs w:val="17"/>
          <w:color w:val="auto"/>
        </w:rPr>
        <w:t>Sub-Article 64(a)(i), provided that:</w:t>
      </w:r>
    </w:p>
    <w:p>
      <w:pPr>
        <w:spacing w:after="0" w:line="256" w:lineRule="exact"/>
        <w:rPr>
          <w:rFonts w:ascii="Arial" w:cs="Arial" w:eastAsia="Arial" w:hAnsi="Arial"/>
          <w:sz w:val="17"/>
          <w:szCs w:val="17"/>
          <w:color w:val="auto"/>
        </w:rPr>
      </w:pPr>
    </w:p>
    <w:p>
      <w:pPr>
        <w:ind w:left="2480" w:right="60" w:hanging="672"/>
        <w:spacing w:after="0" w:line="307" w:lineRule="auto"/>
        <w:tabs>
          <w:tab w:leader="none" w:pos="2480" w:val="left"/>
        </w:tabs>
        <w:numPr>
          <w:ilvl w:val="4"/>
          <w:numId w:val="197"/>
        </w:numPr>
        <w:rPr>
          <w:rFonts w:ascii="Arial" w:cs="Arial" w:eastAsia="Arial" w:hAnsi="Arial"/>
          <w:sz w:val="15"/>
          <w:szCs w:val="15"/>
          <w:color w:val="auto"/>
        </w:rPr>
      </w:pPr>
      <w:r>
        <w:rPr>
          <w:rFonts w:ascii="Arial" w:cs="Arial" w:eastAsia="Arial" w:hAnsi="Arial"/>
          <w:sz w:val="15"/>
          <w:szCs w:val="15"/>
          <w:color w:val="auto"/>
        </w:rPr>
        <w:t>the undertaking to indemnify is limited to such events which the Directors shall deem to be foreseeable in light of the operations of the Company at the time that the undertaking to indemnify is made and for such amounts or criterion which the Directors may, at the time of the giving of such undertaking to indemnify, deem to be reasonable under the circumstances; and</w:t>
      </w:r>
    </w:p>
    <w:p>
      <w:pPr>
        <w:spacing w:after="0" w:line="191" w:lineRule="exact"/>
        <w:rPr>
          <w:rFonts w:ascii="Arial" w:cs="Arial" w:eastAsia="Arial" w:hAnsi="Arial"/>
          <w:sz w:val="15"/>
          <w:szCs w:val="15"/>
          <w:color w:val="auto"/>
        </w:rPr>
      </w:pPr>
    </w:p>
    <w:p>
      <w:pPr>
        <w:ind w:left="2480" w:right="20" w:hanging="672"/>
        <w:spacing w:after="0" w:line="307" w:lineRule="auto"/>
        <w:tabs>
          <w:tab w:leader="none" w:pos="2480" w:val="left"/>
        </w:tabs>
        <w:numPr>
          <w:ilvl w:val="4"/>
          <w:numId w:val="197"/>
        </w:numPr>
        <w:rPr>
          <w:rFonts w:ascii="Arial" w:cs="Arial" w:eastAsia="Arial" w:hAnsi="Arial"/>
          <w:sz w:val="15"/>
          <w:szCs w:val="15"/>
          <w:color w:val="auto"/>
        </w:rPr>
      </w:pPr>
      <w:r>
        <w:rPr>
          <w:rFonts w:ascii="Arial" w:cs="Arial" w:eastAsia="Arial" w:hAnsi="Arial"/>
          <w:sz w:val="15"/>
          <w:szCs w:val="15"/>
          <w:color w:val="auto"/>
        </w:rPr>
        <w:t>the undertaking to indemnify shall set forth such events which the Directors shall deem to be foreseeable in light of the operations of the Company at the time that the undertaking to indemnify is made, and the amounts and/or criterion which the Directors may, at the time of the giving of such undertaking to indemnify, deem to be reasonable under the circumstances.</w:t>
      </w:r>
    </w:p>
    <w:p>
      <w:pPr>
        <w:spacing w:after="0" w:line="187" w:lineRule="exact"/>
        <w:rPr>
          <w:rFonts w:ascii="Arial" w:cs="Arial" w:eastAsia="Arial" w:hAnsi="Arial"/>
          <w:sz w:val="15"/>
          <w:szCs w:val="15"/>
          <w:color w:val="auto"/>
        </w:rPr>
      </w:pPr>
    </w:p>
    <w:p>
      <w:pPr>
        <w:ind w:left="560" w:hanging="560"/>
        <w:spacing w:after="0"/>
        <w:tabs>
          <w:tab w:leader="none" w:pos="560" w:val="left"/>
        </w:tabs>
        <w:numPr>
          <w:ilvl w:val="0"/>
          <w:numId w:val="198"/>
        </w:numPr>
        <w:rPr>
          <w:rFonts w:ascii="Arial" w:cs="Arial" w:eastAsia="Arial" w:hAnsi="Arial"/>
          <w:sz w:val="17"/>
          <w:szCs w:val="17"/>
          <w:color w:val="auto"/>
        </w:rPr>
      </w:pPr>
      <w:r>
        <w:rPr>
          <w:rFonts w:ascii="Arial" w:cs="Arial" w:eastAsia="Arial" w:hAnsi="Arial"/>
          <w:sz w:val="17"/>
          <w:szCs w:val="17"/>
          <w:b w:val="1"/>
          <w:bCs w:val="1"/>
          <w:u w:val="single" w:color="auto"/>
          <w:color w:val="auto"/>
        </w:rPr>
        <w:t>EXEMPTION</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20"/>
        <w:spacing w:after="0" w:line="290" w:lineRule="auto"/>
        <w:rPr>
          <w:sz w:val="20"/>
          <w:szCs w:val="20"/>
          <w:color w:val="auto"/>
        </w:rPr>
      </w:pPr>
      <w:r>
        <w:rPr>
          <w:rFonts w:ascii="Arial" w:cs="Arial" w:eastAsia="Arial" w:hAnsi="Arial"/>
          <w:sz w:val="20"/>
          <w:szCs w:val="20"/>
          <w:color w:val="auto"/>
        </w:rPr>
        <w:t>Subject to the provisions of the Companies Law, the Company may, to the maximum extent permitted by law, exempt and release, in advance, any Office Holder from any liability for damages arising out of a breach of a duty of care.</w:t>
      </w:r>
    </w:p>
    <w:p>
      <w:pPr>
        <w:spacing w:after="0" w:line="190" w:lineRule="exact"/>
        <w:rPr>
          <w:sz w:val="20"/>
          <w:szCs w:val="20"/>
          <w:color w:val="auto"/>
        </w:rPr>
      </w:pPr>
    </w:p>
    <w:p>
      <w:pPr>
        <w:ind w:left="560" w:hanging="560"/>
        <w:spacing w:after="0"/>
        <w:tabs>
          <w:tab w:leader="none" w:pos="560" w:val="left"/>
        </w:tabs>
        <w:numPr>
          <w:ilvl w:val="0"/>
          <w:numId w:val="199"/>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ind w:left="520" w:right="80" w:hanging="7"/>
        <w:spacing w:after="0" w:line="271" w:lineRule="auto"/>
        <w:tabs>
          <w:tab w:leader="none" w:pos="793" w:val="left"/>
        </w:tabs>
        <w:numPr>
          <w:ilvl w:val="1"/>
          <w:numId w:val="199"/>
        </w:numPr>
        <w:rPr>
          <w:rFonts w:ascii="Arial" w:cs="Arial" w:eastAsia="Arial" w:hAnsi="Arial"/>
          <w:sz w:val="20"/>
          <w:szCs w:val="20"/>
          <w:color w:val="auto"/>
        </w:rPr>
      </w:pPr>
      <w:r>
        <w:rPr>
          <w:rFonts w:ascii="Arial" w:cs="Arial" w:eastAsia="Arial" w:hAnsi="Arial"/>
          <w:sz w:val="20"/>
          <w:szCs w:val="20"/>
          <w:color w:val="auto"/>
        </w:rPr>
        <w:t>Any amendment to the Companies Law or any other applicable law adversely affecting the right of any Office Holder to be indemnified, insured or exempt pursuant to Articles 63 to 65 and any amendments to Articles 63 to 65 shall be prospective in effect, and shall not affect the Company’s obligation or ability to indemnify, insure or exempt an Office Holder for any act or omission occurring prior to such amendment, unless otherwise provided by applicable law.</w:t>
      </w:r>
    </w:p>
    <w:p>
      <w:pPr>
        <w:spacing w:after="0" w:line="216" w:lineRule="exact"/>
        <w:rPr>
          <w:rFonts w:ascii="Arial" w:cs="Arial" w:eastAsia="Arial" w:hAnsi="Arial"/>
          <w:sz w:val="20"/>
          <w:szCs w:val="20"/>
          <w:color w:val="auto"/>
        </w:rPr>
      </w:pPr>
    </w:p>
    <w:p>
      <w:pPr>
        <w:ind w:left="520" w:right="200" w:hanging="7"/>
        <w:spacing w:after="0" w:line="284" w:lineRule="auto"/>
        <w:tabs>
          <w:tab w:leader="none" w:pos="804" w:val="left"/>
        </w:tabs>
        <w:numPr>
          <w:ilvl w:val="1"/>
          <w:numId w:val="199"/>
        </w:numPr>
        <w:rPr>
          <w:rFonts w:ascii="Arial" w:cs="Arial" w:eastAsia="Arial" w:hAnsi="Arial"/>
          <w:sz w:val="19"/>
          <w:szCs w:val="19"/>
          <w:color w:val="auto"/>
        </w:rPr>
      </w:pPr>
      <w:r>
        <w:rPr>
          <w:rFonts w:ascii="Arial" w:cs="Arial" w:eastAsia="Arial" w:hAnsi="Arial"/>
          <w:sz w:val="19"/>
          <w:szCs w:val="19"/>
          <w:color w:val="auto"/>
        </w:rPr>
        <w:t>The provisions of Articles 63 to 65 (i) shall apply to the maximum extent permitted by law (including, the Companies Law, the Securities Law and the Economic Competition Law); and (ii) are not intended, and shall not be interpreted so as to restrict the Company, in any manner, in respect of the procurement of insurance and/or in respect of indemnification (whether in advance or retroactively) and/or exemption, in favor of any person who is not an Office Holder, including, without limitation, any employee, agent, consultant or contractor of the Company who is not an Office Holder; and/or any Office Holder to the extent that such insurance and/or indemnification is not specifically prohibited under law.</w:t>
      </w:r>
    </w:p>
    <w:p>
      <w:pPr>
        <w:spacing w:after="0" w:line="356" w:lineRule="exact"/>
        <w:rPr>
          <w:rFonts w:ascii="Arial" w:cs="Arial" w:eastAsia="Arial" w:hAnsi="Arial"/>
          <w:sz w:val="19"/>
          <w:szCs w:val="19"/>
          <w:color w:val="auto"/>
        </w:rPr>
      </w:pPr>
    </w:p>
    <w:p>
      <w:pPr>
        <w:ind w:left="5520" w:hanging="114"/>
        <w:spacing w:after="0"/>
        <w:tabs>
          <w:tab w:leader="none" w:pos="5520" w:val="left"/>
        </w:tabs>
        <w:numPr>
          <w:ilvl w:val="2"/>
          <w:numId w:val="199"/>
        </w:numPr>
        <w:rPr>
          <w:rFonts w:ascii="Arial" w:cs="Arial" w:eastAsia="Arial" w:hAnsi="Arial"/>
          <w:sz w:val="20"/>
          <w:szCs w:val="20"/>
          <w:color w:val="auto"/>
        </w:rPr>
      </w:pPr>
      <w:r>
        <w:rPr>
          <w:rFonts w:ascii="Arial" w:cs="Arial" w:eastAsia="Arial" w:hAnsi="Arial"/>
          <w:sz w:val="20"/>
          <w:szCs w:val="20"/>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41845" cy="158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20"/>
          <w:szCs w:val="20"/>
          <w:b w:val="1"/>
          <w:bCs w:val="1"/>
          <w:color w:val="auto"/>
        </w:rPr>
        <w:t>WINDING UP</w:t>
      </w:r>
    </w:p>
    <w:p>
      <w:pPr>
        <w:spacing w:after="0" w:line="268" w:lineRule="exact"/>
        <w:rPr>
          <w:sz w:val="20"/>
          <w:szCs w:val="20"/>
          <w:color w:val="auto"/>
        </w:rPr>
      </w:pPr>
    </w:p>
    <w:p>
      <w:pPr>
        <w:ind w:left="560" w:hanging="560"/>
        <w:spacing w:after="0"/>
        <w:tabs>
          <w:tab w:leader="none" w:pos="560" w:val="left"/>
        </w:tabs>
        <w:numPr>
          <w:ilvl w:val="0"/>
          <w:numId w:val="200"/>
        </w:numPr>
        <w:rPr>
          <w:rFonts w:ascii="Arial" w:cs="Arial" w:eastAsia="Arial" w:hAnsi="Arial"/>
          <w:sz w:val="17"/>
          <w:szCs w:val="17"/>
          <w:color w:val="auto"/>
        </w:rPr>
      </w:pPr>
      <w:r>
        <w:rPr>
          <w:rFonts w:ascii="Arial" w:cs="Arial" w:eastAsia="Arial" w:hAnsi="Arial"/>
          <w:sz w:val="17"/>
          <w:szCs w:val="17"/>
          <w:b w:val="1"/>
          <w:bCs w:val="1"/>
          <w:u w:val="single" w:color="auto"/>
          <w:color w:val="auto"/>
        </w:rPr>
        <w:t>WINDING UP</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40"/>
        <w:spacing w:after="0" w:line="276" w:lineRule="auto"/>
        <w:rPr>
          <w:sz w:val="20"/>
          <w:szCs w:val="20"/>
          <w:color w:val="auto"/>
        </w:rPr>
      </w:pPr>
      <w:r>
        <w:rPr>
          <w:rFonts w:ascii="Arial" w:cs="Arial" w:eastAsia="Arial" w:hAnsi="Arial"/>
          <w:sz w:val="20"/>
          <w:szCs w:val="20"/>
          <w:color w:val="auto"/>
        </w:rPr>
        <w:t>If the Company is wound up, then, subject to applicable law and to the rights of the holders of Shares with special rights upon winding up, the assets of the Company available for distribution among the Shareholders shall be distributed to them in proportion to the number of issued and outstanding Shares held by each Shareholder.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NOTICES</w:t>
      </w:r>
    </w:p>
    <w:p>
      <w:pPr>
        <w:spacing w:after="0" w:line="268" w:lineRule="exact"/>
        <w:rPr>
          <w:sz w:val="20"/>
          <w:szCs w:val="20"/>
          <w:color w:val="auto"/>
        </w:rPr>
      </w:pPr>
    </w:p>
    <w:p>
      <w:pPr>
        <w:ind w:left="560" w:hanging="560"/>
        <w:spacing w:after="0"/>
        <w:tabs>
          <w:tab w:leader="none" w:pos="560" w:val="left"/>
        </w:tabs>
        <w:numPr>
          <w:ilvl w:val="0"/>
          <w:numId w:val="201"/>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jc w:val="both"/>
        <w:ind w:left="520" w:hanging="7"/>
        <w:spacing w:after="0" w:line="271" w:lineRule="auto"/>
        <w:tabs>
          <w:tab w:leader="none" w:pos="793" w:val="left"/>
        </w:tabs>
        <w:numPr>
          <w:ilvl w:val="1"/>
          <w:numId w:val="201"/>
        </w:numPr>
        <w:rPr>
          <w:rFonts w:ascii="Arial" w:cs="Arial" w:eastAsia="Arial" w:hAnsi="Arial"/>
          <w:sz w:val="20"/>
          <w:szCs w:val="20"/>
          <w:color w:val="auto"/>
        </w:rPr>
      </w:pPr>
      <w:r>
        <w:rPr>
          <w:rFonts w:ascii="Arial" w:cs="Arial" w:eastAsia="Arial" w:hAnsi="Arial"/>
          <w:sz w:val="20"/>
          <w:szCs w:val="20"/>
          <w:color w:val="auto"/>
        </w:rPr>
        <w:t>Any written notice or other document may be served by the Company upon any Shareholder either personally, by facsimile, email or other electronic transmission, or by sending it by prepaid mail (airmail if sent internationally) addressed to such Shareholder at his or her address as described in the Register of Shareholders or such other address as the Shareholder may have designated in writing for the receipt of notices and other documents.</w:t>
      </w:r>
    </w:p>
    <w:p>
      <w:pPr>
        <w:spacing w:after="0" w:line="216" w:lineRule="exact"/>
        <w:rPr>
          <w:rFonts w:ascii="Arial" w:cs="Arial" w:eastAsia="Arial" w:hAnsi="Arial"/>
          <w:sz w:val="20"/>
          <w:szCs w:val="20"/>
          <w:color w:val="auto"/>
        </w:rPr>
      </w:pPr>
    </w:p>
    <w:p>
      <w:pPr>
        <w:ind w:left="520" w:right="40" w:hanging="7"/>
        <w:spacing w:after="0" w:line="271" w:lineRule="auto"/>
        <w:tabs>
          <w:tab w:leader="none" w:pos="804" w:val="left"/>
        </w:tabs>
        <w:numPr>
          <w:ilvl w:val="1"/>
          <w:numId w:val="201"/>
        </w:numPr>
        <w:rPr>
          <w:rFonts w:ascii="Arial" w:cs="Arial" w:eastAsia="Arial" w:hAnsi="Arial"/>
          <w:sz w:val="20"/>
          <w:szCs w:val="20"/>
          <w:color w:val="auto"/>
        </w:rPr>
      </w:pPr>
      <w:r>
        <w:rPr>
          <w:rFonts w:ascii="Arial" w:cs="Arial" w:eastAsia="Arial" w:hAnsi="Arial"/>
          <w:sz w:val="20"/>
          <w:szCs w:val="20"/>
          <w:color w:val="auto"/>
        </w:rPr>
        <w:t>Any written notice or other document may be served by any Shareholder upon the Company by tendering the same in person to the Secretary or the Chief Executive Officer of the Company at the principal office of the Company, by facsimile transmission, email or other electronic submission, or by sending it by prepaid registered mail (airmail if posted outside Israel) to the Company at its Office.</w:t>
      </w:r>
    </w:p>
    <w:p>
      <w:pPr>
        <w:spacing w:after="0" w:line="216" w:lineRule="exact"/>
        <w:rPr>
          <w:rFonts w:ascii="Arial" w:cs="Arial" w:eastAsia="Arial" w:hAnsi="Arial"/>
          <w:sz w:val="20"/>
          <w:szCs w:val="20"/>
          <w:color w:val="auto"/>
        </w:rPr>
      </w:pPr>
    </w:p>
    <w:p>
      <w:pPr>
        <w:ind w:left="780" w:hanging="267"/>
        <w:spacing w:after="0"/>
        <w:tabs>
          <w:tab w:leader="none" w:pos="780" w:val="left"/>
        </w:tabs>
        <w:numPr>
          <w:ilvl w:val="1"/>
          <w:numId w:val="201"/>
        </w:numPr>
        <w:rPr>
          <w:rFonts w:ascii="Arial" w:cs="Arial" w:eastAsia="Arial" w:hAnsi="Arial"/>
          <w:sz w:val="20"/>
          <w:szCs w:val="20"/>
          <w:color w:val="auto"/>
        </w:rPr>
      </w:pPr>
      <w:r>
        <w:rPr>
          <w:rFonts w:ascii="Arial" w:cs="Arial" w:eastAsia="Arial" w:hAnsi="Arial"/>
          <w:sz w:val="20"/>
          <w:szCs w:val="20"/>
          <w:color w:val="auto"/>
        </w:rPr>
        <w:t>Any such notice or other document shall be deemed to have been served:</w:t>
      </w:r>
    </w:p>
    <w:p>
      <w:pPr>
        <w:spacing w:after="0" w:line="272" w:lineRule="exact"/>
        <w:rPr>
          <w:rFonts w:ascii="Arial" w:cs="Arial" w:eastAsia="Arial" w:hAnsi="Arial"/>
          <w:sz w:val="20"/>
          <w:szCs w:val="20"/>
          <w:color w:val="auto"/>
        </w:rPr>
      </w:pPr>
    </w:p>
    <w:p>
      <w:pPr>
        <w:ind w:left="1020" w:right="200" w:firstLine="5"/>
        <w:spacing w:after="0" w:line="290" w:lineRule="auto"/>
        <w:tabs>
          <w:tab w:leader="none" w:pos="1259" w:val="left"/>
        </w:tabs>
        <w:numPr>
          <w:ilvl w:val="2"/>
          <w:numId w:val="201"/>
        </w:numPr>
        <w:rPr>
          <w:rFonts w:ascii="Arial" w:cs="Arial" w:eastAsia="Arial" w:hAnsi="Arial"/>
          <w:sz w:val="20"/>
          <w:szCs w:val="20"/>
          <w:color w:val="auto"/>
        </w:rPr>
      </w:pPr>
      <w:r>
        <w:rPr>
          <w:rFonts w:ascii="Arial" w:cs="Arial" w:eastAsia="Arial" w:hAnsi="Arial"/>
          <w:sz w:val="20"/>
          <w:szCs w:val="20"/>
          <w:color w:val="auto"/>
        </w:rPr>
        <w:t>in the case of mailing, forty-eight (48) hours after it has been posted, or when actually received by the addressee if sooner than forty-eight hours after it has been posted, or</w:t>
      </w:r>
    </w:p>
    <w:p>
      <w:pPr>
        <w:spacing w:after="0" w:line="197" w:lineRule="exact"/>
        <w:rPr>
          <w:rFonts w:ascii="Arial" w:cs="Arial" w:eastAsia="Arial" w:hAnsi="Arial"/>
          <w:sz w:val="20"/>
          <w:szCs w:val="20"/>
          <w:color w:val="auto"/>
        </w:rPr>
      </w:pPr>
    </w:p>
    <w:p>
      <w:pPr>
        <w:ind w:left="1020" w:right="120" w:firstLine="5"/>
        <w:spacing w:after="0" w:line="290" w:lineRule="auto"/>
        <w:tabs>
          <w:tab w:leader="none" w:pos="1315" w:val="left"/>
        </w:tabs>
        <w:numPr>
          <w:ilvl w:val="2"/>
          <w:numId w:val="201"/>
        </w:numPr>
        <w:rPr>
          <w:rFonts w:ascii="Arial" w:cs="Arial" w:eastAsia="Arial" w:hAnsi="Arial"/>
          <w:sz w:val="20"/>
          <w:szCs w:val="20"/>
          <w:color w:val="auto"/>
        </w:rPr>
      </w:pPr>
      <w:r>
        <w:rPr>
          <w:rFonts w:ascii="Arial" w:cs="Arial" w:eastAsia="Arial" w:hAnsi="Arial"/>
          <w:sz w:val="20"/>
          <w:szCs w:val="20"/>
          <w:color w:val="auto"/>
        </w:rPr>
        <w:t>in the case of overnight air courier, on the next business day following the day sent, with receipt confirmed by the courier, or when actually received by the addressee if sooner than three business days after it has been sent;</w:t>
      </w:r>
    </w:p>
    <w:p>
      <w:pPr>
        <w:spacing w:after="0" w:line="197" w:lineRule="exact"/>
        <w:rPr>
          <w:rFonts w:ascii="Arial" w:cs="Arial" w:eastAsia="Arial" w:hAnsi="Arial"/>
          <w:sz w:val="20"/>
          <w:szCs w:val="20"/>
          <w:color w:val="auto"/>
        </w:rPr>
      </w:pPr>
    </w:p>
    <w:p>
      <w:pPr>
        <w:ind w:left="1380" w:hanging="355"/>
        <w:spacing w:after="0"/>
        <w:tabs>
          <w:tab w:leader="none" w:pos="1380" w:val="left"/>
        </w:tabs>
        <w:numPr>
          <w:ilvl w:val="2"/>
          <w:numId w:val="201"/>
        </w:numPr>
        <w:rPr>
          <w:rFonts w:ascii="Arial" w:cs="Arial" w:eastAsia="Arial" w:hAnsi="Arial"/>
          <w:sz w:val="20"/>
          <w:szCs w:val="20"/>
          <w:color w:val="auto"/>
        </w:rPr>
      </w:pPr>
      <w:r>
        <w:rPr>
          <w:rFonts w:ascii="Arial" w:cs="Arial" w:eastAsia="Arial" w:hAnsi="Arial"/>
          <w:sz w:val="20"/>
          <w:szCs w:val="20"/>
          <w:color w:val="auto"/>
        </w:rPr>
        <w:t>in the case of personal delivery, when actually tendered in person, to such addressee;</w:t>
      </w:r>
    </w:p>
    <w:p>
      <w:pPr>
        <w:spacing w:after="0" w:line="272" w:lineRule="exact"/>
        <w:rPr>
          <w:rFonts w:ascii="Arial" w:cs="Arial" w:eastAsia="Arial" w:hAnsi="Arial"/>
          <w:sz w:val="20"/>
          <w:szCs w:val="20"/>
          <w:color w:val="auto"/>
        </w:rPr>
      </w:pPr>
    </w:p>
    <w:p>
      <w:pPr>
        <w:jc w:val="both"/>
        <w:ind w:left="1020" w:right="60" w:firstLine="5"/>
        <w:spacing w:after="0" w:line="320" w:lineRule="auto"/>
        <w:tabs>
          <w:tab w:leader="none" w:pos="1360" w:val="left"/>
        </w:tabs>
        <w:numPr>
          <w:ilvl w:val="2"/>
          <w:numId w:val="201"/>
        </w:numPr>
        <w:rPr>
          <w:rFonts w:ascii="Arial" w:cs="Arial" w:eastAsia="Arial" w:hAnsi="Arial"/>
          <w:sz w:val="18"/>
          <w:szCs w:val="18"/>
          <w:color w:val="auto"/>
        </w:rPr>
      </w:pPr>
      <w:r>
        <w:rPr>
          <w:rFonts w:ascii="Arial" w:cs="Arial" w:eastAsia="Arial" w:hAnsi="Arial"/>
          <w:sz w:val="18"/>
          <w:szCs w:val="18"/>
          <w:color w:val="auto"/>
        </w:rPr>
        <w:t>in the case of facsimile, email or other electronic transmission, on the first business day (during normal business hours in place of addressee) on which the sender receives automatic electronic confirmation by the addressee’s facsimile machine that such notice was received by the addressee or delivery confirmation from the addressee’s email or other communication server.</w:t>
      </w:r>
    </w:p>
    <w:p>
      <w:pPr>
        <w:spacing w:after="0" w:line="176" w:lineRule="exact"/>
        <w:rPr>
          <w:rFonts w:ascii="Arial" w:cs="Arial" w:eastAsia="Arial" w:hAnsi="Arial"/>
          <w:sz w:val="18"/>
          <w:szCs w:val="18"/>
          <w:color w:val="auto"/>
        </w:rPr>
      </w:pPr>
    </w:p>
    <w:p>
      <w:pPr>
        <w:ind w:left="520" w:right="60" w:hanging="7"/>
        <w:spacing w:after="0" w:line="349" w:lineRule="auto"/>
        <w:tabs>
          <w:tab w:leader="none" w:pos="80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If a notice is, in fact, received by the addressee, it shall be deemed to have been duly served, when received, notwithstanding that it was defectively addressed or failed, in some other respect, to comply with the provisions of this Article 6868.</w:t>
      </w:r>
    </w:p>
    <w:p>
      <w:pPr>
        <w:spacing w:after="0" w:line="151" w:lineRule="exact"/>
        <w:rPr>
          <w:rFonts w:ascii="Arial" w:cs="Arial" w:eastAsia="Arial" w:hAnsi="Arial"/>
          <w:sz w:val="18"/>
          <w:szCs w:val="18"/>
          <w:color w:val="auto"/>
        </w:rPr>
      </w:pPr>
    </w:p>
    <w:p>
      <w:pPr>
        <w:ind w:left="520" w:right="400" w:hanging="7"/>
        <w:spacing w:after="0" w:line="276" w:lineRule="auto"/>
        <w:tabs>
          <w:tab w:leader="none" w:pos="793" w:val="left"/>
        </w:tabs>
        <w:numPr>
          <w:ilvl w:val="1"/>
          <w:numId w:val="201"/>
        </w:numPr>
        <w:rPr>
          <w:rFonts w:ascii="Arial" w:cs="Arial" w:eastAsia="Arial" w:hAnsi="Arial"/>
          <w:sz w:val="20"/>
          <w:szCs w:val="20"/>
          <w:color w:val="auto"/>
        </w:rPr>
      </w:pPr>
      <w:r>
        <w:rPr>
          <w:rFonts w:ascii="Arial" w:cs="Arial" w:eastAsia="Arial" w:hAnsi="Arial"/>
          <w:sz w:val="20"/>
          <w:szCs w:val="20"/>
          <w:color w:val="auto"/>
        </w:rPr>
        <w:t>All notices to be given to the Shareholders shall, with respect to any Share to which persons are jointly entitled, be given to whichever of such persons is named first in the Register of Shareholders, and any notice so given shall be sufficient notice to the holders of such Share.</w:t>
      </w:r>
    </w:p>
    <w:p>
      <w:pPr>
        <w:spacing w:after="0" w:line="210" w:lineRule="exact"/>
        <w:rPr>
          <w:rFonts w:ascii="Arial" w:cs="Arial" w:eastAsia="Arial" w:hAnsi="Arial"/>
          <w:sz w:val="20"/>
          <w:szCs w:val="20"/>
          <w:color w:val="auto"/>
        </w:rPr>
      </w:pPr>
    </w:p>
    <w:p>
      <w:pPr>
        <w:ind w:left="520" w:right="100" w:hanging="7"/>
        <w:spacing w:after="0" w:line="290" w:lineRule="auto"/>
        <w:tabs>
          <w:tab w:leader="none" w:pos="770" w:val="left"/>
        </w:tabs>
        <w:numPr>
          <w:ilvl w:val="1"/>
          <w:numId w:val="201"/>
        </w:numPr>
        <w:rPr>
          <w:rFonts w:ascii="Arial" w:cs="Arial" w:eastAsia="Arial" w:hAnsi="Arial"/>
          <w:sz w:val="20"/>
          <w:szCs w:val="20"/>
          <w:color w:val="auto"/>
        </w:rPr>
      </w:pPr>
      <w:r>
        <w:rPr>
          <w:rFonts w:ascii="Arial" w:cs="Arial" w:eastAsia="Arial" w:hAnsi="Arial"/>
          <w:sz w:val="20"/>
          <w:szCs w:val="20"/>
          <w:color w:val="auto"/>
        </w:rPr>
        <w:t>Any Shareholder whose address is not described in the Register of Shareholders, and who shall not have designated in writing an address for the receipt of notices, shall not be entitled to receive any notice from the Company.</w:t>
      </w:r>
    </w:p>
    <w:p>
      <w:pPr>
        <w:spacing w:after="0" w:line="197" w:lineRule="exact"/>
        <w:rPr>
          <w:rFonts w:ascii="Arial" w:cs="Arial" w:eastAsia="Arial" w:hAnsi="Arial"/>
          <w:sz w:val="20"/>
          <w:szCs w:val="20"/>
          <w:color w:val="auto"/>
        </w:rPr>
      </w:pPr>
    </w:p>
    <w:p>
      <w:pPr>
        <w:ind w:left="520" w:right="100" w:hanging="7"/>
        <w:spacing w:after="0" w:line="267" w:lineRule="auto"/>
        <w:tabs>
          <w:tab w:leader="none" w:pos="804" w:val="left"/>
        </w:tabs>
        <w:numPr>
          <w:ilvl w:val="1"/>
          <w:numId w:val="201"/>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herein, notice by the Company of a General Meeting, containing the information required by applicable law and these Articles to be set forth therein, which is published, within the time otherwise required for giving notice of such meeting, in either or several of the following manners (as applicable) shall be deemed to be notice of such meeting duly given, for the purposes of these Articles, to any Shareholder whose address as registered in the Register of Shareholders (or as designated in writing for the receipt of notices and other documents) is located either inside or outside the State of Israel:</w:t>
      </w:r>
    </w:p>
    <w:p>
      <w:pPr>
        <w:spacing w:after="0" w:line="222" w:lineRule="exact"/>
        <w:rPr>
          <w:rFonts w:ascii="Arial" w:cs="Arial" w:eastAsia="Arial" w:hAnsi="Arial"/>
          <w:sz w:val="20"/>
          <w:szCs w:val="20"/>
          <w:color w:val="auto"/>
        </w:rPr>
      </w:pPr>
    </w:p>
    <w:p>
      <w:pPr>
        <w:ind w:left="1260" w:hanging="235"/>
        <w:spacing w:after="0"/>
        <w:tabs>
          <w:tab w:leader="none" w:pos="1260" w:val="left"/>
        </w:tabs>
        <w:numPr>
          <w:ilvl w:val="2"/>
          <w:numId w:val="201"/>
        </w:numPr>
        <w:rPr>
          <w:rFonts w:ascii="Arial" w:cs="Arial" w:eastAsia="Arial" w:hAnsi="Arial"/>
          <w:sz w:val="19"/>
          <w:szCs w:val="19"/>
          <w:color w:val="auto"/>
        </w:rPr>
      </w:pPr>
      <w:r>
        <w:rPr>
          <w:rFonts w:ascii="Arial" w:cs="Arial" w:eastAsia="Arial" w:hAnsi="Arial"/>
          <w:sz w:val="19"/>
          <w:szCs w:val="19"/>
          <w:color w:val="auto"/>
        </w:rPr>
        <w:t>if the Company’s Shares are then listed for trading on a national securities exchange in the United States or quoted in</w:t>
      </w:r>
    </w:p>
    <w:p>
      <w:pPr>
        <w:spacing w:after="0" w:line="38" w:lineRule="exact"/>
        <w:rPr>
          <w:sz w:val="20"/>
          <w:szCs w:val="20"/>
          <w:color w:val="auto"/>
        </w:rPr>
      </w:pPr>
    </w:p>
    <w:p>
      <w:pPr>
        <w:ind w:left="1020" w:right="160"/>
        <w:spacing w:after="0" w:line="311" w:lineRule="auto"/>
        <w:rPr>
          <w:sz w:val="20"/>
          <w:szCs w:val="20"/>
          <w:color w:val="auto"/>
        </w:rPr>
      </w:pPr>
      <w:r>
        <w:rPr>
          <w:rFonts w:ascii="Arial" w:cs="Arial" w:eastAsia="Arial" w:hAnsi="Arial"/>
          <w:sz w:val="19"/>
          <w:szCs w:val="19"/>
          <w:color w:val="auto"/>
        </w:rPr>
        <w:t>an over-the-counter market in the United States, publication of notice of a General Meeting pursuant to a report or a schedule filed with, or furnished to, the SEC pursuant to the Securities Exchange Act of 1934, as amended; and/or</w:t>
      </w:r>
    </w:p>
    <w:p>
      <w:pPr>
        <w:spacing w:after="0" w:line="181" w:lineRule="exact"/>
        <w:rPr>
          <w:sz w:val="20"/>
          <w:szCs w:val="20"/>
          <w:color w:val="auto"/>
        </w:rPr>
      </w:pPr>
    </w:p>
    <w:p>
      <w:pPr>
        <w:ind w:left="1320" w:hanging="295"/>
        <w:spacing w:after="0"/>
        <w:tabs>
          <w:tab w:leader="none" w:pos="1320" w:val="left"/>
        </w:tabs>
        <w:numPr>
          <w:ilvl w:val="1"/>
          <w:numId w:val="202"/>
        </w:numPr>
        <w:rPr>
          <w:rFonts w:ascii="Arial" w:cs="Arial" w:eastAsia="Arial" w:hAnsi="Arial"/>
          <w:sz w:val="20"/>
          <w:szCs w:val="20"/>
          <w:color w:val="auto"/>
        </w:rPr>
      </w:pPr>
      <w:r>
        <w:rPr>
          <w:rFonts w:ascii="Arial" w:cs="Arial" w:eastAsia="Arial" w:hAnsi="Arial"/>
          <w:sz w:val="20"/>
          <w:szCs w:val="20"/>
          <w:color w:val="auto"/>
        </w:rPr>
        <w:t>on the Company’s internet site.</w:t>
      </w:r>
    </w:p>
    <w:p>
      <w:pPr>
        <w:spacing w:after="0" w:line="272" w:lineRule="exact"/>
        <w:rPr>
          <w:rFonts w:ascii="Arial" w:cs="Arial" w:eastAsia="Arial" w:hAnsi="Arial"/>
          <w:sz w:val="20"/>
          <w:szCs w:val="20"/>
          <w:color w:val="auto"/>
        </w:rPr>
      </w:pPr>
    </w:p>
    <w:p>
      <w:pPr>
        <w:ind w:left="520" w:right="280" w:hanging="7"/>
        <w:spacing w:after="0" w:line="290" w:lineRule="auto"/>
        <w:tabs>
          <w:tab w:leader="none" w:pos="804" w:val="left"/>
        </w:tabs>
        <w:numPr>
          <w:ilvl w:val="0"/>
          <w:numId w:val="203"/>
        </w:numPr>
        <w:rPr>
          <w:rFonts w:ascii="Arial" w:cs="Arial" w:eastAsia="Arial" w:hAnsi="Arial"/>
          <w:sz w:val="20"/>
          <w:szCs w:val="20"/>
          <w:color w:val="auto"/>
        </w:rPr>
      </w:pPr>
      <w:r>
        <w:rPr>
          <w:rFonts w:ascii="Arial" w:cs="Arial" w:eastAsia="Arial" w:hAnsi="Arial"/>
          <w:sz w:val="20"/>
          <w:szCs w:val="20"/>
          <w:color w:val="auto"/>
        </w:rPr>
        <w:t>The mailing or publication date and the record date and/or date of the meeting (as applicable) shall be counted among the days comprising any notice period under the Companies Law and the regulations thereunder.</w:t>
      </w:r>
    </w:p>
    <w:p>
      <w:pPr>
        <w:spacing w:after="0" w:line="348" w:lineRule="exact"/>
        <w:rPr>
          <w:rFonts w:ascii="Arial" w:cs="Arial" w:eastAsia="Arial" w:hAnsi="Arial"/>
          <w:sz w:val="20"/>
          <w:szCs w:val="20"/>
          <w:color w:val="auto"/>
        </w:rPr>
      </w:pPr>
    </w:p>
    <w:p>
      <w:pPr>
        <w:ind w:left="5520" w:hanging="114"/>
        <w:spacing w:after="0"/>
        <w:tabs>
          <w:tab w:leader="none" w:pos="5520" w:val="left"/>
        </w:tabs>
        <w:numPr>
          <w:ilvl w:val="2"/>
          <w:numId w:val="203"/>
        </w:numPr>
        <w:rPr>
          <w:rFonts w:ascii="Arial" w:cs="Arial" w:eastAsia="Arial" w:hAnsi="Arial"/>
          <w:sz w:val="20"/>
          <w:szCs w:val="20"/>
          <w:color w:val="auto"/>
        </w:rPr>
      </w:pPr>
      <w:r>
        <w:rPr>
          <w:rFonts w:ascii="Arial" w:cs="Arial" w:eastAsia="Arial" w:hAnsi="Arial"/>
          <w:sz w:val="20"/>
          <w:szCs w:val="20"/>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41845" cy="158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78" w:right="339" w:bottom="46" w:gutter="0" w:footer="0" w:header="0"/>
        </w:sectPr>
      </w:pPr>
    </w:p>
    <w:bookmarkStart w:id="200" w:name="page201"/>
    <w:bookmarkEnd w:id="200"/>
    <w:p>
      <w:pPr>
        <w:jc w:val="center"/>
        <w:ind w:right="-59"/>
        <w:spacing w:after="0"/>
        <w:rPr>
          <w:sz w:val="20"/>
          <w:szCs w:val="20"/>
          <w:color w:val="auto"/>
        </w:rPr>
      </w:pPr>
      <w:r>
        <w:rPr>
          <w:rFonts w:ascii="Arial" w:cs="Arial" w:eastAsia="Arial" w:hAnsi="Arial"/>
          <w:sz w:val="20"/>
          <w:szCs w:val="20"/>
          <w:b w:val="1"/>
          <w:bCs w:val="1"/>
          <w:color w:val="auto"/>
        </w:rPr>
        <w:t>AMENDMENT</w:t>
      </w:r>
    </w:p>
    <w:p>
      <w:pPr>
        <w:spacing w:after="0" w:line="268" w:lineRule="exact"/>
        <w:rPr>
          <w:sz w:val="20"/>
          <w:szCs w:val="20"/>
          <w:color w:val="auto"/>
        </w:rPr>
      </w:pPr>
    </w:p>
    <w:p>
      <w:pPr>
        <w:ind w:left="560" w:hanging="560"/>
        <w:spacing w:after="0"/>
        <w:tabs>
          <w:tab w:leader="none" w:pos="560" w:val="left"/>
        </w:tabs>
        <w:numPr>
          <w:ilvl w:val="0"/>
          <w:numId w:val="204"/>
        </w:numPr>
        <w:rPr>
          <w:rFonts w:ascii="Arial" w:cs="Arial" w:eastAsia="Arial" w:hAnsi="Arial"/>
          <w:sz w:val="17"/>
          <w:szCs w:val="17"/>
          <w:color w:val="auto"/>
        </w:rPr>
      </w:pPr>
      <w:r>
        <w:rPr>
          <w:rFonts w:ascii="Arial" w:cs="Arial" w:eastAsia="Arial" w:hAnsi="Arial"/>
          <w:sz w:val="17"/>
          <w:szCs w:val="17"/>
          <w:b w:val="1"/>
          <w:bCs w:val="1"/>
          <w:u w:val="single" w:color="auto"/>
          <w:color w:val="auto"/>
        </w:rPr>
        <w:t>AMENDMENT</w:t>
      </w:r>
      <w:r>
        <w:rPr>
          <w:rFonts w:ascii="Arial" w:cs="Arial" w:eastAsia="Arial" w:hAnsi="Arial"/>
          <w:sz w:val="17"/>
          <w:szCs w:val="17"/>
          <w:u w:val="single" w:color="auto"/>
          <w:color w:val="auto"/>
        </w:rPr>
        <w:t>.</w:t>
      </w:r>
    </w:p>
    <w:p>
      <w:pPr>
        <w:spacing w:after="0" w:line="264" w:lineRule="exact"/>
        <w:rPr>
          <w:sz w:val="20"/>
          <w:szCs w:val="20"/>
          <w:color w:val="auto"/>
        </w:rPr>
      </w:pPr>
    </w:p>
    <w:p>
      <w:pPr>
        <w:ind w:left="520" w:right="100"/>
        <w:spacing w:after="0" w:line="349" w:lineRule="auto"/>
        <w:rPr>
          <w:sz w:val="20"/>
          <w:szCs w:val="20"/>
          <w:color w:val="auto"/>
        </w:rPr>
      </w:pPr>
      <w:r>
        <w:rPr>
          <w:rFonts w:ascii="Arial" w:cs="Arial" w:eastAsia="Arial" w:hAnsi="Arial"/>
          <w:sz w:val="18"/>
          <w:szCs w:val="18"/>
          <w:color w:val="auto"/>
        </w:rPr>
        <w:t>Any amendment of these Articles shall require, in addition to the approval of the General Meeting of Shareholders in accordance with these Articles, also the approval of the Board of Directors with the affirmative vote of a majority of the then serving Directors.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FORUM FOR ADJUDICATION OF DISPUTES</w:t>
      </w:r>
    </w:p>
    <w:p>
      <w:pPr>
        <w:spacing w:after="0" w:line="268" w:lineRule="exact"/>
        <w:rPr>
          <w:sz w:val="20"/>
          <w:szCs w:val="20"/>
          <w:color w:val="auto"/>
        </w:rPr>
      </w:pPr>
    </w:p>
    <w:p>
      <w:pPr>
        <w:ind w:left="560" w:hanging="560"/>
        <w:spacing w:after="0"/>
        <w:tabs>
          <w:tab w:leader="none" w:pos="560" w:val="left"/>
        </w:tabs>
        <w:numPr>
          <w:ilvl w:val="0"/>
          <w:numId w:val="205"/>
        </w:numPr>
        <w:rPr>
          <w:rFonts w:ascii="Arial" w:cs="Arial" w:eastAsia="Arial" w:hAnsi="Arial"/>
          <w:sz w:val="17"/>
          <w:szCs w:val="17"/>
          <w:color w:val="auto"/>
        </w:rPr>
      </w:pPr>
      <w:r>
        <w:rPr>
          <w:rFonts w:ascii="Arial" w:cs="Arial" w:eastAsia="Arial" w:hAnsi="Arial"/>
          <w:sz w:val="17"/>
          <w:szCs w:val="17"/>
          <w:b w:val="1"/>
          <w:bCs w:val="1"/>
          <w:u w:val="single" w:color="auto"/>
          <w:color w:val="auto"/>
        </w:rPr>
        <w:t>FORUM FOR ADJUDICATION OF DISPUTES</w:t>
      </w:r>
      <w:r>
        <w:rPr>
          <w:rFonts w:ascii="Arial" w:cs="Arial" w:eastAsia="Arial" w:hAnsi="Arial"/>
          <w:sz w:val="17"/>
          <w:szCs w:val="17"/>
          <w:u w:val="single" w:color="auto"/>
          <w:color w:val="auto"/>
        </w:rPr>
        <w:t>.</w:t>
      </w:r>
    </w:p>
    <w:p>
      <w:pPr>
        <w:spacing w:after="0" w:line="264" w:lineRule="exact"/>
        <w:rPr>
          <w:rFonts w:ascii="Arial" w:cs="Arial" w:eastAsia="Arial" w:hAnsi="Arial"/>
          <w:sz w:val="17"/>
          <w:szCs w:val="17"/>
          <w:color w:val="auto"/>
        </w:rPr>
      </w:pPr>
    </w:p>
    <w:p>
      <w:pPr>
        <w:ind w:left="520" w:hanging="7"/>
        <w:spacing w:after="0" w:line="266" w:lineRule="auto"/>
        <w:tabs>
          <w:tab w:leader="none" w:pos="793" w:val="left"/>
        </w:tabs>
        <w:numPr>
          <w:ilvl w:val="1"/>
          <w:numId w:val="205"/>
        </w:numPr>
        <w:rPr>
          <w:rFonts w:ascii="Arial" w:cs="Arial" w:eastAsia="Arial" w:hAnsi="Arial"/>
          <w:sz w:val="20"/>
          <w:szCs w:val="20"/>
          <w:color w:val="auto"/>
        </w:rPr>
      </w:pPr>
      <w:r>
        <w:rPr>
          <w:rFonts w:ascii="Arial" w:cs="Arial" w:eastAsia="Arial" w:hAnsi="Arial"/>
          <w:sz w:val="20"/>
          <w:szCs w:val="20"/>
          <w:color w:val="auto"/>
        </w:rPr>
        <w:t>Unless the Company consents in writing to the selection of an alternative forum, the federal district courts of the United States of America, shall be the exclusive forum for the resolution of any complaint asserting a cause or causes of action arising under the U.S. Securities Act of 1933, as amended, including all causes of action asserted against any defendant to such complaint. For the avoidance of doubt, this provision is intended to benefit and may be enforced by the Company,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The foregoing provisions of this Article 70 shall not apply to causes of action arising under the U.S. Securities Exchange Act of 1934, as amended.</w:t>
      </w:r>
    </w:p>
    <w:p>
      <w:pPr>
        <w:spacing w:after="0" w:line="220" w:lineRule="exact"/>
        <w:rPr>
          <w:rFonts w:ascii="Arial" w:cs="Arial" w:eastAsia="Arial" w:hAnsi="Arial"/>
          <w:sz w:val="20"/>
          <w:szCs w:val="20"/>
          <w:color w:val="auto"/>
        </w:rPr>
      </w:pPr>
    </w:p>
    <w:p>
      <w:pPr>
        <w:ind w:left="520" w:hanging="7"/>
        <w:spacing w:after="0" w:line="310" w:lineRule="auto"/>
        <w:tabs>
          <w:tab w:leader="none" w:pos="804" w:val="left"/>
        </w:tabs>
        <w:numPr>
          <w:ilvl w:val="1"/>
          <w:numId w:val="205"/>
        </w:numPr>
        <w:rPr>
          <w:rFonts w:ascii="Arial" w:cs="Arial" w:eastAsia="Arial" w:hAnsi="Arial"/>
          <w:sz w:val="18"/>
          <w:szCs w:val="18"/>
          <w:color w:val="auto"/>
        </w:rPr>
      </w:pPr>
      <w:r>
        <w:rPr>
          <w:rFonts w:ascii="Arial" w:cs="Arial" w:eastAsia="Arial" w:hAnsi="Arial"/>
          <w:sz w:val="18"/>
          <w:szCs w:val="18"/>
          <w:color w:val="auto"/>
        </w:rPr>
        <w:t>Unless the Company consents in writing to the selection of an alternative forum, the competent courts in Tel Aviv, Israel shall be the exclusive forum for (i) any derivative action or proceeding brought on behalf of the Company, (ii) any action asserting a claim of breach of a fiduciary duty owed by any director, officer or other employee of the Company to the Company or the Company’s shareholders, or (iii) any action asserting a claim arising pursuant to any provision of the Companies Law or the Securities Law.</w:t>
      </w:r>
    </w:p>
    <w:p>
      <w:pPr>
        <w:spacing w:after="0" w:line="185" w:lineRule="exact"/>
        <w:rPr>
          <w:rFonts w:ascii="Arial" w:cs="Arial" w:eastAsia="Arial" w:hAnsi="Arial"/>
          <w:sz w:val="18"/>
          <w:szCs w:val="18"/>
          <w:color w:val="auto"/>
        </w:rPr>
      </w:pPr>
    </w:p>
    <w:p>
      <w:pPr>
        <w:ind w:left="520" w:hanging="7"/>
        <w:spacing w:after="0" w:line="290" w:lineRule="auto"/>
        <w:tabs>
          <w:tab w:leader="none" w:pos="793" w:val="left"/>
        </w:tabs>
        <w:numPr>
          <w:ilvl w:val="1"/>
          <w:numId w:val="205"/>
        </w:numPr>
        <w:rPr>
          <w:rFonts w:ascii="Arial" w:cs="Arial" w:eastAsia="Arial" w:hAnsi="Arial"/>
          <w:sz w:val="20"/>
          <w:szCs w:val="20"/>
          <w:color w:val="auto"/>
        </w:rPr>
      </w:pPr>
      <w:r>
        <w:rPr>
          <w:rFonts w:ascii="Arial" w:cs="Arial" w:eastAsia="Arial" w:hAnsi="Arial"/>
          <w:sz w:val="20"/>
          <w:szCs w:val="20"/>
          <w:color w:val="auto"/>
        </w:rPr>
        <w:t>Any person or entity purchasing or otherwise acquiring or holding any interest in shares of the Company shall be deemed to have notice of and consented to the provisions of this Article 70.</w:t>
      </w:r>
    </w:p>
    <w:p>
      <w:pPr>
        <w:spacing w:after="0" w:line="184" w:lineRule="exact"/>
        <w:rPr>
          <w:rFonts w:ascii="Arial" w:cs="Arial" w:eastAsia="Arial" w:hAnsi="Arial"/>
          <w:sz w:val="20"/>
          <w:szCs w:val="20"/>
          <w:color w:val="auto"/>
        </w:rPr>
      </w:pPr>
    </w:p>
    <w:p>
      <w:pPr>
        <w:ind w:left="5520" w:hanging="114"/>
        <w:spacing w:after="0"/>
        <w:tabs>
          <w:tab w:leader="none" w:pos="5520" w:val="left"/>
        </w:tabs>
        <w:numPr>
          <w:ilvl w:val="2"/>
          <w:numId w:val="205"/>
        </w:numPr>
        <w:rPr>
          <w:rFonts w:ascii="Arial" w:cs="Arial" w:eastAsia="Arial" w:hAnsi="Arial"/>
          <w:sz w:val="20"/>
          <w:szCs w:val="20"/>
          <w:color w:val="auto"/>
        </w:rPr>
      </w:pPr>
      <w:r>
        <w:rPr>
          <w:rFonts w:ascii="Arial" w:cs="Arial" w:eastAsia="Arial" w:hAnsi="Arial"/>
          <w:sz w:val="20"/>
          <w:szCs w:val="20"/>
          <w:color w:val="auto"/>
        </w:rPr>
        <w:t>24 -</w:t>
      </w:r>
    </w:p>
    <w:p>
      <w:pPr>
        <w:sectPr>
          <w:pgSz w:w="11900" w:h="16838" w:orient="portrait"/>
          <w:cols w:equalWidth="0" w:num="1">
            <w:col w:w="11180"/>
          </w:cols>
          <w:pgMar w:left="320" w:top="378" w:right="399" w:bottom="1440" w:gutter="0" w:footer="0" w:header="0"/>
        </w:sectPr>
      </w:pPr>
    </w:p>
    <w:bookmarkStart w:id="201" w:name="page202"/>
    <w:bookmarkEnd w:id="201"/>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1845" cy="317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7141845" cy="31750"/>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200660</wp:posOffset>
            </wp:positionV>
            <wp:extent cx="714184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7141845" cy="8255"/>
                    </a:xfrm>
                    <a:prstGeom prst="rect">
                      <a:avLst/>
                    </a:prstGeom>
                    <a:noFill/>
                  </pic:spPr>
                </pic:pic>
              </a:graphicData>
            </a:graphic>
          </wp:anchor>
        </w:drawing>
        <w:t>Exhibit 2.1</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REGISTERED PURSUANT TO SECTION 12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 AS AMENDED</w:t>
      </w:r>
    </w:p>
    <w:p>
      <w:pPr>
        <w:spacing w:after="0" w:line="266" w:lineRule="exact"/>
        <w:rPr>
          <w:sz w:val="20"/>
          <w:szCs w:val="20"/>
          <w:color w:val="auto"/>
        </w:rPr>
      </w:pPr>
    </w:p>
    <w:p>
      <w:pPr>
        <w:ind w:right="120"/>
        <w:spacing w:after="0" w:line="269" w:lineRule="auto"/>
        <w:rPr>
          <w:sz w:val="20"/>
          <w:szCs w:val="20"/>
          <w:color w:val="auto"/>
        </w:rPr>
      </w:pPr>
      <w:r>
        <w:rPr>
          <w:rFonts w:ascii="Arial" w:cs="Arial" w:eastAsia="Arial" w:hAnsi="Arial"/>
          <w:sz w:val="20"/>
          <w:szCs w:val="20"/>
          <w:color w:val="auto"/>
        </w:rPr>
        <w:t>As of December 31, 2021, WalkMe Ltd. had one class of securities registered under Section 12 of the Securities Exchange Act of 1934, as amended: our ordinary shares. References herein to “we,” “us,” “our” and the “Company” refer to WalkMe Ltd. and not to any of its subsidiaries. The following description may not contain all of the information that is important to you, and we therefore refer you to our amended and restated articles of association, a copy of which is filed with the Securities and Exchange Commission (“SEC”) as an exhibit to this annual report on Form 20-F.</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capital</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Our authorized share capital consists of 900,000,000 ordinary shares, no par value.</w:t>
      </w:r>
    </w:p>
    <w:p>
      <w:pPr>
        <w:spacing w:after="0" w:line="272" w:lineRule="exact"/>
        <w:rPr>
          <w:sz w:val="20"/>
          <w:szCs w:val="20"/>
          <w:color w:val="auto"/>
        </w:rPr>
      </w:pPr>
    </w:p>
    <w:p>
      <w:pPr>
        <w:ind w:right="80"/>
        <w:spacing w:after="0" w:line="290" w:lineRule="auto"/>
        <w:rPr>
          <w:sz w:val="20"/>
          <w:szCs w:val="20"/>
          <w:color w:val="auto"/>
        </w:rPr>
      </w:pPr>
      <w:r>
        <w:rPr>
          <w:rFonts w:ascii="Arial" w:cs="Arial" w:eastAsia="Arial" w:hAnsi="Arial"/>
          <w:sz w:val="20"/>
          <w:szCs w:val="20"/>
          <w:color w:val="auto"/>
        </w:rPr>
        <w:t>All of our outstanding ordinary shares are validly issued, fully paid and non-assessable. Our ordinary shares are not redeemable and do not have any preemptive rights.</w:t>
      </w:r>
    </w:p>
    <w:p>
      <w:pPr>
        <w:spacing w:after="0" w:line="197" w:lineRule="exact"/>
        <w:rPr>
          <w:sz w:val="20"/>
          <w:szCs w:val="20"/>
          <w:color w:val="auto"/>
        </w:rPr>
      </w:pPr>
    </w:p>
    <w:p>
      <w:pPr>
        <w:ind w:right="300"/>
        <w:spacing w:after="0" w:line="276" w:lineRule="auto"/>
        <w:rPr>
          <w:sz w:val="20"/>
          <w:szCs w:val="20"/>
          <w:color w:val="auto"/>
        </w:rPr>
      </w:pPr>
      <w:r>
        <w:rPr>
          <w:rFonts w:ascii="Arial" w:cs="Arial" w:eastAsia="Arial" w:hAnsi="Arial"/>
          <w:sz w:val="20"/>
          <w:szCs w:val="20"/>
          <w:color w:val="auto"/>
        </w:rPr>
        <w:t>Our board of directors may determine the issue prices and terms for such shares or other securities, and may further determine any other provision relating to such issue of shares or securities. We may also issue and redeem redeemable securities on such terms and in such manner as our board of directors shall determine.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of shares</w:t>
      </w:r>
    </w:p>
    <w:p>
      <w:pPr>
        <w:spacing w:after="0" w:line="276" w:lineRule="exact"/>
        <w:rPr>
          <w:sz w:val="20"/>
          <w:szCs w:val="20"/>
          <w:color w:val="auto"/>
        </w:rPr>
      </w:pPr>
    </w:p>
    <w:p>
      <w:pPr>
        <w:ind w:right="240"/>
        <w:spacing w:after="0" w:line="269" w:lineRule="auto"/>
        <w:rPr>
          <w:sz w:val="20"/>
          <w:szCs w:val="20"/>
          <w:color w:val="auto"/>
        </w:rPr>
      </w:pPr>
      <w:r>
        <w:rPr>
          <w:rFonts w:ascii="Arial" w:cs="Arial" w:eastAsia="Arial" w:hAnsi="Arial"/>
          <w:sz w:val="20"/>
          <w:szCs w:val="20"/>
          <w:color w:val="auto"/>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ordinary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Election of directors</w:t>
      </w:r>
    </w:p>
    <w:p>
      <w:pPr>
        <w:spacing w:after="0" w:line="276"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color w:val="auto"/>
        </w:rPr>
        <w:t>Under our amended and restated articles of association, our board of directors must consist of not less than three but no more than ten directors. Pursuant to our amended and restated articles of association, each of our directors is appointed by a simple majority vote of holders of our ordinary shares, participating and voting at an annual general meeting of our shareholders provided that (i) in the event of a contested election the method of calculation of the votes and the manner in which the resolutions will be presented to our shareholders at the general meeting shall be determined by our board of directors in its discretion, and (ii) in the event that our board of directors does not or is unable to make a determination on such matter, then the directors will be elected by a plurality of the voting power represented at the general meeting in person or by proxy and voting on the election of directors. In addition, our directors are divided into three classes, one class being elected each year at the annual general meeting of our shareholders, and serve on our board of directors until the third annual general meeting following such election or re-election or until they are removed by a vote of 65% of the total voting power of our shareholders at a general meeting of our shareholders or upon the occurrence of certain events in accordance with the Israeli Companies Law, 5759-1999 (the “Companies Law”) and our amended and restated articles of association. In addition, our amended and restated articles of association provide that vacancies on our board of directors may be filled by a vote of a simple majority of the directors then in office. A director so appointed will hold office until the next annual general meeting of our shareholders for the election of the class of directors in respect of which the vacancy was created, or in the case of a vacancy due to the number of directors being less than the maximum number of directors stated in our amended and restated articles of association, until the next annual general meeting of our shareholders for the election of the class of directors to which such director was assigned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7141845" cy="158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202" w:name="page203"/>
    <w:bookmarkEnd w:id="202"/>
    <w:p>
      <w:pPr>
        <w:spacing w:after="0"/>
        <w:rPr>
          <w:sz w:val="20"/>
          <w:szCs w:val="20"/>
          <w:color w:val="auto"/>
        </w:rPr>
      </w:pPr>
      <w:r>
        <w:rPr>
          <w:rFonts w:ascii="Arial" w:cs="Arial" w:eastAsia="Arial" w:hAnsi="Arial"/>
          <w:sz w:val="20"/>
          <w:szCs w:val="20"/>
          <w:b w:val="1"/>
          <w:bCs w:val="1"/>
          <w:color w:val="auto"/>
        </w:rPr>
        <w:t>Dividend and liquidation rights</w:t>
      </w:r>
    </w:p>
    <w:p>
      <w:pPr>
        <w:spacing w:after="0" w:line="276" w:lineRule="exact"/>
        <w:rPr>
          <w:sz w:val="20"/>
          <w:szCs w:val="20"/>
          <w:color w:val="auto"/>
        </w:rPr>
      </w:pPr>
    </w:p>
    <w:p>
      <w:pPr>
        <w:ind w:right="280"/>
        <w:spacing w:after="0" w:line="310"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86" w:lineRule="exact"/>
        <w:rPr>
          <w:sz w:val="20"/>
          <w:szCs w:val="20"/>
          <w:color w:val="auto"/>
        </w:rPr>
      </w:pPr>
    </w:p>
    <w:p>
      <w:pPr>
        <w:ind w:right="20"/>
        <w:spacing w:after="0" w:line="266" w:lineRule="auto"/>
        <w:rPr>
          <w:sz w:val="20"/>
          <w:szCs w:val="20"/>
          <w:color w:val="auto"/>
        </w:rPr>
      </w:pPr>
      <w:r>
        <w:rPr>
          <w:rFonts w:ascii="Arial" w:cs="Arial" w:eastAsia="Arial" w:hAnsi="Arial"/>
          <w:sz w:val="20"/>
          <w:szCs w:val="20"/>
          <w:color w:val="auto"/>
        </w:rPr>
        <w:t>Pursuant to the Companies Law, the distribution amount is limited to the greater of retained earnings or earnings generated over the previous two years, according to our then last reviewed or audited financial statements (less the amount of previously distributed dividends, if not reduced from the earnings),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if applicable, the court determines that there is no reasonable concern that payment of the dividend will prevent us from satisfying our existing and foreseeable obligations as they become due.</w:t>
      </w:r>
    </w:p>
    <w:p>
      <w:pPr>
        <w:spacing w:after="0" w:line="224" w:lineRule="exact"/>
        <w:rPr>
          <w:sz w:val="20"/>
          <w:szCs w:val="20"/>
          <w:color w:val="auto"/>
        </w:rPr>
      </w:pPr>
    </w:p>
    <w:p>
      <w:pPr>
        <w:ind w:right="60"/>
        <w:spacing w:after="0" w:line="320"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Meetings</w:t>
      </w:r>
    </w:p>
    <w:p>
      <w:pPr>
        <w:spacing w:after="0" w:line="27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Under Israeli law, we are required to hold an annual general meeting of our shareholders once every calendar year and no later than 15 months after the date of the previous annual general meeting. All meetings other than the annual general meeting of shareholders are referred to in our amended and restated articles of association as special general meetings. Our board of directors may call special general meetings of our shareholders whenever it sees fit, at such time and place, within or outside of Israel, as it may determine. In addition, the Companies Law provides that our board of directors is required to convene a special general meeting of our shareholders upon the written request of (1) any two or more of our directors, (2) one-quarter or more of the serving members of our board of directors or (3) one or more shareholders holding, in the aggregate, either (a) 5% or more of our outstanding issued shares and 1% or more of our outstanding voting power or (b) 5% or more of our outstanding voting power.</w:t>
      </w:r>
    </w:p>
    <w:p>
      <w:pPr>
        <w:spacing w:after="0" w:line="213"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Under Israeli law, one or more shareholders holding at least 1% of the voting rights at the general meeting of the shareholders may request that the board of directors include a matter in the agenda of a general meeting of the shareholders to be convened in the future, provided that it is appropriate to discuss such a matter at the general meeting. Our amended and restated articles of association contain procedural guidelines and disclosure items with respect to the submission of shareholder proposals for general meetings.</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Subject to the provisions of the Companies Law and the regulations promulgated thereunder, shareholders entitled to participate and vote at general meetings of shareholders are the shareholders of record on a date to be decided by the board of directors, which, as a company listed on an exchange outside Israel, may be between four and 40 days prior to the date of the meeting. Furthermore, the Companies Law requires that resolutions regarding the following matters must be passed at a general meeting of shareholders:</w:t>
      </w:r>
    </w:p>
    <w:p>
      <w:pPr>
        <w:spacing w:after="0" w:line="199" w:lineRule="exact"/>
        <w:rPr>
          <w:sz w:val="20"/>
          <w:szCs w:val="20"/>
          <w:color w:val="auto"/>
        </w:rPr>
      </w:pPr>
    </w:p>
    <w:p>
      <w:pPr>
        <w:ind w:left="900" w:hanging="297"/>
        <w:spacing w:after="0"/>
        <w:tabs>
          <w:tab w:leader="none" w:pos="9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amendments to our articles of association;</w:t>
      </w:r>
    </w:p>
    <w:p>
      <w:pPr>
        <w:spacing w:after="0" w:line="256" w:lineRule="exact"/>
        <w:rPr>
          <w:rFonts w:ascii="Arial" w:cs="Arial" w:eastAsia="Arial" w:hAnsi="Arial"/>
          <w:sz w:val="17"/>
          <w:szCs w:val="17"/>
          <w:color w:val="auto"/>
        </w:rPr>
      </w:pPr>
    </w:p>
    <w:p>
      <w:pPr>
        <w:ind w:left="900" w:hanging="297"/>
        <w:spacing w:after="0"/>
        <w:tabs>
          <w:tab w:leader="none" w:pos="9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appointment, terms of service or and termination of service of our auditors;</w:t>
      </w:r>
    </w:p>
    <w:p>
      <w:pPr>
        <w:spacing w:after="0" w:line="256" w:lineRule="exact"/>
        <w:rPr>
          <w:rFonts w:ascii="Arial" w:cs="Arial" w:eastAsia="Arial" w:hAnsi="Arial"/>
          <w:sz w:val="17"/>
          <w:szCs w:val="17"/>
          <w:color w:val="auto"/>
        </w:rPr>
      </w:pPr>
    </w:p>
    <w:p>
      <w:pPr>
        <w:ind w:left="900" w:hanging="297"/>
        <w:spacing w:after="0"/>
        <w:tabs>
          <w:tab w:leader="none" w:pos="9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appointment of directors, including external directors (if applicable);</w:t>
      </w:r>
    </w:p>
    <w:p>
      <w:pPr>
        <w:spacing w:after="0" w:line="256" w:lineRule="exact"/>
        <w:rPr>
          <w:rFonts w:ascii="Arial" w:cs="Arial" w:eastAsia="Arial" w:hAnsi="Arial"/>
          <w:sz w:val="17"/>
          <w:szCs w:val="17"/>
          <w:color w:val="auto"/>
        </w:rPr>
      </w:pPr>
    </w:p>
    <w:p>
      <w:pPr>
        <w:ind w:left="900" w:hanging="297"/>
        <w:spacing w:after="0"/>
        <w:tabs>
          <w:tab w:leader="none" w:pos="9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approval of certain related party transactions;</w:t>
      </w:r>
    </w:p>
    <w:p>
      <w:pPr>
        <w:spacing w:after="0" w:line="256" w:lineRule="exact"/>
        <w:rPr>
          <w:rFonts w:ascii="Arial" w:cs="Arial" w:eastAsia="Arial" w:hAnsi="Arial"/>
          <w:sz w:val="17"/>
          <w:szCs w:val="17"/>
          <w:color w:val="auto"/>
        </w:rPr>
      </w:pPr>
    </w:p>
    <w:p>
      <w:pPr>
        <w:ind w:left="900" w:hanging="297"/>
        <w:spacing w:after="0"/>
        <w:tabs>
          <w:tab w:leader="none" w:pos="9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increases or reductions of our authorized share capital;</w:t>
      </w:r>
    </w:p>
    <w:p>
      <w:pPr>
        <w:spacing w:after="0" w:line="256" w:lineRule="exact"/>
        <w:rPr>
          <w:rFonts w:ascii="Arial" w:cs="Arial" w:eastAsia="Arial" w:hAnsi="Arial"/>
          <w:sz w:val="17"/>
          <w:szCs w:val="17"/>
          <w:color w:val="auto"/>
        </w:rPr>
      </w:pPr>
    </w:p>
    <w:p>
      <w:pPr>
        <w:ind w:left="900" w:hanging="297"/>
        <w:spacing w:after="0"/>
        <w:tabs>
          <w:tab w:leader="none" w:pos="9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 merger; and</w:t>
      </w:r>
    </w:p>
    <w:p>
      <w:pPr>
        <w:spacing w:after="0" w:line="256" w:lineRule="exact"/>
        <w:rPr>
          <w:rFonts w:ascii="Arial" w:cs="Arial" w:eastAsia="Arial" w:hAnsi="Arial"/>
          <w:sz w:val="17"/>
          <w:szCs w:val="17"/>
          <w:color w:val="auto"/>
        </w:rPr>
      </w:pPr>
    </w:p>
    <w:p>
      <w:pPr>
        <w:ind w:left="900" w:hanging="297"/>
        <w:spacing w:after="0" w:line="268" w:lineRule="auto"/>
        <w:tabs>
          <w:tab w:leader="none" w:pos="90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exercise of our board of directors’ powers by a general meeting, if our board of directors is unable to exercise its powers and the exercise of any of its powers is required for our proper management.</w:t>
      </w:r>
    </w:p>
    <w:p>
      <w:pPr>
        <w:spacing w:after="0" w:line="220" w:lineRule="exact"/>
        <w:rPr>
          <w:sz w:val="20"/>
          <w:szCs w:val="20"/>
          <w:color w:val="auto"/>
        </w:rPr>
      </w:pPr>
    </w:p>
    <w:p>
      <w:pPr>
        <w:ind w:right="60"/>
        <w:spacing w:after="0" w:line="286" w:lineRule="auto"/>
        <w:rPr>
          <w:sz w:val="20"/>
          <w:szCs w:val="20"/>
          <w:color w:val="auto"/>
        </w:rPr>
      </w:pPr>
      <w:r>
        <w:rPr>
          <w:rFonts w:ascii="Arial" w:cs="Arial" w:eastAsia="Arial" w:hAnsi="Arial"/>
          <w:sz w:val="19"/>
          <w:szCs w:val="19"/>
          <w:color w:val="auto"/>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or an approval of a merger, notice must be provided at least 35 days prior to the meeting. Under the Companies Law and our amended and restated articles of association, shareholders are not permitted to take action by way of written consent in lieu of a meeting.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41845" cy="158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78" w:right="339" w:bottom="599" w:gutter="0" w:footer="0" w:header="0"/>
        </w:sectPr>
      </w:pPr>
    </w:p>
    <w:bookmarkStart w:id="203" w:name="page204"/>
    <w:bookmarkEnd w:id="203"/>
    <w:p>
      <w:pPr>
        <w:spacing w:after="0"/>
        <w:rPr>
          <w:sz w:val="20"/>
          <w:szCs w:val="20"/>
          <w:color w:val="auto"/>
        </w:rPr>
      </w:pPr>
      <w:r>
        <w:rPr>
          <w:rFonts w:ascii="Arial" w:cs="Arial" w:eastAsia="Arial" w:hAnsi="Arial"/>
          <w:sz w:val="20"/>
          <w:szCs w:val="20"/>
          <w:b w:val="1"/>
          <w:bCs w:val="1"/>
          <w:color w:val="auto"/>
        </w:rPr>
        <w:t>Voting rights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All ordinary shares have identical voting and other rights in all respects.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Quorum</w:t>
      </w:r>
    </w:p>
    <w:p>
      <w:pPr>
        <w:spacing w:after="0" w:line="272"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Pursuant to our amended and restated articles of association, holders of our ordinary shares have one vote for each ordinary share held on all matters submitted to a vote before the shareholders at a general meeting of shareholders. The quorum required for our general meetings of shareholders consists of at least two shareholders present in person or by proxy in accordance with the Companies Law who hold or represent at least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total outstanding voting power of our shares, except that if (i) any such general meeting was initiated by and convened pursuant to a resolution adopted by the board of directors and (ii) at the time of such general meeting we qualify as to use the forms and rules of a “foreign private issuer,” the requisite quorum will consist of two or more shareholders present in person or by proxy who hold or represent at least 25% of the total outstanding voting power of our shares. The requisite quorum shall be present within half an hour of the time fixed for the commencement of the general meeting. A general meeting adjourned for lack of a quorum shall be adjourned either to the same day in the next week, at the same time and place, to such day and at such time and place as indicated in the notice to such meeting, or to such day and at such time and place as the chairperson of the meeting shall determine.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above.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Vote requirements</w:t>
      </w:r>
    </w:p>
    <w:p>
      <w:pPr>
        <w:spacing w:after="0" w:line="272" w:lineRule="exact"/>
        <w:rPr>
          <w:sz w:val="20"/>
          <w:szCs w:val="20"/>
          <w:color w:val="auto"/>
        </w:rPr>
      </w:pPr>
    </w:p>
    <w:p>
      <w:pPr>
        <w:ind w:right="40"/>
        <w:spacing w:after="0" w:line="298" w:lineRule="auto"/>
        <w:rPr>
          <w:sz w:val="20"/>
          <w:szCs w:val="20"/>
          <w:color w:val="auto"/>
        </w:rPr>
      </w:pPr>
      <w:r>
        <w:rPr>
          <w:rFonts w:ascii="Arial" w:cs="Arial" w:eastAsia="Arial" w:hAnsi="Arial"/>
          <w:sz w:val="18"/>
          <w:szCs w:val="18"/>
          <w:color w:val="auto"/>
        </w:rPr>
        <w:t>Our amended and restated articles of association provide that all resolutions of our shareholders require a simple majority vote, unless otherwise required by the Companies Law or by our amended and restated articles of association. Under the Companies Law, certain actions require the approval of a special majority, including: (i)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certain compensation-related matters. Under our amended and restated articles of association, the alteration of the rights, privileges, preferences or obligations of any class of our shares (to the extent there are classes other than ordinary shares) requires the approval of a simple majority of the class so affected (or such other percentage of the relevant class that may be set forth in the governing documents relevant to such class), in addition to a majority of all classes of shares voting together as a single class at a shareholder meeting.</w:t>
      </w:r>
    </w:p>
    <w:p>
      <w:pPr>
        <w:spacing w:after="0" w:line="197"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Under our amended and restated articles of association, the approval of the holders of at least 65% of the total voting power of our shareholders is generally required to remove any of our directors from office, to amend the provision requiring the approval of at least 65% of the total voting power of our shareholders to remove any of our directors from office, or certain other provisions regarding our staggered board, shareholder proposals, special approval requirements, the size of our board and plurality voting in contested elections. Another exception to the simple majority vote requirement is a resolution for the voluntary winding up, or an approval of a scheme of arrangement or reorganization, of the company pursuant to Section 350 of the Companies Law, which requires the approval of holders holding at least 75% of the voting rights represented at the meeting and voting on the resolution.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Access to corporate records</w:t>
      </w:r>
    </w:p>
    <w:p>
      <w:pPr>
        <w:spacing w:after="0" w:line="27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Under the Companies Law, all shareholders generally have the right to review minutes of our general meetings, our shareholder register (including with respect to material shareholders), our articles of association, our financial statements, other documents as provided in the Companies Law, and any document we are required by law to file publicly with the Israeli Registrar of Companies or the Israel Securities Authority. Any shareholder who specifies the purpose of its request may request to review any document in our possession that relates to any action or transaction with a related party which requires shareholder approval under the Companies Law. We may deny a request to review a document if we determine that the request was not made in good faith, that the document contains a trade secret or a patent or that the document’s disclosure may otherwise impair our interests.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41845" cy="158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20"/>
          </w:cols>
          <w:pgMar w:left="320" w:top="378" w:right="359" w:bottom="1440" w:gutter="0" w:footer="0" w:header="0"/>
        </w:sectPr>
      </w:pPr>
    </w:p>
    <w:bookmarkStart w:id="204" w:name="page205"/>
    <w:bookmarkEnd w:id="204"/>
    <w:p>
      <w:pPr>
        <w:spacing w:after="0"/>
        <w:rPr>
          <w:sz w:val="20"/>
          <w:szCs w:val="20"/>
          <w:color w:val="auto"/>
        </w:rPr>
      </w:pPr>
      <w:r>
        <w:rPr>
          <w:rFonts w:ascii="Arial" w:cs="Arial" w:eastAsia="Arial" w:hAnsi="Arial"/>
          <w:sz w:val="20"/>
          <w:szCs w:val="20"/>
          <w:b w:val="1"/>
          <w:bCs w:val="1"/>
          <w:color w:val="auto"/>
        </w:rPr>
        <w:t>Acquisitions under Israeli law</w:t>
      </w:r>
    </w:p>
    <w:p>
      <w:pPr>
        <w:spacing w:after="0" w:line="276" w:lineRule="exact"/>
        <w:rPr>
          <w:sz w:val="20"/>
          <w:szCs w:val="20"/>
          <w:color w:val="auto"/>
        </w:rPr>
      </w:pPr>
    </w:p>
    <w:p>
      <w:pPr>
        <w:spacing w:after="0" w:line="294" w:lineRule="auto"/>
        <w:rPr>
          <w:sz w:val="20"/>
          <w:szCs w:val="20"/>
          <w:color w:val="auto"/>
        </w:rPr>
      </w:pPr>
      <w:r>
        <w:rPr>
          <w:rFonts w:ascii="Arial" w:cs="Arial" w:eastAsia="Arial" w:hAnsi="Arial"/>
          <w:sz w:val="18"/>
          <w:szCs w:val="18"/>
          <w:i w:val="1"/>
          <w:iCs w:val="1"/>
          <w:color w:val="auto"/>
        </w:rPr>
        <w:t xml:space="preserve">Full tender offer. </w:t>
      </w:r>
      <w:r>
        <w:rPr>
          <w:rFonts w:ascii="Arial" w:cs="Arial" w:eastAsia="Arial" w:hAnsi="Arial"/>
          <w:sz w:val="18"/>
          <w:szCs w:val="18"/>
          <w:color w:val="auto"/>
        </w:rPr>
        <w:t>A person wishing to acquire shares of a public Israeli company who would, as a result, hold over 90% of the target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 who accept the offer constitute a majority of the offerees that do not have a personal interest in the acceptance of the tender offer or (b) the shareholders who did not accept the tender offer hold less than 2% of the issued and outstanding share capital of the company (or of the applicable class), all of the shares that the acquirer offered to purchase will be transferred to the acquirer by operation of law. A shareholder who had its shares so transferred may petition an Israeli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provide in the offer that a shareholder who accepted the offer will not be entitled to petition the court for appraisal rights as described in the preceding sentence, as 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company’s voting rights or the company’s issued and outstanding share capital (or of the applicable class) from shareholders who accepted the tender offer. Shares purchased in contradiction to the full tender offer rules under the Companies Law will have no rights and will become dormant shares.</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8"/>
          <w:szCs w:val="18"/>
          <w:i w:val="1"/>
          <w:iCs w:val="1"/>
          <w:color w:val="auto"/>
        </w:rPr>
        <w:t xml:space="preserve">Special tender offer. </w:t>
      </w:r>
      <w:r>
        <w:rPr>
          <w:rFonts w:ascii="Arial" w:cs="Arial" w:eastAsia="Arial" w:hAnsi="Arial"/>
          <w:sz w:val="18"/>
          <w:szCs w:val="18"/>
          <w:color w:val="auto"/>
        </w:rPr>
        <w:t>The Companies Law provides that an acquisition of shares of an Israeli public company must be made by means of a</w:t>
      </w:r>
      <w:r>
        <w:rPr>
          <w:rFonts w:ascii="Arial" w:cs="Arial" w:eastAsia="Arial" w:hAnsi="Arial"/>
          <w:sz w:val="18"/>
          <w:szCs w:val="18"/>
          <w:i w:val="1"/>
          <w:iCs w:val="1"/>
          <w:color w:val="auto"/>
        </w:rPr>
        <w:t xml:space="preserve"> </w:t>
      </w:r>
      <w:r>
        <w:rPr>
          <w:rFonts w:ascii="Arial" w:cs="Arial" w:eastAsia="Arial" w:hAnsi="Arial"/>
          <w:sz w:val="18"/>
          <w:szCs w:val="18"/>
          <w:color w:val="auto"/>
        </w:rPr>
        <w:t>special tender offer if as a result of the acquisition the purchaser would become a holder of 25% or more of the voting rights in the company. This requirement does not apply if there is already another holder of 25% or more of the voting rights in the company. Similarly, the Companies Law provides that an acquisition of shares of an Israeli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These requirements do not apply if (i) the acquisition occurs in the context of a private placement by the company that received shareholders’ approval as a private placement whose purpose is to give the purchaser 25% or more of the voting rights in the company, if there is no person who holds 25% or more of the voting rights in the company or as a private placement whose purpose is to give the purchaser 45% of the voting rights in the company, if there is no person who holds 45% of the voting rights in the company, (ii) the acquisition was from a shareholder holding 25% or more of the voting rights in the company and resulted in the purchaser becoming a holder of 25% or more of the voting rights in the company, or</w:t>
      </w:r>
    </w:p>
    <w:p>
      <w:pPr>
        <w:spacing w:after="0" w:line="7" w:lineRule="exact"/>
        <w:rPr>
          <w:sz w:val="20"/>
          <w:szCs w:val="20"/>
          <w:color w:val="auto"/>
        </w:rPr>
      </w:pPr>
    </w:p>
    <w:p>
      <w:pPr>
        <w:ind w:right="80"/>
        <w:spacing w:after="0" w:line="265" w:lineRule="auto"/>
        <w:tabs>
          <w:tab w:leader="none" w:pos="351" w:val="left"/>
        </w:tabs>
        <w:numPr>
          <w:ilvl w:val="0"/>
          <w:numId w:val="207"/>
        </w:numPr>
        <w:rPr>
          <w:rFonts w:ascii="Arial" w:cs="Arial" w:eastAsia="Arial" w:hAnsi="Arial"/>
          <w:sz w:val="20"/>
          <w:szCs w:val="20"/>
          <w:color w:val="auto"/>
        </w:rPr>
      </w:pPr>
      <w:r>
        <w:rPr>
          <w:rFonts w:ascii="Arial" w:cs="Arial" w:eastAsia="Arial" w:hAnsi="Arial"/>
          <w:sz w:val="20"/>
          <w:szCs w:val="20"/>
          <w:color w:val="auto"/>
        </w:rPr>
        <w:t>the acquisition was from a shareholder holding more than 45% of the voting rights in the company and resulted in the purchaser becoming a holder of more than 45% of the voting rights in the company. A special tender offer must be extended to all shareholders of a company.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w:t>
      </w:r>
    </w:p>
    <w:p>
      <w:pPr>
        <w:spacing w:after="0" w:line="225" w:lineRule="exact"/>
        <w:rPr>
          <w:sz w:val="20"/>
          <w:szCs w:val="20"/>
          <w:color w:val="auto"/>
        </w:rPr>
      </w:pPr>
    </w:p>
    <w:p>
      <w:pPr>
        <w:ind w:right="80"/>
        <w:spacing w:after="0" w:line="299" w:lineRule="auto"/>
        <w:rPr>
          <w:sz w:val="20"/>
          <w:szCs w:val="20"/>
          <w:color w:val="auto"/>
        </w:rPr>
      </w:pPr>
      <w:r>
        <w:rPr>
          <w:rFonts w:ascii="Arial" w:cs="Arial" w:eastAsia="Arial" w:hAnsi="Arial"/>
          <w:sz w:val="18"/>
          <w:szCs w:val="18"/>
          <w:color w:val="auto"/>
        </w:rPr>
        <w:t>In the event that a special tender offer is made, a company’s board of directors is required to express its opinion on the advisability of the offer, or shall abstain from expressing any opinion if it is unable to do so, provided that it gives the reasons for its abstention. The board of directors shall also disclose any personal interest that any of the directors has with respect to the special tender offer or in connection therewith. An office holder in a target company who, in his or her capacity as an office holder, performs an action the purpose of which is to cause the failure of an existing or foreseeable special tender offer or is to impair the chances of its acceptance, is liable to the potential purchaser and shareholders for damages,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141845" cy="158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05" w:name="page206"/>
    <w:bookmarkEnd w:id="205"/>
    <w:p>
      <w:pPr>
        <w:jc w:val="both"/>
        <w:spacing w:after="0" w:line="349" w:lineRule="auto"/>
        <w:rPr>
          <w:sz w:val="20"/>
          <w:szCs w:val="20"/>
          <w:color w:val="auto"/>
        </w:rPr>
      </w:pPr>
      <w:r>
        <w:rPr>
          <w:rFonts w:ascii="Arial" w:cs="Arial" w:eastAsia="Arial" w:hAnsi="Arial"/>
          <w:sz w:val="18"/>
          <w:szCs w:val="18"/>
          <w:color w:val="auto"/>
        </w:rPr>
        <w:t>If a special tender offer is accepted, then shareholders who did not respond to or that had objected the offer may accept the offer within four days of the last day set for the acceptance of the offer and they will be considered to have accepted the offer from the first day it was made.</w:t>
      </w:r>
    </w:p>
    <w:p>
      <w:pPr>
        <w:spacing w:after="0" w:line="151" w:lineRule="exact"/>
        <w:rPr>
          <w:sz w:val="20"/>
          <w:szCs w:val="20"/>
          <w:color w:val="auto"/>
        </w:rPr>
      </w:pPr>
    </w:p>
    <w:p>
      <w:pPr>
        <w:ind w:right="60"/>
        <w:spacing w:after="0" w:line="305" w:lineRule="auto"/>
        <w:rPr>
          <w:sz w:val="20"/>
          <w:szCs w:val="20"/>
          <w:color w:val="auto"/>
        </w:rPr>
      </w:pPr>
      <w:r>
        <w:rPr>
          <w:rFonts w:ascii="Arial" w:cs="Arial" w:eastAsia="Arial" w:hAnsi="Arial"/>
          <w:sz w:val="18"/>
          <w:szCs w:val="18"/>
          <w:color w:val="auto"/>
        </w:rPr>
        <w:t>In the event that a special tender offer is accepted, then the purchaser or any person or entity controlling it or under common control with the purchaser or such controlling person or entity at the time of the offer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special tender offer rules under the Companies Law will have no rights and will become dormant shares.</w:t>
      </w:r>
    </w:p>
    <w:p>
      <w:pPr>
        <w:spacing w:after="0" w:line="191" w:lineRule="exact"/>
        <w:rPr>
          <w:sz w:val="20"/>
          <w:szCs w:val="20"/>
          <w:color w:val="auto"/>
        </w:rPr>
      </w:pPr>
    </w:p>
    <w:p>
      <w:pPr>
        <w:ind w:right="120"/>
        <w:spacing w:after="0" w:line="281" w:lineRule="auto"/>
        <w:rPr>
          <w:sz w:val="20"/>
          <w:szCs w:val="20"/>
          <w:color w:val="auto"/>
        </w:rPr>
      </w:pPr>
      <w:r>
        <w:rPr>
          <w:rFonts w:ascii="Arial" w:cs="Arial" w:eastAsia="Arial" w:hAnsi="Arial"/>
          <w:sz w:val="19"/>
          <w:szCs w:val="19"/>
          <w:i w:val="1"/>
          <w:iCs w:val="1"/>
          <w:color w:val="auto"/>
        </w:rPr>
        <w:t xml:space="preserve">Merger. </w:t>
      </w:r>
      <w:r>
        <w:rPr>
          <w:rFonts w:ascii="Arial" w:cs="Arial" w:eastAsia="Arial" w:hAnsi="Arial"/>
          <w:sz w:val="19"/>
          <w:szCs w:val="19"/>
          <w:color w:val="auto"/>
        </w:rPr>
        <w:t>The Companies Law permits merger transactions if approved by each party’s board of directors and, unless certain conditions</w:t>
      </w:r>
      <w:r>
        <w:rPr>
          <w:rFonts w:ascii="Arial" w:cs="Arial" w:eastAsia="Arial" w:hAnsi="Arial"/>
          <w:sz w:val="19"/>
          <w:szCs w:val="19"/>
          <w:i w:val="1"/>
          <w:iCs w:val="1"/>
          <w:color w:val="auto"/>
        </w:rPr>
        <w:t xml:space="preserve"> </w:t>
      </w:r>
      <w:r>
        <w:rPr>
          <w:rFonts w:ascii="Arial" w:cs="Arial" w:eastAsia="Arial" w:hAnsi="Arial"/>
          <w:sz w:val="19"/>
          <w:szCs w:val="19"/>
          <w:color w:val="auto"/>
        </w:rPr>
        <w:t>described under the Companies Law are met, a simple majority of the outstanding shares of each party to the merger that are represented and voting on the merger.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213" w:lineRule="exact"/>
        <w:rPr>
          <w:sz w:val="20"/>
          <w:szCs w:val="20"/>
          <w:color w:val="auto"/>
        </w:rPr>
      </w:pPr>
    </w:p>
    <w:p>
      <w:pPr>
        <w:spacing w:after="0" w:line="295" w:lineRule="auto"/>
        <w:rPr>
          <w:sz w:val="20"/>
          <w:szCs w:val="20"/>
          <w:color w:val="auto"/>
        </w:rPr>
      </w:pPr>
      <w:r>
        <w:rPr>
          <w:rFonts w:ascii="Arial" w:cs="Arial" w:eastAsia="Arial" w:hAnsi="Arial"/>
          <w:sz w:val="18"/>
          <w:szCs w:val="18"/>
          <w:color w:val="auto"/>
        </w:rPr>
        <w:t>For purposes of the shareholder vote of a merging company whose shares are held by the other merging company, or by a person or entity holding 25% or more of the voting rights at the general meeting of shareholders of the other merging company, or by a person or entity holding the right to appoint 25% or more of the directors of the other merging company, unless a court rules otherwise, the merger will not be deemed approved if a majority of the shares voted on the matter at the general meeting of shareholders (excluding abstentions) that are held by shareholders other than the other party to the merger, or by any person or entity who holds 25% or more of the voting rights of the other party or the right to appoint 25% or more of the directors of the other party, or any one on their behalf 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207" w:lineRule="exact"/>
        <w:rPr>
          <w:sz w:val="20"/>
          <w:szCs w:val="20"/>
          <w:color w:val="auto"/>
        </w:rPr>
      </w:pPr>
    </w:p>
    <w:p>
      <w:pPr>
        <w:ind w:right="160"/>
        <w:spacing w:after="0" w:line="310" w:lineRule="auto"/>
        <w:rPr>
          <w:sz w:val="20"/>
          <w:szCs w:val="20"/>
          <w:color w:val="auto"/>
        </w:rPr>
      </w:pPr>
      <w:r>
        <w:rPr>
          <w:rFonts w:ascii="Arial" w:cs="Arial" w:eastAsia="Arial" w:hAnsi="Arial"/>
          <w:sz w:val="18"/>
          <w:szCs w:val="18"/>
          <w:color w:val="auto"/>
        </w:rPr>
        <w:t>Under the Companies Law, each merging company must deliver to its secured creditors the merger proposal and inform its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the merging company, and may further give instructions to secure the rights of creditors.</w:t>
      </w:r>
    </w:p>
    <w:p>
      <w:pPr>
        <w:spacing w:after="0" w:line="186" w:lineRule="exact"/>
        <w:rPr>
          <w:sz w:val="20"/>
          <w:szCs w:val="20"/>
          <w:color w:val="auto"/>
        </w:rPr>
      </w:pPr>
    </w:p>
    <w:p>
      <w:pPr>
        <w:jc w:val="both"/>
        <w:ind w:right="180"/>
        <w:spacing w:after="0" w:line="383" w:lineRule="auto"/>
        <w:rPr>
          <w:sz w:val="20"/>
          <w:szCs w:val="20"/>
          <w:color w:val="auto"/>
        </w:rPr>
      </w:pPr>
      <w:r>
        <w:rPr>
          <w:rFonts w:ascii="Arial" w:cs="Arial" w:eastAsia="Arial" w:hAnsi="Arial"/>
          <w:sz w:val="17"/>
          <w:szCs w:val="17"/>
          <w:color w:val="auto"/>
        </w:rPr>
        <w:t>In addition, a merger may not be completed unless at least 50 days have passed from the date that a proposal for approval of the merger is filed with the Israeli Registrar of Companies and 30 days from the date that shareholder approval of both merging companies is obtained.</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Anti-takeover measures</w:t>
      </w:r>
    </w:p>
    <w:p>
      <w:pPr>
        <w:spacing w:after="0" w:line="272"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attached to our issued and outstanding shares at a general meeting of shareholders. The convening of the meeting, the shareholders entitled to participate and the vote required to be obtained at such a meeting will be subject to the requirements set forth in the Companies Law and our amended and restated articles of association. In addition, as disclosed under “—Election of Directors,” we have a classified board structure, which effectively limits the ability of any investor or potential investor or group of investors or potential investors to gain control of our board of directors.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7141845" cy="158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06" w:name="page207"/>
    <w:bookmarkEnd w:id="206"/>
    <w:p>
      <w:pPr>
        <w:spacing w:after="0"/>
        <w:rPr>
          <w:sz w:val="20"/>
          <w:szCs w:val="20"/>
          <w:color w:val="auto"/>
        </w:rPr>
      </w:pPr>
      <w:r>
        <w:rPr>
          <w:rFonts w:ascii="Arial" w:cs="Arial" w:eastAsia="Arial" w:hAnsi="Arial"/>
          <w:sz w:val="20"/>
          <w:szCs w:val="20"/>
          <w:b w:val="1"/>
          <w:bCs w:val="1"/>
          <w:color w:val="auto"/>
        </w:rPr>
        <w:t>Borrowing Powers</w:t>
      </w:r>
    </w:p>
    <w:p>
      <w:pPr>
        <w:spacing w:after="0" w:line="200" w:lineRule="exact"/>
        <w:rPr>
          <w:sz w:val="20"/>
          <w:szCs w:val="20"/>
          <w:color w:val="auto"/>
        </w:rPr>
      </w:pPr>
    </w:p>
    <w:p>
      <w:pPr>
        <w:spacing w:after="0" w:line="327" w:lineRule="exact"/>
        <w:rPr>
          <w:sz w:val="20"/>
          <w:szCs w:val="20"/>
          <w:color w:val="auto"/>
        </w:rPr>
      </w:pPr>
    </w:p>
    <w:p>
      <w:pPr>
        <w:ind w:right="40"/>
        <w:spacing w:after="0" w:line="276" w:lineRule="auto"/>
        <w:rPr>
          <w:sz w:val="20"/>
          <w:szCs w:val="20"/>
          <w:color w:val="auto"/>
        </w:rPr>
      </w:pPr>
      <w:r>
        <w:rPr>
          <w:rFonts w:ascii="Arial" w:cs="Arial" w:eastAsia="Arial" w:hAnsi="Arial"/>
          <w:sz w:val="20"/>
          <w:szCs w:val="20"/>
          <w:color w:val="auto"/>
        </w:rPr>
        <w:t>Pursuant to the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capital</w:t>
      </w:r>
    </w:p>
    <w:p>
      <w:pPr>
        <w:spacing w:after="0" w:line="27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Our amended and restated articles of association enable us to increase or reduce our share capital. Any such changes are subject to Israeli law and must be approved by a resolution duly passed by our shareholders at a general meeting of shareholders.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276" w:lineRule="exact"/>
        <w:rPr>
          <w:sz w:val="20"/>
          <w:szCs w:val="20"/>
          <w:color w:val="auto"/>
        </w:rPr>
      </w:pPr>
    </w:p>
    <w:p>
      <w:pPr>
        <w:ind w:right="380"/>
        <w:spacing w:after="0" w:line="290" w:lineRule="auto"/>
        <w:rPr>
          <w:sz w:val="20"/>
          <w:szCs w:val="20"/>
          <w:color w:val="auto"/>
        </w:rPr>
      </w:pPr>
      <w:r>
        <w:rPr>
          <w:rFonts w:ascii="Arial" w:cs="Arial" w:eastAsia="Arial" w:hAnsi="Arial"/>
          <w:sz w:val="20"/>
          <w:szCs w:val="20"/>
          <w:color w:val="auto"/>
        </w:rPr>
        <w:t>The transfer agent and registrar for our ordinary shares is American Stock Transfer &amp; Trust Company, LLC. Its address is 6201 15th Avenue, Brooklyn, New York, 11219, and its telephone number is (800) 937-5449.</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Our ordinary shares have been approved for listing on the Nasdaq Global Select Market under the symbol “WKME.”</w:t>
      </w:r>
    </w:p>
    <w:p>
      <w:pPr>
        <w:spacing w:after="0" w:line="272"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418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170180</wp:posOffset>
            </wp:positionV>
            <wp:extent cx="7141845" cy="317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7141845" cy="31750"/>
                    </a:xfrm>
                    <a:prstGeom prst="rect">
                      <a:avLst/>
                    </a:prstGeom>
                    <a:noFill/>
                  </pic:spPr>
                </pic:pic>
              </a:graphicData>
            </a:graphic>
          </wp:anchor>
        </w:drawing>
      </w:r>
    </w:p>
    <w:p>
      <w:pPr>
        <w:sectPr>
          <w:pgSz w:w="11900" w:h="16838" w:orient="portrait"/>
          <w:cols w:equalWidth="0" w:num="1">
            <w:col w:w="11020"/>
          </w:cols>
          <w:pgMar w:left="320" w:top="378" w:right="559" w:bottom="1440" w:gutter="0" w:footer="0" w:header="0"/>
        </w:sectPr>
      </w:pPr>
    </w:p>
    <w:bookmarkStart w:id="207" w:name="page208"/>
    <w:bookmarkEnd w:id="207"/>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1845" cy="317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7141845" cy="31750"/>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200660</wp:posOffset>
            </wp:positionV>
            <wp:extent cx="71418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7141845" cy="8255"/>
                    </a:xfrm>
                    <a:prstGeom prst="rect">
                      <a:avLst/>
                    </a:prstGeom>
                    <a:noFill/>
                  </pic:spPr>
                </pic:pic>
              </a:graphicData>
            </a:graphic>
          </wp:anchor>
        </w:drawing>
        <w:t>Exhibit 8.1</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160" w:type="dxa"/>
            <w:vAlign w:val="bottom"/>
          </w:tcPr>
          <w:p>
            <w:pPr>
              <w:spacing w:after="0"/>
              <w:rPr>
                <w:sz w:val="22"/>
                <w:szCs w:val="22"/>
                <w:color w:val="auto"/>
              </w:rPr>
            </w:pPr>
          </w:p>
        </w:tc>
        <w:tc>
          <w:tcPr>
            <w:tcW w:w="8080" w:type="dxa"/>
            <w:vAlign w:val="bottom"/>
            <w:gridSpan w:val="3"/>
          </w:tcPr>
          <w:p>
            <w:pPr>
              <w:ind w:left="1240"/>
              <w:spacing w:after="0"/>
              <w:rPr>
                <w:sz w:val="20"/>
                <w:szCs w:val="20"/>
                <w:color w:val="auto"/>
              </w:rPr>
            </w:pPr>
            <w:r>
              <w:rPr>
                <w:rFonts w:ascii="Arial" w:cs="Arial" w:eastAsia="Arial" w:hAnsi="Arial"/>
                <w:sz w:val="20"/>
                <w:szCs w:val="20"/>
                <w:b w:val="1"/>
                <w:bCs w:val="1"/>
                <w:color w:val="auto"/>
              </w:rPr>
              <w:t>Subsidiaries of WalkMe Ltd.</w:t>
            </w:r>
          </w:p>
        </w:tc>
      </w:tr>
      <w:tr>
        <w:trPr>
          <w:trHeight w:val="460"/>
        </w:trPr>
        <w:tc>
          <w:tcPr>
            <w:tcW w:w="3160" w:type="dxa"/>
            <w:vAlign w:val="bottom"/>
          </w:tcPr>
          <w:p>
            <w:pPr>
              <w:spacing w:after="0"/>
              <w:rPr>
                <w:sz w:val="20"/>
                <w:szCs w:val="20"/>
                <w:color w:val="auto"/>
              </w:rPr>
            </w:pPr>
            <w:r>
              <w:rPr>
                <w:rFonts w:ascii="Arial" w:cs="Arial" w:eastAsia="Arial" w:hAnsi="Arial"/>
                <w:sz w:val="17"/>
                <w:szCs w:val="17"/>
                <w:b w:val="1"/>
                <w:bCs w:val="1"/>
                <w:color w:val="auto"/>
              </w:rPr>
              <w:t>Legal Name</w:t>
            </w:r>
          </w:p>
        </w:tc>
        <w:tc>
          <w:tcPr>
            <w:tcW w:w="2580" w:type="dxa"/>
            <w:vAlign w:val="bottom"/>
          </w:tcPr>
          <w:p>
            <w:pPr>
              <w:spacing w:after="0"/>
              <w:rPr>
                <w:sz w:val="24"/>
                <w:szCs w:val="24"/>
                <w:color w:val="auto"/>
              </w:rPr>
            </w:pPr>
          </w:p>
        </w:tc>
        <w:tc>
          <w:tcPr>
            <w:tcW w:w="5500" w:type="dxa"/>
            <w:vAlign w:val="bottom"/>
            <w:gridSpan w:val="2"/>
          </w:tcPr>
          <w:p>
            <w:pPr>
              <w:ind w:left="120"/>
              <w:spacing w:after="0"/>
              <w:rPr>
                <w:sz w:val="20"/>
                <w:szCs w:val="20"/>
                <w:color w:val="auto"/>
              </w:rPr>
            </w:pPr>
            <w:r>
              <w:rPr>
                <w:rFonts w:ascii="Arial" w:cs="Arial" w:eastAsia="Arial" w:hAnsi="Arial"/>
                <w:sz w:val="17"/>
                <w:szCs w:val="17"/>
                <w:b w:val="1"/>
                <w:bCs w:val="1"/>
                <w:color w:val="auto"/>
              </w:rPr>
              <w:t>Jurisdiction of Organization</w:t>
            </w:r>
          </w:p>
        </w:tc>
      </w:tr>
      <w:tr>
        <w:trPr>
          <w:trHeight w:val="188"/>
        </w:trPr>
        <w:tc>
          <w:tcPr>
            <w:tcW w:w="316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rPr>
              <w:t>WalkMe, Inc.</w:t>
            </w:r>
          </w:p>
        </w:tc>
        <w:tc>
          <w:tcPr>
            <w:tcW w:w="2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38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rPr>
              <w:t>Delaware</w:t>
            </w:r>
          </w:p>
        </w:tc>
      </w:tr>
      <w:tr>
        <w:trPr>
          <w:trHeight w:val="201"/>
        </w:trPr>
        <w:tc>
          <w:tcPr>
            <w:tcW w:w="3160" w:type="dxa"/>
            <w:vAlign w:val="bottom"/>
          </w:tcPr>
          <w:p>
            <w:pPr>
              <w:spacing w:after="0"/>
              <w:rPr>
                <w:sz w:val="20"/>
                <w:szCs w:val="20"/>
                <w:color w:val="auto"/>
              </w:rPr>
            </w:pPr>
            <w:r>
              <w:rPr>
                <w:rFonts w:ascii="Arial" w:cs="Arial" w:eastAsia="Arial" w:hAnsi="Arial"/>
                <w:sz w:val="17"/>
                <w:szCs w:val="17"/>
                <w:color w:val="auto"/>
              </w:rPr>
              <w:t>WalkMe UK Limited</w:t>
            </w:r>
          </w:p>
        </w:tc>
        <w:tc>
          <w:tcPr>
            <w:tcW w:w="2580" w:type="dxa"/>
            <w:vAlign w:val="bottom"/>
          </w:tcPr>
          <w:p>
            <w:pPr>
              <w:spacing w:after="0"/>
              <w:rPr>
                <w:sz w:val="17"/>
                <w:szCs w:val="17"/>
                <w:color w:val="auto"/>
              </w:rPr>
            </w:pPr>
          </w:p>
        </w:tc>
        <w:tc>
          <w:tcPr>
            <w:tcW w:w="5500" w:type="dxa"/>
            <w:vAlign w:val="bottom"/>
            <w:gridSpan w:val="2"/>
          </w:tcPr>
          <w:p>
            <w:pPr>
              <w:ind w:left="120"/>
              <w:spacing w:after="0"/>
              <w:rPr>
                <w:sz w:val="20"/>
                <w:szCs w:val="20"/>
                <w:color w:val="auto"/>
              </w:rPr>
            </w:pPr>
            <w:r>
              <w:rPr>
                <w:rFonts w:ascii="Arial" w:cs="Arial" w:eastAsia="Arial" w:hAnsi="Arial"/>
                <w:sz w:val="17"/>
                <w:szCs w:val="17"/>
                <w:color w:val="auto"/>
              </w:rPr>
              <w:t>United Kingdom</w:t>
            </w:r>
          </w:p>
        </w:tc>
      </w:tr>
      <w:tr>
        <w:trPr>
          <w:trHeight w:val="201"/>
        </w:trPr>
        <w:tc>
          <w:tcPr>
            <w:tcW w:w="3160" w:type="dxa"/>
            <w:vAlign w:val="bottom"/>
          </w:tcPr>
          <w:p>
            <w:pPr>
              <w:spacing w:after="0"/>
              <w:rPr>
                <w:sz w:val="20"/>
                <w:szCs w:val="20"/>
                <w:color w:val="auto"/>
              </w:rPr>
            </w:pPr>
            <w:r>
              <w:rPr>
                <w:rFonts w:ascii="Arial" w:cs="Arial" w:eastAsia="Arial" w:hAnsi="Arial"/>
                <w:sz w:val="17"/>
                <w:szCs w:val="17"/>
                <w:color w:val="auto"/>
              </w:rPr>
              <w:t>WalkMe Australia PTY Ltd.</w:t>
            </w:r>
          </w:p>
        </w:tc>
        <w:tc>
          <w:tcPr>
            <w:tcW w:w="2580" w:type="dxa"/>
            <w:vAlign w:val="bottom"/>
          </w:tcPr>
          <w:p>
            <w:pPr>
              <w:spacing w:after="0"/>
              <w:rPr>
                <w:sz w:val="17"/>
                <w:szCs w:val="17"/>
                <w:color w:val="auto"/>
              </w:rPr>
            </w:pPr>
          </w:p>
        </w:tc>
        <w:tc>
          <w:tcPr>
            <w:tcW w:w="5500" w:type="dxa"/>
            <w:vAlign w:val="bottom"/>
            <w:gridSpan w:val="2"/>
          </w:tcPr>
          <w:p>
            <w:pPr>
              <w:ind w:left="120"/>
              <w:spacing w:after="0"/>
              <w:rPr>
                <w:sz w:val="20"/>
                <w:szCs w:val="20"/>
                <w:color w:val="auto"/>
              </w:rPr>
            </w:pPr>
            <w:r>
              <w:rPr>
                <w:rFonts w:ascii="Arial" w:cs="Arial" w:eastAsia="Arial" w:hAnsi="Arial"/>
                <w:sz w:val="17"/>
                <w:szCs w:val="17"/>
                <w:color w:val="auto"/>
              </w:rPr>
              <w:t>Australia</w:t>
            </w:r>
          </w:p>
        </w:tc>
      </w:tr>
      <w:tr>
        <w:trPr>
          <w:trHeight w:val="201"/>
        </w:trPr>
        <w:tc>
          <w:tcPr>
            <w:tcW w:w="3160" w:type="dxa"/>
            <w:vAlign w:val="bottom"/>
          </w:tcPr>
          <w:p>
            <w:pPr>
              <w:spacing w:after="0"/>
              <w:rPr>
                <w:sz w:val="20"/>
                <w:szCs w:val="20"/>
                <w:color w:val="auto"/>
              </w:rPr>
            </w:pPr>
            <w:r>
              <w:rPr>
                <w:rFonts w:ascii="Arial" w:cs="Arial" w:eastAsia="Arial" w:hAnsi="Arial"/>
                <w:sz w:val="17"/>
                <w:szCs w:val="17"/>
                <w:color w:val="auto"/>
              </w:rPr>
              <w:t>WalkMe Singapore PTE Ltd.</w:t>
            </w:r>
          </w:p>
        </w:tc>
        <w:tc>
          <w:tcPr>
            <w:tcW w:w="2580" w:type="dxa"/>
            <w:vAlign w:val="bottom"/>
          </w:tcPr>
          <w:p>
            <w:pPr>
              <w:spacing w:after="0"/>
              <w:rPr>
                <w:sz w:val="17"/>
                <w:szCs w:val="17"/>
                <w:color w:val="auto"/>
              </w:rPr>
            </w:pPr>
          </w:p>
        </w:tc>
        <w:tc>
          <w:tcPr>
            <w:tcW w:w="5500" w:type="dxa"/>
            <w:vAlign w:val="bottom"/>
            <w:gridSpan w:val="2"/>
          </w:tcPr>
          <w:p>
            <w:pPr>
              <w:ind w:left="120"/>
              <w:spacing w:after="0"/>
              <w:rPr>
                <w:sz w:val="20"/>
                <w:szCs w:val="20"/>
                <w:color w:val="auto"/>
              </w:rPr>
            </w:pPr>
            <w:r>
              <w:rPr>
                <w:rFonts w:ascii="Arial" w:cs="Arial" w:eastAsia="Arial" w:hAnsi="Arial"/>
                <w:sz w:val="17"/>
                <w:szCs w:val="17"/>
                <w:color w:val="auto"/>
              </w:rPr>
              <w:t>Singapore</w:t>
            </w:r>
          </w:p>
        </w:tc>
      </w:tr>
      <w:tr>
        <w:trPr>
          <w:trHeight w:val="201"/>
        </w:trPr>
        <w:tc>
          <w:tcPr>
            <w:tcW w:w="3160" w:type="dxa"/>
            <w:vAlign w:val="bottom"/>
          </w:tcPr>
          <w:p>
            <w:pPr>
              <w:spacing w:after="0"/>
              <w:rPr>
                <w:sz w:val="20"/>
                <w:szCs w:val="20"/>
                <w:color w:val="auto"/>
              </w:rPr>
            </w:pPr>
            <w:r>
              <w:rPr>
                <w:rFonts w:ascii="Arial" w:cs="Arial" w:eastAsia="Arial" w:hAnsi="Arial"/>
                <w:sz w:val="17"/>
                <w:szCs w:val="17"/>
                <w:color w:val="auto"/>
              </w:rPr>
              <w:t>WalkMe K.K.</w:t>
            </w:r>
          </w:p>
        </w:tc>
        <w:tc>
          <w:tcPr>
            <w:tcW w:w="2580" w:type="dxa"/>
            <w:vAlign w:val="bottom"/>
          </w:tcPr>
          <w:p>
            <w:pPr>
              <w:spacing w:after="0"/>
              <w:rPr>
                <w:sz w:val="17"/>
                <w:szCs w:val="17"/>
                <w:color w:val="auto"/>
              </w:rPr>
            </w:pPr>
          </w:p>
        </w:tc>
        <w:tc>
          <w:tcPr>
            <w:tcW w:w="5500" w:type="dxa"/>
            <w:vAlign w:val="bottom"/>
            <w:gridSpan w:val="2"/>
          </w:tcPr>
          <w:p>
            <w:pPr>
              <w:ind w:left="120"/>
              <w:spacing w:after="0"/>
              <w:rPr>
                <w:sz w:val="20"/>
                <w:szCs w:val="20"/>
                <w:color w:val="auto"/>
              </w:rPr>
            </w:pPr>
            <w:r>
              <w:rPr>
                <w:rFonts w:ascii="Arial" w:cs="Arial" w:eastAsia="Arial" w:hAnsi="Arial"/>
                <w:sz w:val="17"/>
                <w:szCs w:val="17"/>
                <w:color w:val="auto"/>
              </w:rPr>
              <w:t>Japan</w:t>
            </w:r>
          </w:p>
        </w:tc>
      </w:tr>
      <w:tr>
        <w:trPr>
          <w:trHeight w:val="213"/>
        </w:trPr>
        <w:tc>
          <w:tcPr>
            <w:tcW w:w="3160" w:type="dxa"/>
            <w:vAlign w:val="bottom"/>
          </w:tcPr>
          <w:p>
            <w:pPr>
              <w:spacing w:after="0"/>
              <w:rPr>
                <w:sz w:val="20"/>
                <w:szCs w:val="20"/>
                <w:color w:val="auto"/>
              </w:rPr>
            </w:pPr>
            <w:r>
              <w:rPr>
                <w:rFonts w:ascii="Arial" w:cs="Arial" w:eastAsia="Arial" w:hAnsi="Arial"/>
                <w:sz w:val="17"/>
                <w:szCs w:val="17"/>
                <w:color w:val="auto"/>
              </w:rPr>
              <w:t>WalkMe Canada Ltd.</w:t>
            </w:r>
          </w:p>
        </w:tc>
        <w:tc>
          <w:tcPr>
            <w:tcW w:w="2580" w:type="dxa"/>
            <w:vAlign w:val="bottom"/>
          </w:tcPr>
          <w:p>
            <w:pPr>
              <w:spacing w:after="0"/>
              <w:rPr>
                <w:sz w:val="18"/>
                <w:szCs w:val="18"/>
                <w:color w:val="auto"/>
              </w:rPr>
            </w:pPr>
          </w:p>
        </w:tc>
        <w:tc>
          <w:tcPr>
            <w:tcW w:w="5500" w:type="dxa"/>
            <w:vAlign w:val="bottom"/>
            <w:gridSpan w:val="2"/>
          </w:tcPr>
          <w:p>
            <w:pPr>
              <w:ind w:left="120"/>
              <w:spacing w:after="0"/>
              <w:rPr>
                <w:sz w:val="20"/>
                <w:szCs w:val="20"/>
                <w:color w:val="auto"/>
              </w:rPr>
            </w:pPr>
            <w:r>
              <w:rPr>
                <w:rFonts w:ascii="Arial" w:cs="Arial" w:eastAsia="Arial" w:hAnsi="Arial"/>
                <w:sz w:val="17"/>
                <w:szCs w:val="17"/>
                <w:color w:val="auto"/>
              </w:rPr>
              <w:t>Canada</w:t>
            </w:r>
          </w:p>
        </w:tc>
      </w:tr>
      <w:tr>
        <w:trPr>
          <w:trHeight w:val="352"/>
        </w:trPr>
        <w:tc>
          <w:tcPr>
            <w:tcW w:w="3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r>
        <w:trPr>
          <w:trHeight w:val="148"/>
        </w:trPr>
        <w:tc>
          <w:tcPr>
            <w:tcW w:w="316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380" w:type="dxa"/>
            <w:vAlign w:val="bottom"/>
            <w:tcBorders>
              <w:bottom w:val="single" w:sz="8" w:color="auto"/>
            </w:tcBorders>
          </w:tcPr>
          <w:p>
            <w:pPr>
              <w:spacing w:after="0"/>
              <w:rPr>
                <w:sz w:val="12"/>
                <w:szCs w:val="12"/>
                <w:color w:val="auto"/>
              </w:rPr>
            </w:pPr>
          </w:p>
        </w:tc>
      </w:tr>
    </w:tbl>
    <w:p>
      <w:pPr>
        <w:sectPr>
          <w:pgSz w:w="11900" w:h="16838" w:orient="portrait"/>
          <w:cols w:equalWidth="0" w:num="1">
            <w:col w:w="11240"/>
          </w:cols>
          <w:pgMar w:left="320" w:top="667"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1845" cy="317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7141845" cy="31750"/>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200660</wp:posOffset>
            </wp:positionV>
            <wp:extent cx="714184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7141845" cy="8255"/>
                    </a:xfrm>
                    <a:prstGeom prst="rect">
                      <a:avLst/>
                    </a:prstGeom>
                    <a:noFill/>
                  </pic:spPr>
                </pic:pic>
              </a:graphicData>
            </a:graphic>
          </wp:anchor>
        </w:drawing>
        <w:t>Exhibit 12.1</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I, Dan Adika, Chief Executive Officer, certify that:</w:t>
      </w:r>
    </w:p>
    <w:p>
      <w:pPr>
        <w:spacing w:after="0" w:line="268" w:lineRule="exact"/>
        <w:rPr>
          <w:sz w:val="20"/>
          <w:szCs w:val="20"/>
          <w:color w:val="auto"/>
        </w:rPr>
      </w:pPr>
    </w:p>
    <w:p>
      <w:pPr>
        <w:ind w:left="300" w:hanging="300"/>
        <w:spacing w:after="0"/>
        <w:tabs>
          <w:tab w:leader="none" w:pos="3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I have reviewed this Annual Report on Form 20-F of WalkMe Ltd.;</w:t>
      </w:r>
    </w:p>
    <w:p>
      <w:pPr>
        <w:spacing w:after="0" w:line="256" w:lineRule="exact"/>
        <w:rPr>
          <w:rFonts w:ascii="Arial" w:cs="Arial" w:eastAsia="Arial" w:hAnsi="Arial"/>
          <w:sz w:val="17"/>
          <w:szCs w:val="17"/>
          <w:color w:val="auto"/>
        </w:rPr>
      </w:pPr>
    </w:p>
    <w:p>
      <w:pPr>
        <w:ind w:left="300" w:hanging="300"/>
        <w:spacing w:after="0" w:line="299" w:lineRule="auto"/>
        <w:tabs>
          <w:tab w:leader="none" w:pos="3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6"/>
          <w:szCs w:val="16"/>
          <w:color w:val="auto"/>
        </w:rPr>
      </w:pPr>
    </w:p>
    <w:p>
      <w:pPr>
        <w:ind w:left="300" w:hanging="300"/>
        <w:spacing w:after="0" w:line="268" w:lineRule="auto"/>
        <w:tabs>
          <w:tab w:leader="none" w:pos="3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16" w:lineRule="exact"/>
        <w:rPr>
          <w:rFonts w:ascii="Arial" w:cs="Arial" w:eastAsia="Arial" w:hAnsi="Arial"/>
          <w:sz w:val="17"/>
          <w:szCs w:val="17"/>
          <w:color w:val="auto"/>
        </w:rPr>
      </w:pPr>
    </w:p>
    <w:p>
      <w:pPr>
        <w:ind w:left="300" w:hanging="300"/>
        <w:spacing w:after="0" w:line="268" w:lineRule="auto"/>
        <w:tabs>
          <w:tab w:leader="none" w:pos="3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company’s other certifying officer(s) and I are responsible for establishing and maintaining disclosure controls and procedures (as defined in Exchange Act Rules 13a-15(e) and 15d-15(e)) for the company and have:</w:t>
      </w:r>
    </w:p>
    <w:p>
      <w:pPr>
        <w:spacing w:after="0" w:line="216" w:lineRule="exact"/>
        <w:rPr>
          <w:rFonts w:ascii="Arial" w:cs="Arial" w:eastAsia="Arial" w:hAnsi="Arial"/>
          <w:sz w:val="17"/>
          <w:szCs w:val="17"/>
          <w:color w:val="auto"/>
        </w:rPr>
      </w:pPr>
    </w:p>
    <w:p>
      <w:pPr>
        <w:jc w:val="both"/>
        <w:ind w:left="600" w:hanging="298"/>
        <w:spacing w:after="0" w:line="257" w:lineRule="auto"/>
        <w:tabs>
          <w:tab w:leader="none" w:pos="600" w:val="left"/>
        </w:tabs>
        <w:numPr>
          <w:ilvl w:val="1"/>
          <w:numId w:val="20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25" w:lineRule="exact"/>
        <w:rPr>
          <w:rFonts w:ascii="Arial" w:cs="Arial" w:eastAsia="Arial" w:hAnsi="Arial"/>
          <w:sz w:val="17"/>
          <w:szCs w:val="17"/>
          <w:color w:val="auto"/>
        </w:rPr>
      </w:pPr>
    </w:p>
    <w:p>
      <w:pPr>
        <w:ind w:left="600" w:hanging="298"/>
        <w:spacing w:after="0"/>
        <w:tabs>
          <w:tab w:leader="none" w:pos="600" w:val="left"/>
        </w:tabs>
        <w:numPr>
          <w:ilvl w:val="1"/>
          <w:numId w:val="208"/>
        </w:numPr>
        <w:rPr>
          <w:rFonts w:ascii="Arial" w:cs="Arial" w:eastAsia="Arial" w:hAnsi="Arial"/>
          <w:sz w:val="17"/>
          <w:szCs w:val="17"/>
          <w:color w:val="auto"/>
        </w:rPr>
      </w:pPr>
      <w:r>
        <w:rPr>
          <w:rFonts w:ascii="Arial" w:cs="Arial" w:eastAsia="Arial" w:hAnsi="Arial"/>
          <w:sz w:val="17"/>
          <w:szCs w:val="17"/>
          <w:color w:val="auto"/>
        </w:rPr>
        <w:t>[Omitted];</w:t>
      </w:r>
    </w:p>
    <w:p>
      <w:pPr>
        <w:spacing w:after="0" w:line="256" w:lineRule="exact"/>
        <w:rPr>
          <w:rFonts w:ascii="Arial" w:cs="Arial" w:eastAsia="Arial" w:hAnsi="Arial"/>
          <w:sz w:val="17"/>
          <w:szCs w:val="17"/>
          <w:color w:val="auto"/>
        </w:rPr>
      </w:pPr>
    </w:p>
    <w:p>
      <w:pPr>
        <w:ind w:left="600" w:hanging="298"/>
        <w:spacing w:after="0" w:line="268" w:lineRule="auto"/>
        <w:tabs>
          <w:tab w:leader="none" w:pos="600" w:val="left"/>
        </w:tabs>
        <w:numPr>
          <w:ilvl w:val="1"/>
          <w:numId w:val="208"/>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16" w:lineRule="exact"/>
        <w:rPr>
          <w:rFonts w:ascii="Arial" w:cs="Arial" w:eastAsia="Arial" w:hAnsi="Arial"/>
          <w:sz w:val="17"/>
          <w:szCs w:val="17"/>
          <w:color w:val="auto"/>
        </w:rPr>
      </w:pPr>
    </w:p>
    <w:p>
      <w:pPr>
        <w:ind w:left="600" w:hanging="298"/>
        <w:spacing w:after="0" w:line="299" w:lineRule="auto"/>
        <w:tabs>
          <w:tab w:leader="none" w:pos="60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94" w:lineRule="exact"/>
        <w:rPr>
          <w:rFonts w:ascii="Arial" w:cs="Arial" w:eastAsia="Arial" w:hAnsi="Arial"/>
          <w:sz w:val="16"/>
          <w:szCs w:val="16"/>
          <w:color w:val="auto"/>
        </w:rPr>
      </w:pPr>
    </w:p>
    <w:p>
      <w:pPr>
        <w:ind w:left="300" w:hanging="300"/>
        <w:spacing w:after="0" w:line="268" w:lineRule="auto"/>
        <w:tabs>
          <w:tab w:leader="none" w:pos="3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16" w:lineRule="exact"/>
        <w:rPr>
          <w:rFonts w:ascii="Arial" w:cs="Arial" w:eastAsia="Arial" w:hAnsi="Arial"/>
          <w:sz w:val="17"/>
          <w:szCs w:val="17"/>
          <w:color w:val="auto"/>
        </w:rPr>
      </w:pPr>
    </w:p>
    <w:p>
      <w:pPr>
        <w:ind w:left="680" w:hanging="303"/>
        <w:spacing w:after="0" w:line="268" w:lineRule="auto"/>
        <w:tabs>
          <w:tab w:leader="none" w:pos="680" w:val="left"/>
        </w:tabs>
        <w:numPr>
          <w:ilvl w:val="2"/>
          <w:numId w:val="20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6" w:lineRule="exact"/>
        <w:rPr>
          <w:rFonts w:ascii="Arial" w:cs="Arial" w:eastAsia="Arial" w:hAnsi="Arial"/>
          <w:sz w:val="17"/>
          <w:szCs w:val="17"/>
          <w:color w:val="auto"/>
        </w:rPr>
      </w:pPr>
    </w:p>
    <w:p>
      <w:pPr>
        <w:ind w:left="680" w:hanging="303"/>
        <w:spacing w:after="0" w:line="268" w:lineRule="auto"/>
        <w:tabs>
          <w:tab w:leader="none" w:pos="680" w:val="left"/>
        </w:tabs>
        <w:numPr>
          <w:ilvl w:val="2"/>
          <w:numId w:val="20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internal control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Date: March 24, 2022</w:t>
      </w:r>
    </w:p>
    <w:p>
      <w:pPr>
        <w:spacing w:after="0" w:line="268" w:lineRule="exact"/>
        <w:rPr>
          <w:sz w:val="20"/>
          <w:szCs w:val="20"/>
          <w:color w:val="auto"/>
        </w:rPr>
      </w:pPr>
    </w:p>
    <w:p>
      <w:pPr>
        <w:ind w:left="6140"/>
        <w:spacing w:after="0"/>
        <w:rPr>
          <w:sz w:val="20"/>
          <w:szCs w:val="20"/>
          <w:color w:val="auto"/>
        </w:rPr>
      </w:pPr>
      <w:r>
        <w:rPr>
          <w:rFonts w:ascii="Arial" w:cs="Arial" w:eastAsia="Arial" w:hAnsi="Arial"/>
          <w:sz w:val="17"/>
          <w:szCs w:val="17"/>
          <w:color w:val="auto"/>
        </w:rPr>
        <w:t>By:/s/ Dan Adika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4057650</wp:posOffset>
            </wp:positionH>
            <wp:positionV relativeFrom="paragraph">
              <wp:posOffset>11430</wp:posOffset>
            </wp:positionV>
            <wp:extent cx="3084830" cy="158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3084830" cy="15875"/>
                    </a:xfrm>
                    <a:prstGeom prst="rect">
                      <a:avLst/>
                    </a:prstGeom>
                    <a:noFill/>
                  </pic:spPr>
                </pic:pic>
              </a:graphicData>
            </a:graphic>
          </wp:anchor>
        </w:drawing>
      </w:r>
    </w:p>
    <w:p>
      <w:pPr>
        <w:spacing w:after="0" w:line="10"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Dan Adika</w:t>
      </w:r>
    </w:p>
    <w:p>
      <w:pPr>
        <w:spacing w:after="0" w:line="18"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Chief Executive Officer</w:t>
      </w:r>
    </w:p>
    <w:p>
      <w:pPr>
        <w:spacing w:after="0" w:line="5"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210820</wp:posOffset>
            </wp:positionV>
            <wp:extent cx="714184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298450</wp:posOffset>
            </wp:positionV>
            <wp:extent cx="7141845" cy="317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7141845" cy="31750"/>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1845" cy="317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7141845" cy="31750"/>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200660</wp:posOffset>
            </wp:positionV>
            <wp:extent cx="71418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7141845" cy="8255"/>
                    </a:xfrm>
                    <a:prstGeom prst="rect">
                      <a:avLst/>
                    </a:prstGeom>
                    <a:noFill/>
                  </pic:spPr>
                </pic:pic>
              </a:graphicData>
            </a:graphic>
          </wp:anchor>
        </w:drawing>
        <w:t>Exhibit 12.2</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I, Andrew Casey, Chief Financial Officer, certify that:</w:t>
      </w:r>
    </w:p>
    <w:p>
      <w:pPr>
        <w:spacing w:after="0" w:line="268" w:lineRule="exact"/>
        <w:rPr>
          <w:sz w:val="20"/>
          <w:szCs w:val="20"/>
          <w:color w:val="auto"/>
        </w:rPr>
      </w:pPr>
    </w:p>
    <w:p>
      <w:pPr>
        <w:ind w:left="300" w:hanging="300"/>
        <w:spacing w:after="0"/>
        <w:tabs>
          <w:tab w:leader="none" w:pos="3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I have reviewed this Annual Report on Form 20-F of WalkMe Ltd.;</w:t>
      </w:r>
    </w:p>
    <w:p>
      <w:pPr>
        <w:spacing w:after="0" w:line="256" w:lineRule="exact"/>
        <w:rPr>
          <w:rFonts w:ascii="Arial" w:cs="Arial" w:eastAsia="Arial" w:hAnsi="Arial"/>
          <w:sz w:val="17"/>
          <w:szCs w:val="17"/>
          <w:color w:val="auto"/>
        </w:rPr>
      </w:pPr>
    </w:p>
    <w:p>
      <w:pPr>
        <w:ind w:left="300" w:hanging="300"/>
        <w:spacing w:after="0" w:line="299" w:lineRule="auto"/>
        <w:tabs>
          <w:tab w:leader="none" w:pos="30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6"/>
          <w:szCs w:val="16"/>
          <w:color w:val="auto"/>
        </w:rPr>
      </w:pPr>
    </w:p>
    <w:p>
      <w:pPr>
        <w:ind w:left="300" w:hanging="300"/>
        <w:spacing w:after="0" w:line="268" w:lineRule="auto"/>
        <w:tabs>
          <w:tab w:leader="none" w:pos="3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16" w:lineRule="exact"/>
        <w:rPr>
          <w:rFonts w:ascii="Arial" w:cs="Arial" w:eastAsia="Arial" w:hAnsi="Arial"/>
          <w:sz w:val="17"/>
          <w:szCs w:val="17"/>
          <w:color w:val="auto"/>
        </w:rPr>
      </w:pPr>
    </w:p>
    <w:p>
      <w:pPr>
        <w:ind w:left="300" w:hanging="300"/>
        <w:spacing w:after="0" w:line="268" w:lineRule="auto"/>
        <w:tabs>
          <w:tab w:leader="none" w:pos="3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company’s other certifying officer(s) and I are responsible for establishing and maintaining disclosure controls and procedures (as defined in Exchange Act Rules 13a-15(e) and 15d-15(e)) for the company and have:</w:t>
      </w:r>
    </w:p>
    <w:p>
      <w:pPr>
        <w:spacing w:after="0" w:line="216" w:lineRule="exact"/>
        <w:rPr>
          <w:rFonts w:ascii="Arial" w:cs="Arial" w:eastAsia="Arial" w:hAnsi="Arial"/>
          <w:sz w:val="17"/>
          <w:szCs w:val="17"/>
          <w:color w:val="auto"/>
        </w:rPr>
      </w:pPr>
    </w:p>
    <w:p>
      <w:pPr>
        <w:jc w:val="both"/>
        <w:ind w:left="600" w:hanging="298"/>
        <w:spacing w:after="0" w:line="257" w:lineRule="auto"/>
        <w:tabs>
          <w:tab w:leader="none" w:pos="60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25" w:lineRule="exact"/>
        <w:rPr>
          <w:rFonts w:ascii="Arial" w:cs="Arial" w:eastAsia="Arial" w:hAnsi="Arial"/>
          <w:sz w:val="17"/>
          <w:szCs w:val="17"/>
          <w:color w:val="auto"/>
        </w:rPr>
      </w:pPr>
    </w:p>
    <w:p>
      <w:pPr>
        <w:ind w:left="600" w:hanging="298"/>
        <w:spacing w:after="0"/>
        <w:tabs>
          <w:tab w:leader="none" w:pos="60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[Omitted];</w:t>
      </w:r>
    </w:p>
    <w:p>
      <w:pPr>
        <w:spacing w:after="0" w:line="256" w:lineRule="exact"/>
        <w:rPr>
          <w:rFonts w:ascii="Arial" w:cs="Arial" w:eastAsia="Arial" w:hAnsi="Arial"/>
          <w:sz w:val="17"/>
          <w:szCs w:val="17"/>
          <w:color w:val="auto"/>
        </w:rPr>
      </w:pPr>
    </w:p>
    <w:p>
      <w:pPr>
        <w:ind w:left="600" w:hanging="298"/>
        <w:spacing w:after="0" w:line="268" w:lineRule="auto"/>
        <w:tabs>
          <w:tab w:leader="none" w:pos="60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16" w:lineRule="exact"/>
        <w:rPr>
          <w:rFonts w:ascii="Arial" w:cs="Arial" w:eastAsia="Arial" w:hAnsi="Arial"/>
          <w:sz w:val="17"/>
          <w:szCs w:val="17"/>
          <w:color w:val="auto"/>
        </w:rPr>
      </w:pPr>
    </w:p>
    <w:p>
      <w:pPr>
        <w:ind w:left="600" w:hanging="298"/>
        <w:spacing w:after="0" w:line="299" w:lineRule="auto"/>
        <w:tabs>
          <w:tab w:leader="none" w:pos="60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94" w:lineRule="exact"/>
        <w:rPr>
          <w:rFonts w:ascii="Arial" w:cs="Arial" w:eastAsia="Arial" w:hAnsi="Arial"/>
          <w:sz w:val="16"/>
          <w:szCs w:val="16"/>
          <w:color w:val="auto"/>
        </w:rPr>
      </w:pPr>
    </w:p>
    <w:p>
      <w:pPr>
        <w:ind w:left="300" w:hanging="300"/>
        <w:spacing w:after="0" w:line="268" w:lineRule="auto"/>
        <w:tabs>
          <w:tab w:leader="none" w:pos="3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16" w:lineRule="exact"/>
        <w:rPr>
          <w:rFonts w:ascii="Arial" w:cs="Arial" w:eastAsia="Arial" w:hAnsi="Arial"/>
          <w:sz w:val="17"/>
          <w:szCs w:val="17"/>
          <w:color w:val="auto"/>
        </w:rPr>
      </w:pPr>
    </w:p>
    <w:p>
      <w:pPr>
        <w:ind w:left="680" w:hanging="303"/>
        <w:spacing w:after="0" w:line="268" w:lineRule="auto"/>
        <w:tabs>
          <w:tab w:leader="none" w:pos="680" w:val="left"/>
        </w:tabs>
        <w:numPr>
          <w:ilvl w:val="2"/>
          <w:numId w:val="20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6" w:lineRule="exact"/>
        <w:rPr>
          <w:rFonts w:ascii="Arial" w:cs="Arial" w:eastAsia="Arial" w:hAnsi="Arial"/>
          <w:sz w:val="17"/>
          <w:szCs w:val="17"/>
          <w:color w:val="auto"/>
        </w:rPr>
      </w:pPr>
    </w:p>
    <w:p>
      <w:pPr>
        <w:ind w:left="680" w:hanging="303"/>
        <w:spacing w:after="0" w:line="268" w:lineRule="auto"/>
        <w:tabs>
          <w:tab w:leader="none" w:pos="680" w:val="left"/>
        </w:tabs>
        <w:numPr>
          <w:ilvl w:val="2"/>
          <w:numId w:val="20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internal control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Date: March 24, 2022</w:t>
      </w:r>
    </w:p>
    <w:p>
      <w:pPr>
        <w:spacing w:after="0" w:line="268" w:lineRule="exact"/>
        <w:rPr>
          <w:sz w:val="20"/>
          <w:szCs w:val="20"/>
          <w:color w:val="auto"/>
        </w:rPr>
      </w:pPr>
    </w:p>
    <w:p>
      <w:pPr>
        <w:ind w:left="6140"/>
        <w:spacing w:after="0"/>
        <w:rPr>
          <w:sz w:val="20"/>
          <w:szCs w:val="20"/>
          <w:color w:val="auto"/>
        </w:rPr>
      </w:pPr>
      <w:r>
        <w:rPr>
          <w:rFonts w:ascii="Arial" w:cs="Arial" w:eastAsia="Arial" w:hAnsi="Arial"/>
          <w:sz w:val="17"/>
          <w:szCs w:val="17"/>
          <w:color w:val="auto"/>
        </w:rPr>
        <w:t>By:/s/ Andrew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4057650</wp:posOffset>
            </wp:positionH>
            <wp:positionV relativeFrom="paragraph">
              <wp:posOffset>11430</wp:posOffset>
            </wp:positionV>
            <wp:extent cx="3084830" cy="158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3084830" cy="15875"/>
                    </a:xfrm>
                    <a:prstGeom prst="rect">
                      <a:avLst/>
                    </a:prstGeom>
                    <a:noFill/>
                  </pic:spPr>
                </pic:pic>
              </a:graphicData>
            </a:graphic>
          </wp:anchor>
        </w:drawing>
      </w:r>
    </w:p>
    <w:p>
      <w:pPr>
        <w:spacing w:after="0" w:line="10"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Andrew Casey</w:t>
      </w:r>
    </w:p>
    <w:p>
      <w:pPr>
        <w:spacing w:after="0" w:line="18"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Chief Financial Officer</w:t>
      </w:r>
    </w:p>
    <w:p>
      <w:pPr>
        <w:spacing w:after="0" w:line="5"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210820</wp:posOffset>
            </wp:positionV>
            <wp:extent cx="714184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298450</wp:posOffset>
            </wp:positionV>
            <wp:extent cx="7141845" cy="317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7141845" cy="31750"/>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1845" cy="317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7141845" cy="31750"/>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200660</wp:posOffset>
            </wp:positionV>
            <wp:extent cx="714184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7141845" cy="8255"/>
                    </a:xfrm>
                    <a:prstGeom prst="rect">
                      <a:avLst/>
                    </a:prstGeom>
                    <a:noFill/>
                  </pic:spPr>
                </pic:pic>
              </a:graphicData>
            </a:graphic>
          </wp:anchor>
        </w:drawing>
        <w:t>Exhibit 13.1</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31"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18 U.S.C. SECTION 1350, AS ADOPTED PURSUANT TO</w:t>
      </w:r>
    </w:p>
    <w:p>
      <w:pPr>
        <w:spacing w:after="0" w:line="21"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66"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In connection with the Annual Report on Form 20-F of WalkMe Ltd. (the “Company”) for the year ended December 31, 2021 as filed with the Securities and Exchange Commission on the date hereof (the “Report”), I certify, pursuant to 18 U.S.C. Section 1350, as adopted pursuant to Section 906 of the Sarbanes-Oxley Act of 2002, that to the best of my knowledge:</w:t>
      </w:r>
    </w:p>
    <w:p>
      <w:pPr>
        <w:spacing w:after="0" w:line="207" w:lineRule="exact"/>
        <w:rPr>
          <w:sz w:val="20"/>
          <w:szCs w:val="20"/>
          <w:color w:val="auto"/>
        </w:rPr>
      </w:pPr>
    </w:p>
    <w:p>
      <w:pPr>
        <w:ind w:left="680" w:hanging="680"/>
        <w:spacing w:after="0"/>
        <w:tabs>
          <w:tab w:leader="none" w:pos="6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1" w:lineRule="exact"/>
        <w:rPr>
          <w:rFonts w:ascii="Arial" w:cs="Arial" w:eastAsia="Arial" w:hAnsi="Arial"/>
          <w:sz w:val="17"/>
          <w:szCs w:val="17"/>
          <w:color w:val="auto"/>
        </w:rPr>
      </w:pPr>
    </w:p>
    <w:p>
      <w:pPr>
        <w:ind w:left="680" w:hanging="680"/>
        <w:spacing w:after="0"/>
        <w:tabs>
          <w:tab w:leader="none" w:pos="6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20"/>
                <w:szCs w:val="20"/>
                <w:color w:val="auto"/>
              </w:rPr>
            </w:pPr>
            <w:r>
              <w:rPr>
                <w:rFonts w:ascii="Arial" w:cs="Arial" w:eastAsia="Arial" w:hAnsi="Arial"/>
                <w:sz w:val="17"/>
                <w:szCs w:val="17"/>
                <w:color w:val="auto"/>
              </w:rPr>
              <w:t>Date: March 24, 2022</w:t>
            </w:r>
          </w:p>
        </w:tc>
        <w:tc>
          <w:tcPr>
            <w:tcW w:w="7860" w:type="dxa"/>
            <w:vAlign w:val="bottom"/>
            <w:gridSpan w:val="2"/>
          </w:tcPr>
          <w:p>
            <w:pPr>
              <w:ind w:left="1920"/>
              <w:spacing w:after="0"/>
              <w:rPr>
                <w:sz w:val="20"/>
                <w:szCs w:val="20"/>
                <w:color w:val="auto"/>
              </w:rPr>
            </w:pPr>
            <w:r>
              <w:rPr>
                <w:rFonts w:ascii="Arial" w:cs="Arial" w:eastAsia="Arial" w:hAnsi="Arial"/>
                <w:sz w:val="17"/>
                <w:szCs w:val="17"/>
                <w:color w:val="auto"/>
              </w:rPr>
              <w:t>By: /s/ Dan Adika</w:t>
            </w:r>
          </w:p>
        </w:tc>
      </w:tr>
      <w:tr>
        <w:trPr>
          <w:trHeight w:val="188"/>
        </w:trPr>
        <w:tc>
          <w:tcPr>
            <w:tcW w:w="3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62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rPr>
              <w:t>Dan Adika</w:t>
            </w:r>
          </w:p>
        </w:tc>
      </w:tr>
      <w:tr>
        <w:trPr>
          <w:trHeight w:val="201"/>
        </w:trPr>
        <w:tc>
          <w:tcPr>
            <w:tcW w:w="33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213"/>
        </w:trPr>
        <w:tc>
          <w:tcPr>
            <w:tcW w:w="3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(Principal Executive Officer)</w:t>
            </w:r>
          </w:p>
        </w:tc>
      </w:tr>
      <w:tr>
        <w:trPr>
          <w:trHeight w:val="327"/>
        </w:trPr>
        <w:tc>
          <w:tcPr>
            <w:tcW w:w="33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r>
        <w:trPr>
          <w:trHeight w:val="148"/>
        </w:trPr>
        <w:tc>
          <w:tcPr>
            <w:tcW w:w="33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5620" w:type="dxa"/>
            <w:vAlign w:val="bottom"/>
            <w:tcBorders>
              <w:bottom w:val="single" w:sz="8" w:color="auto"/>
            </w:tcBorders>
          </w:tcPr>
          <w:p>
            <w:pPr>
              <w:spacing w:after="0"/>
              <w:rPr>
                <w:sz w:val="12"/>
                <w:szCs w:val="12"/>
                <w:color w:val="auto"/>
              </w:rPr>
            </w:pPr>
          </w:p>
        </w:tc>
      </w:tr>
    </w:tbl>
    <w:p>
      <w:pPr>
        <w:sectPr>
          <w:pgSz w:w="11900" w:h="16838" w:orient="portrait"/>
          <w:cols w:equalWidth="0" w:num="1">
            <w:col w:w="11240"/>
          </w:cols>
          <w:pgMar w:left="320" w:top="416"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1845" cy="317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7141845" cy="31750"/>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200660</wp:posOffset>
            </wp:positionV>
            <wp:extent cx="714184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7141845" cy="8255"/>
                    </a:xfrm>
                    <a:prstGeom prst="rect">
                      <a:avLst/>
                    </a:prstGeom>
                    <a:noFill/>
                  </pic:spPr>
                </pic:pic>
              </a:graphicData>
            </a:graphic>
          </wp:anchor>
        </w:drawing>
        <w:t>Exhibit 13.2</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31"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18 U.S.C. SECTION 1350, AS ADOPTED PURSUANT TO</w:t>
      </w:r>
    </w:p>
    <w:p>
      <w:pPr>
        <w:spacing w:after="0" w:line="21"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66"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In connection with the Annual Report on Form 20-F of WalkMe Ltd. (the “Company”) for the year ended December 31, 2021 as filed with the Securities and Exchange Commission on the date hereof (the “Report”), I certify, pursuant to 18 U.S.C. Section 1350, as adopted pursuant to Section 906 of the Sarbanes-Oxley Act of 2002, that to the best of my knowledge:</w:t>
      </w:r>
    </w:p>
    <w:p>
      <w:pPr>
        <w:spacing w:after="0" w:line="207" w:lineRule="exact"/>
        <w:rPr>
          <w:sz w:val="20"/>
          <w:szCs w:val="20"/>
          <w:color w:val="auto"/>
        </w:rPr>
      </w:pPr>
    </w:p>
    <w:p>
      <w:pPr>
        <w:ind w:left="680" w:hanging="680"/>
        <w:spacing w:after="0"/>
        <w:tabs>
          <w:tab w:leader="none" w:pos="68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1" w:lineRule="exact"/>
        <w:rPr>
          <w:rFonts w:ascii="Arial" w:cs="Arial" w:eastAsia="Arial" w:hAnsi="Arial"/>
          <w:sz w:val="17"/>
          <w:szCs w:val="17"/>
          <w:color w:val="auto"/>
        </w:rPr>
      </w:pPr>
    </w:p>
    <w:p>
      <w:pPr>
        <w:ind w:left="680" w:hanging="680"/>
        <w:spacing w:after="0"/>
        <w:tabs>
          <w:tab w:leader="none" w:pos="6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20"/>
                <w:szCs w:val="20"/>
                <w:color w:val="auto"/>
              </w:rPr>
            </w:pPr>
            <w:r>
              <w:rPr>
                <w:rFonts w:ascii="Arial" w:cs="Arial" w:eastAsia="Arial" w:hAnsi="Arial"/>
                <w:sz w:val="17"/>
                <w:szCs w:val="17"/>
                <w:color w:val="auto"/>
              </w:rPr>
              <w:t>Date: March 24, 2022</w:t>
            </w:r>
          </w:p>
        </w:tc>
        <w:tc>
          <w:tcPr>
            <w:tcW w:w="7860" w:type="dxa"/>
            <w:vAlign w:val="bottom"/>
            <w:gridSpan w:val="2"/>
          </w:tcPr>
          <w:p>
            <w:pPr>
              <w:ind w:left="1920"/>
              <w:spacing w:after="0"/>
              <w:rPr>
                <w:sz w:val="20"/>
                <w:szCs w:val="20"/>
                <w:color w:val="auto"/>
              </w:rPr>
            </w:pPr>
            <w:r>
              <w:rPr>
                <w:rFonts w:ascii="Arial" w:cs="Arial" w:eastAsia="Arial" w:hAnsi="Arial"/>
                <w:sz w:val="17"/>
                <w:szCs w:val="17"/>
                <w:color w:val="auto"/>
              </w:rPr>
              <w:t>By: /s/ Andrew Casey</w:t>
            </w:r>
          </w:p>
        </w:tc>
      </w:tr>
      <w:tr>
        <w:trPr>
          <w:trHeight w:val="188"/>
        </w:trPr>
        <w:tc>
          <w:tcPr>
            <w:tcW w:w="3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62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rPr>
              <w:t>Andrew Casey</w:t>
            </w:r>
          </w:p>
        </w:tc>
      </w:tr>
      <w:tr>
        <w:trPr>
          <w:trHeight w:val="201"/>
        </w:trPr>
        <w:tc>
          <w:tcPr>
            <w:tcW w:w="33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213"/>
        </w:trPr>
        <w:tc>
          <w:tcPr>
            <w:tcW w:w="3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(Principal Financial Officer)</w:t>
            </w:r>
          </w:p>
        </w:tc>
      </w:tr>
      <w:tr>
        <w:trPr>
          <w:trHeight w:val="352"/>
        </w:trPr>
        <w:tc>
          <w:tcPr>
            <w:tcW w:w="33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r>
        <w:trPr>
          <w:trHeight w:val="148"/>
        </w:trPr>
        <w:tc>
          <w:tcPr>
            <w:tcW w:w="33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5620" w:type="dxa"/>
            <w:vAlign w:val="bottom"/>
            <w:tcBorders>
              <w:bottom w:val="single" w:sz="8" w:color="auto"/>
            </w:tcBorders>
          </w:tcPr>
          <w:p>
            <w:pPr>
              <w:spacing w:after="0"/>
              <w:rPr>
                <w:sz w:val="12"/>
                <w:szCs w:val="12"/>
                <w:color w:val="auto"/>
              </w:rPr>
            </w:pPr>
          </w:p>
        </w:tc>
      </w:tr>
    </w:tbl>
    <w:p>
      <w:pPr>
        <w:sectPr>
          <w:pgSz w:w="11900" w:h="16838" w:orient="portrait"/>
          <w:cols w:equalWidth="0" w:num="1">
            <w:col w:w="11240"/>
          </w:cols>
          <w:pgMar w:left="320" w:top="415"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1845" cy="317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7141845" cy="31750"/>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200660</wp:posOffset>
            </wp:positionV>
            <wp:extent cx="714184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7141845" cy="8255"/>
                    </a:xfrm>
                    <a:prstGeom prst="rect">
                      <a:avLst/>
                    </a:prstGeom>
                    <a:noFill/>
                  </pic:spPr>
                </pic:pic>
              </a:graphicData>
            </a:graphic>
          </wp:anchor>
        </w:drawing>
        <w:t>Exhibit 15.1</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7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We consent to the incorporation by reference in the Registration Statement (Form S-8 No. 333-257354) pertaining to the Restated 2012 Share Option Plan, 2021 Share Incentive Plan and the 2021 Employee Share Purchase Plan of WalkMe Ltd., of our report dated March 24, 2022, with respect to the consolidated financial statements of WalkMe Ltd. and its subsidiaries, included in this annual report (Form 20-F) for the year ended December 31,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460" w:type="dxa"/>
            <w:vAlign w:val="bottom"/>
          </w:tcPr>
          <w:p>
            <w:pPr>
              <w:ind w:left="40"/>
              <w:spacing w:after="0"/>
              <w:rPr>
                <w:sz w:val="20"/>
                <w:szCs w:val="20"/>
                <w:color w:val="auto"/>
              </w:rPr>
            </w:pPr>
            <w:r>
              <w:rPr>
                <w:rFonts w:ascii="Arial" w:cs="Arial" w:eastAsia="Arial" w:hAnsi="Arial"/>
                <w:sz w:val="17"/>
                <w:szCs w:val="17"/>
                <w:color w:val="auto"/>
              </w:rPr>
              <w:t>Tel Aviv, Israel</w:t>
            </w:r>
          </w:p>
        </w:tc>
        <w:tc>
          <w:tcPr>
            <w:tcW w:w="6780" w:type="dxa"/>
            <w:vAlign w:val="bottom"/>
          </w:tcPr>
          <w:p>
            <w:pPr>
              <w:jc w:val="center"/>
              <w:ind w:left="2276"/>
              <w:spacing w:after="0"/>
              <w:rPr>
                <w:sz w:val="20"/>
                <w:szCs w:val="20"/>
                <w:color w:val="auto"/>
              </w:rPr>
            </w:pPr>
            <w:r>
              <w:rPr>
                <w:rFonts w:ascii="Arial" w:cs="Arial" w:eastAsia="Arial" w:hAnsi="Arial"/>
                <w:sz w:val="17"/>
                <w:szCs w:val="17"/>
                <w:color w:val="auto"/>
                <w:w w:val="90"/>
              </w:rPr>
              <w:t>/s/ Kost Forer Gabbay &amp; Kasierer</w:t>
            </w:r>
          </w:p>
        </w:tc>
      </w:tr>
      <w:tr>
        <w:trPr>
          <w:trHeight w:val="213"/>
        </w:trPr>
        <w:tc>
          <w:tcPr>
            <w:tcW w:w="4460" w:type="dxa"/>
            <w:vAlign w:val="bottom"/>
          </w:tcPr>
          <w:p>
            <w:pPr>
              <w:ind w:left="40"/>
              <w:spacing w:after="0"/>
              <w:rPr>
                <w:sz w:val="20"/>
                <w:szCs w:val="20"/>
                <w:color w:val="auto"/>
              </w:rPr>
            </w:pPr>
            <w:r>
              <w:rPr>
                <w:rFonts w:ascii="Arial" w:cs="Arial" w:eastAsia="Arial" w:hAnsi="Arial"/>
                <w:sz w:val="17"/>
                <w:szCs w:val="17"/>
                <w:color w:val="auto"/>
              </w:rPr>
              <w:t>March 24, 2022</w:t>
            </w:r>
          </w:p>
        </w:tc>
        <w:tc>
          <w:tcPr>
            <w:tcW w:w="6780" w:type="dxa"/>
            <w:vAlign w:val="bottom"/>
          </w:tcPr>
          <w:p>
            <w:pPr>
              <w:jc w:val="center"/>
              <w:ind w:left="2276"/>
              <w:spacing w:after="0"/>
              <w:rPr>
                <w:sz w:val="20"/>
                <w:szCs w:val="20"/>
                <w:color w:val="auto"/>
              </w:rPr>
            </w:pPr>
            <w:r>
              <w:rPr>
                <w:rFonts w:ascii="Arial" w:cs="Arial" w:eastAsia="Arial" w:hAnsi="Arial"/>
                <w:sz w:val="17"/>
                <w:szCs w:val="17"/>
                <w:color w:val="auto"/>
                <w:w w:val="92"/>
              </w:rPr>
              <w:t>A Member of Ernst &amp; Young Global</w:t>
            </w:r>
          </w:p>
        </w:tc>
      </w:tr>
      <w:tr>
        <w:trPr>
          <w:trHeight w:val="352"/>
        </w:trPr>
        <w:tc>
          <w:tcPr>
            <w:tcW w:w="446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r>
      <w:tr>
        <w:trPr>
          <w:trHeight w:val="148"/>
        </w:trPr>
        <w:tc>
          <w:tcPr>
            <w:tcW w:w="4460" w:type="dxa"/>
            <w:vAlign w:val="bottom"/>
            <w:tcBorders>
              <w:bottom w:val="single" w:sz="8" w:color="auto"/>
            </w:tcBorders>
          </w:tcPr>
          <w:p>
            <w:pPr>
              <w:spacing w:after="0"/>
              <w:rPr>
                <w:sz w:val="12"/>
                <w:szCs w:val="12"/>
                <w:color w:val="auto"/>
              </w:rPr>
            </w:pPr>
          </w:p>
        </w:tc>
        <w:tc>
          <w:tcPr>
            <w:tcW w:w="6780" w:type="dxa"/>
            <w:vAlign w:val="bottom"/>
            <w:tcBorders>
              <w:bottom w:val="single" w:sz="8" w:color="auto"/>
            </w:tcBorders>
          </w:tcPr>
          <w:p>
            <w:pPr>
              <w:spacing w:after="0"/>
              <w:rPr>
                <w:sz w:val="12"/>
                <w:szCs w:val="12"/>
                <w:color w:val="auto"/>
              </w:rPr>
            </w:pPr>
          </w:p>
        </w:tc>
      </w:tr>
    </w:tbl>
    <w:p>
      <w:pPr>
        <w:spacing w:after="0" w:line="1" w:lineRule="exact"/>
        <w:rPr>
          <w:sz w:val="20"/>
          <w:szCs w:val="20"/>
          <w:color w:val="auto"/>
        </w:rPr>
      </w:pPr>
    </w:p>
    <w:sectPr>
      <w:pgSz w:w="11900" w:h="16838" w:orient="portrait"/>
      <w:cols w:equalWidth="0" w:num="1">
        <w:col w:w="11240"/>
      </w:cols>
      <w:pgMar w:left="320" w:top="4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BFE8E0"/>
    <w:multiLevelType w:val="hybridMultilevel"/>
    <w:lvl w:ilvl="0">
      <w:lvlJc w:val="left"/>
      <w:lvlText w:val="☐"/>
      <w:numFmt w:val="bullet"/>
      <w:start w:val="1"/>
    </w:lvl>
  </w:abstractNum>
  <w:abstractNum w:abstractNumId="1">
    <w:nsid w:val="5092CA79"/>
    <w:multiLevelType w:val="hybridMultilevel"/>
    <w:lvl w:ilvl="0">
      <w:lvlJc w:val="left"/>
      <w:lvlText w:val="☒"/>
      <w:numFmt w:val="bullet"/>
      <w:start w:val="1"/>
    </w:lvl>
  </w:abstractNum>
  <w:abstractNum w:abstractNumId="2">
    <w:nsid w:val="1D545C4D"/>
    <w:multiLevelType w:val="hybridMultilevel"/>
    <w:lvl w:ilvl="0">
      <w:lvlJc w:val="left"/>
      <w:lvlText w:val="☐"/>
      <w:numFmt w:val="bullet"/>
      <w:start w:val="1"/>
    </w:lvl>
  </w:abstractNum>
  <w:abstractNum w:abstractNumId="3">
    <w:nsid w:val="59ADEA3D"/>
    <w:multiLevelType w:val="hybridMultilevel"/>
    <w:lvl w:ilvl="0">
      <w:lvlJc w:val="left"/>
      <w:lvlText w:val="☐"/>
      <w:numFmt w:val="bullet"/>
      <w:start w:val="1"/>
    </w:lvl>
  </w:abstractNum>
  <w:abstractNum w:abstractNumId="4">
    <w:nsid w:val="288F1A34"/>
    <w:multiLevelType w:val="hybridMultilevel"/>
    <w:lvl w:ilvl="0">
      <w:lvlJc w:val="left"/>
      <w:lvlText w:val="•"/>
      <w:numFmt w:val="bullet"/>
      <w:start w:val="1"/>
    </w:lvl>
  </w:abstractNum>
  <w:abstractNum w:abstractNumId="5">
    <w:nsid w:val="2A155DBC"/>
    <w:multiLevelType w:val="hybridMultilevel"/>
    <w:lvl w:ilvl="0">
      <w:lvlJc w:val="left"/>
      <w:lvlText w:val="•"/>
      <w:numFmt w:val="bullet"/>
      <w:start w:val="1"/>
    </w:lvl>
  </w:abstractNum>
  <w:abstractNum w:abstractNumId="6">
    <w:nsid w:val="1D9F6E5F"/>
    <w:multiLevelType w:val="hybridMultilevel"/>
    <w:lvl w:ilvl="0">
      <w:lvlJc w:val="left"/>
      <w:lvlText w:val="%1."/>
      <w:numFmt w:val="upperLetter"/>
      <w:start w:val="1"/>
    </w:lvl>
  </w:abstractNum>
  <w:abstractNum w:abstractNumId="7">
    <w:nsid w:val="97E1B4E"/>
    <w:multiLevelType w:val="hybridMultilevel"/>
    <w:lvl w:ilvl="0">
      <w:lvlJc w:val="left"/>
      <w:lvlText w:val="•"/>
      <w:numFmt w:val="bullet"/>
      <w:start w:val="1"/>
    </w:lvl>
  </w:abstractNum>
  <w:abstractNum w:abstractNumId="8">
    <w:nsid w:val="51088277"/>
    <w:multiLevelType w:val="hybridMultilevel"/>
    <w:lvl w:ilvl="0">
      <w:lvlJc w:val="left"/>
      <w:lvlText w:val="•"/>
      <w:numFmt w:val="bullet"/>
      <w:start w:val="1"/>
    </w:lvl>
  </w:abstractNum>
  <w:abstractNum w:abstractNumId="9">
    <w:nsid w:val="1CA0C5FA"/>
    <w:multiLevelType w:val="hybridMultilevel"/>
    <w:lvl w:ilvl="0">
      <w:lvlJc w:val="left"/>
      <w:lvlText w:val="•"/>
      <w:numFmt w:val="bullet"/>
      <w:start w:val="1"/>
    </w:lvl>
  </w:abstractNum>
  <w:abstractNum w:abstractNumId="10">
    <w:nsid w:val="53584BCB"/>
    <w:multiLevelType w:val="hybridMultilevel"/>
    <w:lvl w:ilvl="0">
      <w:lvlJc w:val="left"/>
      <w:lvlText w:val="•"/>
      <w:numFmt w:val="bullet"/>
      <w:start w:val="1"/>
    </w:lvl>
  </w:abstractNum>
  <w:abstractNum w:abstractNumId="11">
    <w:nsid w:val="415E286C"/>
    <w:multiLevelType w:val="hybridMultilevel"/>
    <w:lvl w:ilvl="0">
      <w:lvlJc w:val="left"/>
      <w:lvlText w:val="•"/>
      <w:numFmt w:val="bullet"/>
      <w:start w:val="1"/>
    </w:lvl>
  </w:abstractNum>
  <w:abstractNum w:abstractNumId="12">
    <w:nsid w:val="7C58FD05"/>
    <w:multiLevelType w:val="hybridMultilevel"/>
    <w:lvl w:ilvl="0">
      <w:lvlJc w:val="left"/>
      <w:lvlText w:val="•"/>
      <w:numFmt w:val="bullet"/>
      <w:start w:val="1"/>
    </w:lvl>
  </w:abstractNum>
  <w:abstractNum w:abstractNumId="13">
    <w:nsid w:val="23D86AAC"/>
    <w:multiLevelType w:val="hybridMultilevel"/>
    <w:lvl w:ilvl="0">
      <w:lvlJc w:val="left"/>
      <w:lvlText w:val="•"/>
      <w:numFmt w:val="bullet"/>
      <w:start w:val="1"/>
    </w:lvl>
  </w:abstractNum>
  <w:abstractNum w:abstractNumId="14">
    <w:nsid w:val="45E6D486"/>
    <w:multiLevelType w:val="hybridMultilevel"/>
    <w:lvl w:ilvl="0">
      <w:lvlJc w:val="left"/>
      <w:lvlText w:val="•"/>
      <w:numFmt w:val="bullet"/>
      <w:start w:val="1"/>
    </w:lvl>
  </w:abstractNum>
  <w:abstractNum w:abstractNumId="15">
    <w:nsid w:val="5C10FE21"/>
    <w:multiLevelType w:val="hybridMultilevel"/>
    <w:lvl w:ilvl="0">
      <w:lvlJc w:val="left"/>
      <w:lvlText w:val="•"/>
      <w:numFmt w:val="bullet"/>
      <w:start w:val="1"/>
    </w:lvl>
  </w:abstractNum>
  <w:abstractNum w:abstractNumId="16">
    <w:nsid w:val="E7FFA2B"/>
    <w:multiLevelType w:val="hybridMultilevel"/>
    <w:lvl w:ilvl="0">
      <w:lvlJc w:val="left"/>
      <w:lvlText w:val="•"/>
      <w:numFmt w:val="bullet"/>
      <w:start w:val="1"/>
    </w:lvl>
  </w:abstractNum>
  <w:abstractNum w:abstractNumId="17">
    <w:nsid w:val="3C5991AA"/>
    <w:multiLevelType w:val="hybridMultilevel"/>
    <w:lvl w:ilvl="0">
      <w:lvlJc w:val="left"/>
      <w:lvlText w:val="•"/>
      <w:numFmt w:val="bullet"/>
      <w:start w:val="1"/>
    </w:lvl>
  </w:abstractNum>
  <w:abstractNum w:abstractNumId="18">
    <w:nsid w:val="4BD8591A"/>
    <w:multiLevelType w:val="hybridMultilevel"/>
    <w:lvl w:ilvl="0">
      <w:lvlJc w:val="left"/>
      <w:lvlText w:val="•"/>
      <w:numFmt w:val="bullet"/>
      <w:start w:val="1"/>
    </w:lvl>
  </w:abstractNum>
  <w:abstractNum w:abstractNumId="19">
    <w:nsid w:val="78DF6A55"/>
    <w:multiLevelType w:val="hybridMultilevel"/>
    <w:lvl w:ilvl="0">
      <w:lvlJc w:val="left"/>
      <w:lvlText w:val="•"/>
      <w:numFmt w:val="bullet"/>
      <w:start w:val="1"/>
    </w:lvl>
  </w:abstractNum>
  <w:abstractNum w:abstractNumId="20">
    <w:nsid w:val="39B7AAA2"/>
    <w:multiLevelType w:val="hybridMultilevel"/>
    <w:lvl w:ilvl="0">
      <w:lvlJc w:val="left"/>
      <w:lvlText w:val="•"/>
      <w:numFmt w:val="bullet"/>
      <w:start w:val="1"/>
    </w:lvl>
  </w:abstractNum>
  <w:abstractNum w:abstractNumId="21">
    <w:nsid w:val="2B0D8DBE"/>
    <w:multiLevelType w:val="hybridMultilevel"/>
    <w:lvl w:ilvl="0">
      <w:lvlJc w:val="left"/>
      <w:lvlText w:val="•"/>
      <w:numFmt w:val="bullet"/>
      <w:start w:val="1"/>
    </w:lvl>
  </w:abstractNum>
  <w:abstractNum w:abstractNumId="22">
    <w:nsid w:val="6C80EC70"/>
    <w:multiLevelType w:val="hybridMultilevel"/>
    <w:lvl w:ilvl="0">
      <w:lvlJc w:val="left"/>
      <w:lvlText w:val="•"/>
      <w:numFmt w:val="bullet"/>
      <w:start w:val="1"/>
    </w:lvl>
  </w:abstractNum>
  <w:abstractNum w:abstractNumId="23">
    <w:nsid w:val="379E21B5"/>
    <w:multiLevelType w:val="hybridMultilevel"/>
    <w:lvl w:ilvl="0">
      <w:lvlJc w:val="left"/>
      <w:lvlText w:val="(%1)"/>
      <w:numFmt w:val="lowerRoman"/>
      <w:start w:val="1"/>
    </w:lvl>
  </w:abstractNum>
  <w:abstractNum w:abstractNumId="24">
    <w:nsid w:val="69E373"/>
    <w:multiLevelType w:val="hybridMultilevel"/>
    <w:lvl w:ilvl="0">
      <w:lvlJc w:val="left"/>
      <w:lvlText w:val="•"/>
      <w:numFmt w:val="bullet"/>
      <w:start w:val="1"/>
    </w:lvl>
  </w:abstractNum>
  <w:abstractNum w:abstractNumId="25">
    <w:nsid w:val="2C27173B"/>
    <w:multiLevelType w:val="hybridMultilevel"/>
    <w:lvl w:ilvl="0">
      <w:lvlJc w:val="left"/>
      <w:lvlText w:val="•"/>
      <w:numFmt w:val="bullet"/>
      <w:start w:val="1"/>
    </w:lvl>
  </w:abstractNum>
  <w:abstractNum w:abstractNumId="26">
    <w:nsid w:val="4C9B0904"/>
    <w:multiLevelType w:val="hybridMultilevel"/>
    <w:lvl w:ilvl="0">
      <w:lvlJc w:val="left"/>
      <w:lvlText w:val="•"/>
      <w:numFmt w:val="bullet"/>
      <w:start w:val="1"/>
    </w:lvl>
  </w:abstractNum>
  <w:abstractNum w:abstractNumId="27">
    <w:nsid w:val="6AA7B75C"/>
    <w:multiLevelType w:val="hybridMultilevel"/>
    <w:lvl w:ilvl="0">
      <w:lvlJc w:val="left"/>
      <w:lvlText w:val="%1."/>
      <w:numFmt w:val="upperLetter"/>
      <w:start w:val="2"/>
    </w:lvl>
  </w:abstractNum>
  <w:abstractNum w:abstractNumId="28">
    <w:nsid w:val="1DF029D3"/>
    <w:multiLevelType w:val="hybridMultilevel"/>
    <w:lvl w:ilvl="0">
      <w:lvlJc w:val="left"/>
      <w:lvlText w:val="•"/>
      <w:numFmt w:val="bullet"/>
      <w:start w:val="1"/>
    </w:lvl>
  </w:abstractNum>
  <w:abstractNum w:abstractNumId="29">
    <w:nsid w:val="5675FF36"/>
    <w:multiLevelType w:val="hybridMultilevel"/>
    <w:lvl w:ilvl="0">
      <w:lvlJc w:val="left"/>
      <w:lvlText w:val="•"/>
      <w:numFmt w:val="bullet"/>
      <w:start w:val="1"/>
    </w:lvl>
  </w:abstractNum>
  <w:abstractNum w:abstractNumId="30">
    <w:nsid w:val="3DD15094"/>
    <w:multiLevelType w:val="hybridMultilevel"/>
    <w:lvl w:ilvl="0">
      <w:lvlJc w:val="left"/>
      <w:lvlText w:val="•"/>
      <w:numFmt w:val="bullet"/>
      <w:start w:val="1"/>
    </w:lvl>
    <w:lvl w:ilvl="1">
      <w:lvlJc w:val="left"/>
      <w:lvlText w:val="•"/>
      <w:numFmt w:val="bullet"/>
      <w:start w:val="1"/>
    </w:lvl>
  </w:abstractNum>
  <w:abstractNum w:abstractNumId="31">
    <w:nsid w:val="3DB012B3"/>
    <w:multiLevelType w:val="hybridMultilevel"/>
    <w:lvl w:ilvl="0">
      <w:lvlJc w:val="left"/>
      <w:lvlText w:val="•"/>
      <w:numFmt w:val="bullet"/>
      <w:start w:val="1"/>
    </w:lvl>
    <w:lvl w:ilvl="1">
      <w:lvlJc w:val="left"/>
      <w:lvlText w:val="•"/>
      <w:numFmt w:val="bullet"/>
      <w:start w:val="1"/>
    </w:lvl>
  </w:abstractNum>
  <w:abstractNum w:abstractNumId="32">
    <w:nsid w:val="2708C9AF"/>
    <w:multiLevelType w:val="hybridMultilevel"/>
    <w:lvl w:ilvl="0">
      <w:lvlJc w:val="left"/>
      <w:lvlText w:val="•"/>
      <w:numFmt w:val="bullet"/>
      <w:start w:val="1"/>
    </w:lvl>
  </w:abstractNum>
  <w:abstractNum w:abstractNumId="33">
    <w:nsid w:val="5B25ACE2"/>
    <w:multiLevelType w:val="hybridMultilevel"/>
    <w:lvl w:ilvl="0">
      <w:lvlJc w:val="left"/>
      <w:lvlText w:val="•"/>
      <w:numFmt w:val="bullet"/>
      <w:start w:val="1"/>
    </w:lvl>
  </w:abstractNum>
  <w:abstractNum w:abstractNumId="34">
    <w:nsid w:val="175DFCF0"/>
    <w:multiLevelType w:val="hybridMultilevel"/>
    <w:lvl w:ilvl="0">
      <w:lvlJc w:val="left"/>
      <w:lvlText w:val="•"/>
      <w:numFmt w:val="bullet"/>
      <w:start w:val="1"/>
    </w:lvl>
  </w:abstractNum>
  <w:abstractNum w:abstractNumId="35">
    <w:nsid w:val="4F97E3E4"/>
    <w:multiLevelType w:val="hybridMultilevel"/>
    <w:lvl w:ilvl="0">
      <w:lvlJc w:val="left"/>
      <w:lvlText w:val="•"/>
      <w:numFmt w:val="bullet"/>
      <w:start w:val="1"/>
    </w:lvl>
  </w:abstractNum>
  <w:abstractNum w:abstractNumId="36">
    <w:nsid w:val="53B0A9E"/>
    <w:multiLevelType w:val="hybridMultilevel"/>
    <w:lvl w:ilvl="0">
      <w:lvlJc w:val="left"/>
      <w:lvlText w:val="•"/>
      <w:numFmt w:val="bullet"/>
      <w:start w:val="1"/>
    </w:lvl>
  </w:abstractNum>
  <w:abstractNum w:abstractNumId="37">
    <w:nsid w:val="34FD6B4F"/>
    <w:multiLevelType w:val="hybridMultilevel"/>
    <w:lvl w:ilvl="0">
      <w:lvlJc w:val="left"/>
      <w:lvlText w:val="•"/>
      <w:numFmt w:val="bullet"/>
      <w:start w:val="1"/>
    </w:lvl>
  </w:abstractNum>
  <w:abstractNum w:abstractNumId="38">
    <w:nsid w:val="5915FF32"/>
    <w:multiLevelType w:val="hybridMultilevel"/>
    <w:lvl w:ilvl="0">
      <w:lvlJc w:val="left"/>
      <w:lvlText w:val="•"/>
      <w:numFmt w:val="bullet"/>
      <w:start w:val="1"/>
    </w:lvl>
  </w:abstractNum>
  <w:abstractNum w:abstractNumId="39">
    <w:nsid w:val="56438D15"/>
    <w:multiLevelType w:val="hybridMultilevel"/>
    <w:lvl w:ilvl="0">
      <w:lvlJc w:val="left"/>
      <w:lvlText w:val="•"/>
      <w:numFmt w:val="bullet"/>
      <w:start w:val="1"/>
    </w:lvl>
  </w:abstractNum>
  <w:abstractNum w:abstractNumId="40">
    <w:nsid w:val="519E3149"/>
    <w:multiLevelType w:val="hybridMultilevel"/>
    <w:lvl w:ilvl="0">
      <w:lvlJc w:val="left"/>
      <w:lvlText w:val="•"/>
      <w:numFmt w:val="bullet"/>
      <w:start w:val="1"/>
    </w:lvl>
  </w:abstractNum>
  <w:abstractNum w:abstractNumId="41">
    <w:nsid w:val="2C6E4AFD"/>
    <w:multiLevelType w:val="hybridMultilevel"/>
    <w:lvl w:ilvl="0">
      <w:lvlJc w:val="left"/>
      <w:lvlText w:val="•"/>
      <w:numFmt w:val="bullet"/>
      <w:start w:val="1"/>
    </w:lvl>
  </w:abstractNum>
  <w:abstractNum w:abstractNumId="42">
    <w:nsid w:val="17A1B582"/>
    <w:multiLevelType w:val="hybridMultilevel"/>
    <w:lvl w:ilvl="0">
      <w:lvlJc w:val="left"/>
      <w:lvlText w:val="•"/>
      <w:numFmt w:val="bullet"/>
      <w:start w:val="1"/>
    </w:lvl>
  </w:abstractNum>
  <w:abstractNum w:abstractNumId="43">
    <w:nsid w:val="4DF72E4E"/>
    <w:multiLevelType w:val="hybridMultilevel"/>
    <w:lvl w:ilvl="0">
      <w:lvlJc w:val="left"/>
      <w:lvlText w:val="%1."/>
      <w:numFmt w:val="upperLetter"/>
      <w:start w:val="3"/>
    </w:lvl>
  </w:abstractNum>
  <w:abstractNum w:abstractNumId="44">
    <w:nsid w:val="5046B5A9"/>
    <w:multiLevelType w:val="hybridMultilevel"/>
    <w:lvl w:ilvl="0">
      <w:lvlJc w:val="left"/>
      <w:lvlText w:val="•"/>
      <w:numFmt w:val="bullet"/>
      <w:start w:val="1"/>
    </w:lvl>
  </w:abstractNum>
  <w:abstractNum w:abstractNumId="45">
    <w:nsid w:val="5D888A08"/>
    <w:multiLevelType w:val="hybridMultilevel"/>
    <w:lvl w:ilvl="0">
      <w:lvlJc w:val="left"/>
      <w:lvlText w:val="•"/>
      <w:numFmt w:val="bullet"/>
      <w:start w:val="1"/>
    </w:lvl>
  </w:abstractNum>
  <w:abstractNum w:abstractNumId="46">
    <w:nsid w:val="2A082C70"/>
    <w:multiLevelType w:val="hybridMultilevel"/>
    <w:lvl w:ilvl="0">
      <w:lvlJc w:val="left"/>
      <w:lvlText w:val="•"/>
      <w:numFmt w:val="bullet"/>
      <w:start w:val="1"/>
    </w:lvl>
  </w:abstractNum>
  <w:abstractNum w:abstractNumId="47">
    <w:nsid w:val="5EC6AFD4"/>
    <w:multiLevelType w:val="hybridMultilevel"/>
    <w:lvl w:ilvl="0">
      <w:lvlJc w:val="left"/>
      <w:lvlText w:val="%1."/>
      <w:numFmt w:val="upperLetter"/>
      <w:start w:val="1"/>
    </w:lvl>
  </w:abstractNum>
  <w:abstractNum w:abstractNumId="48">
    <w:nsid w:val="19E21BB2"/>
    <w:multiLevelType w:val="hybridMultilevel"/>
    <w:lvl w:ilvl="0">
      <w:lvlJc w:val="left"/>
      <w:lvlText w:val="(%1)"/>
      <w:numFmt w:val="decimal"/>
      <w:start w:val="1"/>
    </w:lvl>
  </w:abstractNum>
  <w:abstractNum w:abstractNumId="49">
    <w:nsid w:val="75E0858A"/>
    <w:multiLevelType w:val="hybridMultilevel"/>
    <w:lvl w:ilvl="0">
      <w:lvlJc w:val="left"/>
      <w:lvlText w:val="•"/>
      <w:numFmt w:val="bullet"/>
      <w:start w:val="1"/>
    </w:lvl>
  </w:abstractNum>
  <w:abstractNum w:abstractNumId="50">
    <w:nsid w:val="57A61A29"/>
    <w:multiLevelType w:val="hybridMultilevel"/>
    <w:lvl w:ilvl="0">
      <w:lvlJc w:val="left"/>
      <w:lvlText w:val="•"/>
      <w:numFmt w:val="bullet"/>
      <w:start w:val="1"/>
    </w:lvl>
  </w:abstractNum>
  <w:abstractNum w:abstractNumId="51">
    <w:nsid w:val="5399C654"/>
    <w:multiLevelType w:val="hybridMultilevel"/>
    <w:lvl w:ilvl="0">
      <w:lvlJc w:val="left"/>
      <w:lvlText w:val="(%1)"/>
      <w:numFmt w:val="decimal"/>
      <w:start w:val="3"/>
    </w:lvl>
  </w:abstractNum>
  <w:abstractNum w:abstractNumId="52">
    <w:nsid w:val="20EE1348"/>
    <w:multiLevelType w:val="hybridMultilevel"/>
    <w:lvl w:ilvl="0">
      <w:lvlJc w:val="left"/>
      <w:lvlText w:val="(%1)"/>
      <w:numFmt w:val="lowerRoman"/>
      <w:start w:val="3"/>
    </w:lvl>
  </w:abstractNum>
  <w:abstractNum w:abstractNumId="53">
    <w:nsid w:val="4427069A"/>
    <w:multiLevelType w:val="hybridMultilevel"/>
    <w:lvl w:ilvl="0">
      <w:lvlJc w:val="left"/>
      <w:lvlText w:val="(%1)"/>
      <w:numFmt w:val="lowerRoman"/>
      <w:start w:val="3"/>
    </w:lvl>
  </w:abstractNum>
  <w:abstractNum w:abstractNumId="54">
    <w:nsid w:val="B37E80A"/>
    <w:multiLevelType w:val="hybridMultilevel"/>
    <w:lvl w:ilvl="0">
      <w:lvlJc w:val="left"/>
      <w:lvlText w:val="•"/>
      <w:numFmt w:val="bullet"/>
      <w:start w:val="1"/>
    </w:lvl>
  </w:abstractNum>
  <w:abstractNum w:abstractNumId="55">
    <w:nsid w:val="2157F6BC"/>
    <w:multiLevelType w:val="hybridMultilevel"/>
    <w:lvl w:ilvl="0">
      <w:lvlJc w:val="left"/>
      <w:lvlText w:val="(%1)"/>
      <w:numFmt w:val="lowerLetter"/>
      <w:start w:val="3"/>
    </w:lvl>
    <w:lvl w:ilvl="1">
      <w:lvlJc w:val="left"/>
      <w:lvlText w:val="%2."/>
      <w:numFmt w:val="lowerLetter"/>
      <w:start w:val="1"/>
    </w:lvl>
  </w:abstractNum>
  <w:abstractNum w:abstractNumId="56">
    <w:nsid w:val="704E1DD5"/>
    <w:multiLevelType w:val="hybridMultilevel"/>
    <w:lvl w:ilvl="0">
      <w:lvlJc w:val="left"/>
      <w:lvlText w:val="%1."/>
      <w:numFmt w:val="lowerLetter"/>
      <w:start w:val="4"/>
    </w:lvl>
  </w:abstractNum>
  <w:abstractNum w:abstractNumId="57">
    <w:nsid w:val="57D2F10E"/>
    <w:multiLevelType w:val="hybridMultilevel"/>
    <w:lvl w:ilvl="0">
      <w:lvlJc w:val="left"/>
      <w:lvlText w:val="%1."/>
      <w:numFmt w:val="upperLetter"/>
      <w:start w:val="3"/>
    </w:lvl>
  </w:abstractNum>
  <w:abstractNum w:abstractNumId="58">
    <w:nsid w:val="BFFAE18"/>
    <w:multiLevelType w:val="hybridMultilevel"/>
    <w:lvl w:ilvl="0">
      <w:lvlJc w:val="left"/>
      <w:lvlText w:val="•"/>
      <w:numFmt w:val="bullet"/>
      <w:start w:val="1"/>
    </w:lvl>
  </w:abstractNum>
  <w:abstractNum w:abstractNumId="59">
    <w:nsid w:val="E3E47A8"/>
    <w:multiLevelType w:val="hybridMultilevel"/>
    <w:lvl w:ilvl="0">
      <w:lvlJc w:val="left"/>
      <w:lvlText w:val="•"/>
      <w:numFmt w:val="bullet"/>
      <w:start w:val="1"/>
    </w:lvl>
  </w:abstractNum>
  <w:abstractNum w:abstractNumId="60">
    <w:nsid w:val="2E48F044"/>
    <w:multiLevelType w:val="hybridMultilevel"/>
    <w:lvl w:ilvl="0">
      <w:lvlJc w:val="left"/>
      <w:lvlText w:val="•"/>
      <w:numFmt w:val="bullet"/>
      <w:start w:val="1"/>
    </w:lvl>
  </w:abstractNum>
  <w:abstractNum w:abstractNumId="61">
    <w:nsid w:val="49D0FEAC"/>
    <w:multiLevelType w:val="hybridMultilevel"/>
    <w:lvl w:ilvl="0">
      <w:lvlJc w:val="left"/>
      <w:lvlText w:val="•"/>
      <w:numFmt w:val="bullet"/>
      <w:start w:val="1"/>
    </w:lvl>
  </w:abstractNum>
  <w:abstractNum w:abstractNumId="62">
    <w:nsid w:val="4BEE5A5B"/>
    <w:multiLevelType w:val="hybridMultilevel"/>
    <w:lvl w:ilvl="0">
      <w:lvlJc w:val="left"/>
      <w:lvlText w:val="•"/>
      <w:numFmt w:val="bullet"/>
      <w:start w:val="1"/>
    </w:lvl>
  </w:abstractNum>
  <w:abstractNum w:abstractNumId="63">
    <w:nsid w:val="5551B9F3"/>
    <w:multiLevelType w:val="hybridMultilevel"/>
    <w:lvl w:ilvl="0">
      <w:lvlJc w:val="left"/>
      <w:lvlText w:val="•"/>
      <w:numFmt w:val="bullet"/>
      <w:start w:val="1"/>
    </w:lvl>
  </w:abstractNum>
  <w:abstractNum w:abstractNumId="64">
    <w:nsid w:val="24F6AB8E"/>
    <w:multiLevelType w:val="hybridMultilevel"/>
    <w:lvl w:ilvl="0">
      <w:lvlJc w:val="left"/>
      <w:lvlText w:val="•"/>
      <w:numFmt w:val="bullet"/>
      <w:start w:val="1"/>
    </w:lvl>
  </w:abstractNum>
  <w:abstractNum w:abstractNumId="65">
    <w:nsid w:val="634C574C"/>
    <w:multiLevelType w:val="hybridMultilevel"/>
    <w:lvl w:ilvl="0">
      <w:lvlJc w:val="left"/>
      <w:lvlText w:val="•"/>
      <w:numFmt w:val="bullet"/>
      <w:start w:val="1"/>
    </w:lvl>
  </w:abstractNum>
  <w:abstractNum w:abstractNumId="66">
    <w:nsid w:val="24E99DD7"/>
    <w:multiLevelType w:val="hybridMultilevel"/>
    <w:lvl w:ilvl="0">
      <w:lvlJc w:val="left"/>
      <w:lvlText w:val="•"/>
      <w:numFmt w:val="bullet"/>
      <w:start w:val="1"/>
    </w:lvl>
  </w:abstractNum>
  <w:abstractNum w:abstractNumId="67">
    <w:nsid w:val="2A31B62D"/>
    <w:multiLevelType w:val="hybridMultilevel"/>
    <w:lvl w:ilvl="0">
      <w:lvlJc w:val="left"/>
      <w:lvlText w:val="•"/>
      <w:numFmt w:val="bullet"/>
      <w:start w:val="1"/>
    </w:lvl>
  </w:abstractNum>
  <w:abstractNum w:abstractNumId="68">
    <w:nsid w:val="1849C29B"/>
    <w:multiLevelType w:val="hybridMultilevel"/>
    <w:lvl w:ilvl="0">
      <w:lvlJc w:val="left"/>
      <w:lvlText w:val="•"/>
      <w:numFmt w:val="bullet"/>
      <w:start w:val="1"/>
    </w:lvl>
    <w:lvl w:ilvl="1">
      <w:lvlJc w:val="left"/>
      <w:lvlText w:val="•"/>
      <w:numFmt w:val="bullet"/>
      <w:start w:val="1"/>
    </w:lvl>
  </w:abstractNum>
  <w:abstractNum w:abstractNumId="69">
    <w:nsid w:val="7DFF9D09"/>
    <w:multiLevelType w:val="hybridMultilevel"/>
    <w:lvl w:ilvl="0">
      <w:lvlJc w:val="left"/>
      <w:lvlText w:val="•"/>
      <w:numFmt w:val="bullet"/>
      <w:start w:val="1"/>
    </w:lvl>
  </w:abstractNum>
  <w:abstractNum w:abstractNumId="70">
    <w:nsid w:val="754342"/>
    <w:multiLevelType w:val="hybridMultilevel"/>
    <w:lvl w:ilvl="0">
      <w:lvlJc w:val="left"/>
      <w:lvlText w:val="•"/>
      <w:numFmt w:val="bullet"/>
      <w:start w:val="1"/>
    </w:lvl>
  </w:abstractNum>
  <w:abstractNum w:abstractNumId="71">
    <w:nsid w:val="69E7F3E5"/>
    <w:multiLevelType w:val="hybridMultilevel"/>
    <w:lvl w:ilvl="0">
      <w:lvlJc w:val="left"/>
      <w:lvlText w:val="•"/>
      <w:numFmt w:val="bullet"/>
      <w:start w:val="1"/>
    </w:lvl>
  </w:abstractNum>
  <w:abstractNum w:abstractNumId="72">
    <w:nsid w:val="2A6DE806"/>
    <w:multiLevelType w:val="hybridMultilevel"/>
    <w:lvl w:ilvl="0">
      <w:lvlJc w:val="left"/>
      <w:lvlText w:val="•"/>
      <w:numFmt w:val="bullet"/>
      <w:start w:val="1"/>
    </w:lvl>
  </w:abstractNum>
  <w:abstractNum w:abstractNumId="73">
    <w:nsid w:val="1816F8C4"/>
    <w:multiLevelType w:val="hybridMultilevel"/>
    <w:lvl w:ilvl="0">
      <w:lvlJc w:val="left"/>
      <w:lvlText w:val="•"/>
      <w:numFmt w:val="bullet"/>
      <w:start w:val="1"/>
    </w:lvl>
  </w:abstractNum>
  <w:abstractNum w:abstractNumId="74">
    <w:nsid w:val="37DF2233"/>
    <w:multiLevelType w:val="hybridMultilevel"/>
    <w:lvl w:ilvl="0">
      <w:lvlJc w:val="left"/>
      <w:lvlText w:val="•"/>
      <w:numFmt w:val="bullet"/>
      <w:start w:val="1"/>
    </w:lvl>
  </w:abstractNum>
  <w:abstractNum w:abstractNumId="75">
    <w:nsid w:val="7AB49DAF"/>
    <w:multiLevelType w:val="hybridMultilevel"/>
    <w:lvl w:ilvl="0">
      <w:lvlJc w:val="left"/>
      <w:lvlText w:val="•"/>
      <w:numFmt w:val="bullet"/>
      <w:start w:val="1"/>
    </w:lvl>
  </w:abstractNum>
  <w:abstractNum w:abstractNumId="76">
    <w:nsid w:val="759F82CD"/>
    <w:multiLevelType w:val="hybridMultilevel"/>
    <w:lvl w:ilvl="0">
      <w:lvlJc w:val="left"/>
      <w:lvlText w:val="•"/>
      <w:numFmt w:val="bullet"/>
      <w:start w:val="1"/>
    </w:lvl>
  </w:abstractNum>
  <w:abstractNum w:abstractNumId="77">
    <w:nsid w:val="61E74EA3"/>
    <w:multiLevelType w:val="hybridMultilevel"/>
    <w:lvl w:ilvl="0">
      <w:lvlJc w:val="left"/>
      <w:lvlText w:val="*"/>
      <w:numFmt w:val="bullet"/>
      <w:start w:val="1"/>
    </w:lvl>
  </w:abstractNum>
  <w:abstractNum w:abstractNumId="78">
    <w:nsid w:val="597B4D84"/>
    <w:multiLevelType w:val="hybridMultilevel"/>
    <w:lvl w:ilvl="0">
      <w:lvlJc w:val="left"/>
      <w:lvlText w:val="(%1)"/>
      <w:numFmt w:val="decimal"/>
      <w:start w:val="1"/>
    </w:lvl>
  </w:abstractNum>
  <w:abstractNum w:abstractNumId="79">
    <w:nsid w:val="F819E7F"/>
    <w:multiLevelType w:val="hybridMultilevel"/>
    <w:lvl w:ilvl="0">
      <w:lvlJc w:val="left"/>
      <w:lvlText w:val="(%1)"/>
      <w:numFmt w:val="decimal"/>
      <w:start w:val="2"/>
    </w:lvl>
  </w:abstractNum>
  <w:abstractNum w:abstractNumId="80">
    <w:nsid w:val="57C7D42D"/>
    <w:multiLevelType w:val="hybridMultilevel"/>
    <w:lvl w:ilvl="0">
      <w:lvlJc w:val="left"/>
      <w:lvlText w:val="(%1)"/>
      <w:numFmt w:val="decimal"/>
      <w:start w:val="6"/>
    </w:lvl>
  </w:abstractNum>
  <w:abstractNum w:abstractNumId="81">
    <w:nsid w:val="312167AD"/>
    <w:multiLevelType w:val="hybridMultilevel"/>
    <w:lvl w:ilvl="0">
      <w:lvlJc w:val="left"/>
      <w:lvlText w:val="(%1)"/>
      <w:numFmt w:val="decimal"/>
      <w:start w:val="1"/>
    </w:lvl>
  </w:abstractNum>
  <w:abstractNum w:abstractNumId="82">
    <w:nsid w:val="631B64D4"/>
    <w:multiLevelType w:val="hybridMultilevel"/>
    <w:lvl w:ilvl="0">
      <w:lvlJc w:val="left"/>
      <w:lvlText w:val="%1."/>
      <w:numFmt w:val="upperLetter"/>
      <w:start w:val="3"/>
    </w:lvl>
  </w:abstractNum>
  <w:abstractNum w:abstractNumId="83">
    <w:nsid w:val="78B5E776"/>
    <w:multiLevelType w:val="hybridMultilevel"/>
    <w:lvl w:ilvl="0">
      <w:lvlJc w:val="left"/>
      <w:lvlText w:val="%1."/>
      <w:numFmt w:val="upperLetter"/>
      <w:start w:val="2"/>
    </w:lvl>
  </w:abstractNum>
  <w:abstractNum w:abstractNumId="84">
    <w:nsid w:val="75486E47"/>
    <w:multiLevelType w:val="hybridMultilevel"/>
    <w:lvl w:ilvl="0">
      <w:lvlJc w:val="left"/>
      <w:lvlText w:val="%1."/>
      <w:numFmt w:val="upperLetter"/>
      <w:start w:val="2"/>
    </w:lvl>
  </w:abstractNum>
  <w:abstractNum w:abstractNumId="85">
    <w:nsid w:val="6E534CDE"/>
    <w:multiLevelType w:val="hybridMultilevel"/>
    <w:lvl w:ilvl="0">
      <w:lvlJc w:val="left"/>
      <w:lvlText w:val="%1."/>
      <w:numFmt w:val="upperLetter"/>
      <w:start w:val="4"/>
    </w:lvl>
  </w:abstractNum>
  <w:abstractNum w:abstractNumId="86">
    <w:nsid w:val="1A0DDE32"/>
    <w:multiLevelType w:val="hybridMultilevel"/>
    <w:lvl w:ilvl="0">
      <w:lvlJc w:val="left"/>
      <w:lvlText w:val="%1."/>
      <w:numFmt w:val="upperLetter"/>
      <w:start w:val="1"/>
    </w:lvl>
  </w:abstractNum>
  <w:abstractNum w:abstractNumId="87">
    <w:nsid w:val="65968C1C"/>
    <w:multiLevelType w:val="hybridMultilevel"/>
    <w:lvl w:ilvl="0">
      <w:lvlJc w:val="left"/>
      <w:lvlText w:val="•"/>
      <w:numFmt w:val="bullet"/>
      <w:start w:val="1"/>
    </w:lvl>
  </w:abstractNum>
  <w:abstractNum w:abstractNumId="88">
    <w:nsid w:val="46263DEC"/>
    <w:multiLevelType w:val="hybridMultilevel"/>
    <w:lvl w:ilvl="0">
      <w:lvlJc w:val="left"/>
      <w:lvlText w:val="(%1)"/>
      <w:numFmt w:val="lowerRoman"/>
      <w:start w:val="1"/>
    </w:lvl>
  </w:abstractNum>
  <w:abstractNum w:abstractNumId="89">
    <w:nsid w:val="260D8C4A"/>
    <w:multiLevelType w:val="hybridMultilevel"/>
    <w:lvl w:ilvl="0">
      <w:lvlJc w:val="left"/>
      <w:lvlText w:val="•"/>
      <w:numFmt w:val="bullet"/>
      <w:start w:val="1"/>
    </w:lvl>
  </w:abstractNum>
  <w:abstractNum w:abstractNumId="90">
    <w:nsid w:val="73D4D3C4"/>
    <w:multiLevelType w:val="hybridMultilevel"/>
    <w:lvl w:ilvl="0">
      <w:lvlJc w:val="left"/>
      <w:lvlText w:val="•"/>
      <w:numFmt w:val="bullet"/>
      <w:start w:val="1"/>
    </w:lvl>
  </w:abstractNum>
  <w:abstractNum w:abstractNumId="91">
    <w:nsid w:val="746F2E30"/>
    <w:multiLevelType w:val="hybridMultilevel"/>
    <w:lvl w:ilvl="0">
      <w:lvlJc w:val="left"/>
      <w:lvlText w:val="•"/>
      <w:numFmt w:val="bullet"/>
      <w:start w:val="1"/>
    </w:lvl>
  </w:abstractNum>
  <w:abstractNum w:abstractNumId="92">
    <w:nsid w:val="6FDE8AF6"/>
    <w:multiLevelType w:val="hybridMultilevel"/>
    <w:lvl w:ilvl="0">
      <w:lvlJc w:val="left"/>
      <w:lvlText w:val="•"/>
      <w:numFmt w:val="bullet"/>
      <w:start w:val="1"/>
    </w:lvl>
  </w:abstractNum>
  <w:abstractNum w:abstractNumId="93">
    <w:nsid w:val="3FC32E20"/>
    <w:multiLevelType w:val="hybridMultilevel"/>
    <w:lvl w:ilvl="0">
      <w:lvlJc w:val="left"/>
      <w:lvlText w:val="%1."/>
      <w:numFmt w:val="upperLetter"/>
      <w:start w:val="6"/>
    </w:lvl>
  </w:abstractNum>
  <w:abstractNum w:abstractNumId="94">
    <w:nsid w:val="49C0E823"/>
    <w:multiLevelType w:val="hybridMultilevel"/>
    <w:lvl w:ilvl="0">
      <w:lvlJc w:val="left"/>
      <w:lvlText w:val="%1."/>
      <w:numFmt w:val="upperLetter"/>
      <w:start w:val="9"/>
    </w:lvl>
  </w:abstractNum>
  <w:abstractNum w:abstractNumId="95">
    <w:nsid w:val="14D53685"/>
    <w:multiLevelType w:val="hybridMultilevel"/>
    <w:lvl w:ilvl="0">
      <w:lvlJc w:val="left"/>
      <w:lvlText w:val="*"/>
      <w:numFmt w:val="bullet"/>
      <w:start w:val="1"/>
    </w:lvl>
  </w:abstractNum>
  <w:abstractNum w:abstractNumId="96">
    <w:nsid w:val="230F856C"/>
    <w:multiLevelType w:val="hybridMultilevel"/>
    <w:lvl w:ilvl="0">
      <w:lvlJc w:val="left"/>
      <w:lvlText w:val="**"/>
      <w:numFmt w:val="bullet"/>
      <w:start w:val="1"/>
    </w:lvl>
  </w:abstractNum>
  <w:abstractNum w:abstractNumId="97">
    <w:nsid w:val="6EAA85FB"/>
    <w:multiLevelType w:val="hybridMultilevel"/>
    <w:lvl w:ilvl="0">
      <w:lvlJc w:val="left"/>
      <w:lvlText w:val="†"/>
      <w:numFmt w:val="bullet"/>
      <w:start w:val="1"/>
    </w:lvl>
  </w:abstractNum>
  <w:abstractNum w:abstractNumId="98">
    <w:nsid w:val="3F06ECB2"/>
    <w:multiLevelType w:val="hybridMultilevel"/>
    <w:lvl w:ilvl="0">
      <w:lvlJc w:val="left"/>
      <w:lvlText w:val="%1."/>
      <w:numFmt w:val="lowerLetter"/>
      <w:start w:val="1"/>
    </w:lvl>
  </w:abstractNum>
  <w:abstractNum w:abstractNumId="99">
    <w:nsid w:val="3B594807"/>
    <w:multiLevelType w:val="hybridMultilevel"/>
    <w:lvl w:ilvl="0">
      <w:lvlJc w:val="left"/>
      <w:lvlText w:val="%1."/>
      <w:numFmt w:val="lowerLetter"/>
      <w:start w:val="4"/>
    </w:lvl>
  </w:abstractNum>
  <w:abstractNum w:abstractNumId="100">
    <w:nsid w:val="6CAA2304"/>
    <w:multiLevelType w:val="hybridMultilevel"/>
    <w:lvl w:ilvl="0">
      <w:lvlJc w:val="left"/>
      <w:lvlText w:val="%1."/>
      <w:numFmt w:val="lowerLetter"/>
      <w:start w:val="8"/>
    </w:lvl>
  </w:abstractNum>
  <w:abstractNum w:abstractNumId="101">
    <w:nsid w:val="3F7C2FF4"/>
    <w:multiLevelType w:val="hybridMultilevel"/>
    <w:lvl w:ilvl="0">
      <w:lvlJc w:val="left"/>
      <w:lvlText w:val="%1."/>
      <w:numFmt w:val="lowerLetter"/>
      <w:start w:val="11"/>
    </w:lvl>
  </w:abstractNum>
  <w:abstractNum w:abstractNumId="102">
    <w:nsid w:val="25413BEC"/>
    <w:multiLevelType w:val="hybridMultilevel"/>
    <w:lvl w:ilvl="0">
      <w:lvlJc w:val="left"/>
      <w:lvlText w:val="%1."/>
      <w:numFmt w:val="lowerLetter"/>
      <w:start w:val="12"/>
    </w:lvl>
  </w:abstractNum>
  <w:abstractNum w:abstractNumId="103">
    <w:nsid w:val="17180B0B"/>
    <w:multiLevelType w:val="hybridMultilevel"/>
    <w:lvl w:ilvl="0">
      <w:lvlJc w:val="left"/>
      <w:lvlText w:val="%1."/>
      <w:numFmt w:val="lowerLetter"/>
      <w:start w:val="14"/>
    </w:lvl>
    <w:lvl w:ilvl="1">
      <w:lvlJc w:val="left"/>
      <w:lvlText w:val="%2."/>
      <w:numFmt w:val="decimal"/>
      <w:start w:val="1"/>
    </w:lvl>
  </w:abstractNum>
  <w:abstractNum w:abstractNumId="104">
    <w:nsid w:val="579328B9"/>
    <w:multiLevelType w:val="hybridMultilevel"/>
    <w:lvl w:ilvl="0">
      <w:lvlJc w:val="left"/>
      <w:lvlText w:val="%1."/>
      <w:numFmt w:val="lowerLetter"/>
      <w:start w:val="17"/>
    </w:lvl>
  </w:abstractNum>
  <w:abstractNum w:abstractNumId="105">
    <w:nsid w:val="5D205E20"/>
    <w:multiLevelType w:val="hybridMultilevel"/>
    <w:lvl w:ilvl="0">
      <w:lvlJc w:val="left"/>
      <w:lvlText w:val="%1."/>
      <w:numFmt w:val="lowerLetter"/>
      <w:start w:val="18"/>
    </w:lvl>
  </w:abstractNum>
  <w:abstractNum w:abstractNumId="106">
    <w:nsid w:val="11CCA8BA"/>
    <w:multiLevelType w:val="hybridMultilevel"/>
    <w:lvl w:ilvl="0">
      <w:lvlJc w:val="left"/>
      <w:lvlText w:val="%1."/>
      <w:numFmt w:val="lowerLetter"/>
      <w:start w:val="19"/>
    </w:lvl>
  </w:abstractNum>
  <w:abstractNum w:abstractNumId="107">
    <w:nsid w:val="4D32AB86"/>
    <w:multiLevelType w:val="hybridMultilevel"/>
    <w:lvl w:ilvl="0">
      <w:lvlJc w:val="left"/>
      <w:lvlText w:val="%1."/>
      <w:numFmt w:val="lowerLetter"/>
      <w:start w:val="24"/>
    </w:lvl>
  </w:abstractNum>
  <w:abstractNum w:abstractNumId="108">
    <w:nsid w:val="3F07ACC3"/>
    <w:multiLevelType w:val="hybridMultilevel"/>
    <w:lvl w:ilvl="0">
      <w:lvlJc w:val="left"/>
      <w:lvlText w:val="%1."/>
      <w:numFmt w:val="lowerLetter"/>
      <w:start w:val="1"/>
    </w:lvl>
  </w:abstractNum>
  <w:abstractNum w:abstractNumId="109">
    <w:nsid w:val="6B47F63E"/>
    <w:multiLevelType w:val="hybridMultilevel"/>
    <w:lvl w:ilvl="0">
      <w:lvlJc w:val="left"/>
      <w:lvlText w:val="%1."/>
      <w:numFmt w:val="lowerLetter"/>
      <w:start w:val="2"/>
    </w:lvl>
  </w:abstractNum>
  <w:abstractNum w:abstractNumId="110">
    <w:nsid w:val="5CB44A05"/>
    <w:multiLevelType w:val="hybridMultilevel"/>
    <w:lvl w:ilvl="0">
      <w:lvlJc w:val="left"/>
      <w:lvlText w:val="%1."/>
      <w:numFmt w:val="lowerLetter"/>
      <w:start w:val="3"/>
    </w:lvl>
  </w:abstractNum>
  <w:abstractNum w:abstractNumId="111">
    <w:nsid w:val="16CF80F1"/>
    <w:multiLevelType w:val="hybridMultilevel"/>
    <w:lvl w:ilvl="0">
      <w:lvlJc w:val="left"/>
      <w:lvlText w:val="%1."/>
      <w:numFmt w:val="lowerLetter"/>
      <w:start w:val="4"/>
    </w:lvl>
  </w:abstractNum>
  <w:abstractNum w:abstractNumId="112">
    <w:nsid w:val="1C695DEC"/>
    <w:multiLevelType w:val="hybridMultilevel"/>
    <w:lvl w:ilvl="0">
      <w:lvlJc w:val="left"/>
      <w:lvlText w:val="%1."/>
      <w:numFmt w:val="lowerLetter"/>
      <w:start w:val="1"/>
    </w:lvl>
  </w:abstractNum>
  <w:abstractNum w:abstractNumId="113">
    <w:nsid w:val="3FCFAED9"/>
    <w:multiLevelType w:val="hybridMultilevel"/>
    <w:lvl w:ilvl="0">
      <w:lvlJc w:val="left"/>
      <w:lvlText w:val="%1."/>
      <w:numFmt w:val="lowerLetter"/>
      <w:start w:val="2"/>
    </w:lvl>
  </w:abstractNum>
  <w:abstractNum w:abstractNumId="114">
    <w:nsid w:val="F856867"/>
    <w:multiLevelType w:val="hybridMultilevel"/>
    <w:lvl w:ilvl="0">
      <w:lvlJc w:val="left"/>
      <w:lvlText w:val="%1."/>
      <w:numFmt w:val="lowerLetter"/>
      <w:start w:val="5"/>
    </w:lvl>
  </w:abstractNum>
  <w:abstractNum w:abstractNumId="115">
    <w:nsid w:val="11B1CC33"/>
    <w:multiLevelType w:val="hybridMultilevel"/>
    <w:lvl w:ilvl="0">
      <w:lvlJc w:val="left"/>
      <w:lvlText w:val="%1."/>
      <w:numFmt w:val="lowerLetter"/>
      <w:start w:val="6"/>
    </w:lvl>
  </w:abstractNum>
  <w:abstractNum w:abstractNumId="116">
    <w:nsid w:val="2E22FBB7"/>
    <w:multiLevelType w:val="hybridMultilevel"/>
    <w:lvl w:ilvl="0">
      <w:lvlJc w:val="left"/>
      <w:lvlText w:val="%1."/>
      <w:numFmt w:val="lowerLetter"/>
      <w:start w:val="7"/>
    </w:lvl>
  </w:abstractNum>
  <w:abstractNum w:abstractNumId="117">
    <w:nsid w:val="29934699"/>
    <w:multiLevelType w:val="hybridMultilevel"/>
    <w:lvl w:ilvl="0">
      <w:lvlJc w:val="left"/>
      <w:lvlText w:val="%1."/>
      <w:numFmt w:val="lowerLetter"/>
      <w:start w:val="1"/>
    </w:lvl>
    <w:lvl w:ilvl="1">
      <w:lvlJc w:val="left"/>
      <w:lvlText w:val="•"/>
      <w:numFmt w:val="bullet"/>
      <w:start w:val="1"/>
    </w:lvl>
  </w:abstractNum>
  <w:abstractNum w:abstractNumId="118">
    <w:nsid w:val="77485850"/>
    <w:multiLevelType w:val="hybridMultilevel"/>
    <w:lvl w:ilvl="0">
      <w:lvlJc w:val="left"/>
      <w:lvlText w:val="%1."/>
      <w:numFmt w:val="lowerLetter"/>
      <w:start w:val="2"/>
    </w:lvl>
  </w:abstractNum>
  <w:abstractNum w:abstractNumId="119">
    <w:nsid w:val="744939A3"/>
    <w:multiLevelType w:val="hybridMultilevel"/>
    <w:lvl w:ilvl="0">
      <w:lvlJc w:val="left"/>
      <w:lvlText w:val="%1."/>
      <w:numFmt w:val="lowerLetter"/>
      <w:start w:val="3"/>
    </w:lvl>
  </w:abstractNum>
  <w:abstractNum w:abstractNumId="120">
    <w:nsid w:val="4FA0D2E3"/>
    <w:multiLevelType w:val="hybridMultilevel"/>
    <w:lvl w:ilvl="0">
      <w:lvlJc w:val="left"/>
      <w:lvlText w:val="%1."/>
      <w:numFmt w:val="lowerLetter"/>
      <w:start w:val="4"/>
    </w:lvl>
  </w:abstractNum>
  <w:abstractNum w:abstractNumId="121">
    <w:nsid w:val="6B1D2C14"/>
    <w:multiLevelType w:val="hybridMultilevel"/>
    <w:lvl w:ilvl="0">
      <w:lvlJc w:val="left"/>
      <w:lvlText w:val="%1."/>
      <w:numFmt w:val="lowerLetter"/>
      <w:start w:val="5"/>
    </w:lvl>
  </w:abstractNum>
  <w:abstractNum w:abstractNumId="122">
    <w:nsid w:val="68B867D3"/>
    <w:multiLevelType w:val="hybridMultilevel"/>
    <w:lvl w:ilvl="0">
      <w:lvlJc w:val="left"/>
      <w:lvlText w:val="%1."/>
      <w:numFmt w:val="lowerLetter"/>
      <w:start w:val="6"/>
    </w:lvl>
  </w:abstractNum>
  <w:abstractNum w:abstractNumId="123">
    <w:nsid w:val="3F7F5DD9"/>
    <w:multiLevelType w:val="hybridMultilevel"/>
    <w:lvl w:ilvl="0">
      <w:lvlJc w:val="left"/>
      <w:lvlText w:val="%1."/>
      <w:numFmt w:val="lowerRoman"/>
      <w:start w:val="1"/>
    </w:lvl>
  </w:abstractNum>
  <w:abstractNum w:abstractNumId="124">
    <w:nsid w:val="2AE05A34"/>
    <w:multiLevelType w:val="hybridMultilevel"/>
    <w:lvl w:ilvl="0">
      <w:lvlJc w:val="left"/>
      <w:lvlText w:val="%1."/>
      <w:numFmt w:val="lowerLetter"/>
      <w:start w:val="1"/>
    </w:lvl>
  </w:abstractNum>
  <w:abstractNum w:abstractNumId="125">
    <w:nsid w:val="32794FF7"/>
    <w:multiLevelType w:val="hybridMultilevel"/>
    <w:lvl w:ilvl="0">
      <w:lvlJc w:val="left"/>
      <w:lvlText w:val="%1."/>
      <w:numFmt w:val="lowerLetter"/>
      <w:start w:val="2"/>
    </w:lvl>
  </w:abstractNum>
  <w:abstractNum w:abstractNumId="126">
    <w:nsid w:val="5454945E"/>
    <w:multiLevelType w:val="hybridMultilevel"/>
    <w:lvl w:ilvl="0">
      <w:lvlJc w:val="left"/>
      <w:lvlText w:val="%1."/>
      <w:numFmt w:val="decimal"/>
      <w:start w:val="1"/>
    </w:lvl>
  </w:abstractNum>
  <w:abstractNum w:abstractNumId="127">
    <w:nsid w:val="4DEFDFA0"/>
    <w:multiLevelType w:val="hybridMultilevel"/>
    <w:lvl w:ilvl="0">
      <w:lvlJc w:val="left"/>
      <w:lvlText w:val="(%1)"/>
      <w:numFmt w:val="lowerLetter"/>
      <w:start w:val="1"/>
    </w:lvl>
  </w:abstractNum>
  <w:abstractNum w:abstractNumId="128">
    <w:nsid w:val="2123D5F2"/>
    <w:multiLevelType w:val="hybridMultilevel"/>
    <w:lvl w:ilvl="0">
      <w:lvlJc w:val="left"/>
      <w:lvlText w:val="%1"/>
      <w:numFmt w:val="decimal"/>
      <w:start w:val="1"/>
    </w:lvl>
    <w:lvl w:ilvl="1">
      <w:lvlJc w:val="left"/>
      <w:lvlText w:val="(%2)"/>
      <w:numFmt w:val="lowerLetter"/>
      <w:start w:val="2"/>
    </w:lvl>
  </w:abstractNum>
  <w:abstractNum w:abstractNumId="129">
    <w:nsid w:val="135B8110"/>
    <w:multiLevelType w:val="hybridMultilevel"/>
    <w:lvl w:ilvl="0">
      <w:lvlJc w:val="left"/>
      <w:lvlText w:val="%1."/>
      <w:numFmt w:val="decimal"/>
      <w:start w:val="2"/>
    </w:lvl>
    <w:lvl w:ilvl="1">
      <w:lvlJc w:val="left"/>
      <w:lvlText w:val="%2"/>
      <w:numFmt w:val="lowerLetter"/>
      <w:start w:val="1"/>
    </w:lvl>
  </w:abstractNum>
  <w:abstractNum w:abstractNumId="130">
    <w:nsid w:val="94927A8"/>
    <w:multiLevelType w:val="hybridMultilevel"/>
    <w:lvl w:ilvl="0">
      <w:lvlJc w:val="left"/>
      <w:lvlText w:val="%1."/>
      <w:numFmt w:val="decimal"/>
      <w:start w:val="3"/>
    </w:lvl>
  </w:abstractNum>
  <w:abstractNum w:abstractNumId="131">
    <w:nsid w:val="DCDF8F6"/>
    <w:multiLevelType w:val="hybridMultilevel"/>
    <w:lvl w:ilvl="0">
      <w:lvlJc w:val="left"/>
      <w:lvlText w:val="%1."/>
      <w:numFmt w:val="decimal"/>
      <w:start w:val="4"/>
    </w:lvl>
  </w:abstractNum>
  <w:abstractNum w:abstractNumId="132">
    <w:nsid w:val="52D7B105"/>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33">
    <w:nsid w:val="2E8A639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34">
    <w:nsid w:val="24E604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35">
    <w:nsid w:val="2A6AD9BE"/>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36">
    <w:nsid w:val="BAAC1B4"/>
    <w:multiLevelType w:val="hybridMultilevel"/>
    <w:lvl w:ilvl="0">
      <w:lvlJc w:val="left"/>
      <w:lvlText w:val="%1"/>
      <w:numFmt w:val="decimal"/>
      <w:start w:val="1"/>
    </w:lvl>
    <w:lvl w:ilvl="1">
      <w:lvlJc w:val="left"/>
      <w:lvlText w:val="(%2)"/>
      <w:numFmt w:val="lowerLetter"/>
      <w:start w:val="3"/>
    </w:lvl>
  </w:abstractNum>
  <w:abstractNum w:abstractNumId="137">
    <w:nsid w:val="36B2ACBC"/>
    <w:multiLevelType w:val="hybridMultilevel"/>
    <w:lvl w:ilvl="0">
      <w:lvlJc w:val="left"/>
      <w:lvlText w:val="%1."/>
      <w:numFmt w:val="decimal"/>
      <w:start w:val="10"/>
    </w:lvl>
    <w:lvl w:ilvl="1">
      <w:lvlJc w:val="left"/>
      <w:lvlText w:val="%2"/>
      <w:numFmt w:val="lowerLetter"/>
      <w:start w:val="1"/>
    </w:lvl>
  </w:abstractNum>
  <w:abstractNum w:abstractNumId="138">
    <w:nsid w:val="779D8544"/>
    <w:multiLevelType w:val="hybridMultilevel"/>
    <w:lvl w:ilvl="0">
      <w:lvlJc w:val="left"/>
      <w:lvlText w:val="%1."/>
      <w:numFmt w:val="decimal"/>
      <w:start w:val="11"/>
    </w:lvl>
    <w:lvl w:ilvl="1">
      <w:lvlJc w:val="left"/>
      <w:lvlText w:val="(%2)"/>
      <w:numFmt w:val="lowerLetter"/>
      <w:start w:val="1"/>
    </w:lvl>
  </w:abstractNum>
  <w:abstractNum w:abstractNumId="139">
    <w:nsid w:val="4AB26E78"/>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140">
    <w:nsid w:val="21FAA2FA"/>
    <w:multiLevelType w:val="hybridMultilevel"/>
    <w:lvl w:ilvl="0">
      <w:lvlJc w:val="left"/>
      <w:lvlText w:val="%1."/>
      <w:numFmt w:val="decimal"/>
      <w:start w:val="14"/>
    </w:lvl>
  </w:abstractNum>
  <w:abstractNum w:abstractNumId="141">
    <w:nsid w:val="5451CF49"/>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142">
    <w:nsid w:val="6181EF69"/>
    <w:multiLevelType w:val="hybridMultilevel"/>
    <w:lvl w:ilvl="0">
      <w:lvlJc w:val="left"/>
      <w:lvlText w:val="%1."/>
      <w:numFmt w:val="decimal"/>
      <w:start w:val="16"/>
    </w:lvl>
    <w:lvl w:ilvl="1">
      <w:lvlJc w:val="left"/>
      <w:lvlText w:val="(%2)"/>
      <w:numFmt w:val="lowerLetter"/>
      <w:start w:val="1"/>
    </w:lvl>
  </w:abstractNum>
  <w:abstractNum w:abstractNumId="143">
    <w:nsid w:val="3E6400E6"/>
    <w:multiLevelType w:val="hybridMultilevel"/>
    <w:lvl w:ilvl="0">
      <w:lvlJc w:val="left"/>
      <w:lvlText w:val="%1."/>
      <w:numFmt w:val="decimal"/>
      <w:start w:val="18"/>
    </w:lvl>
  </w:abstractNum>
  <w:abstractNum w:abstractNumId="144">
    <w:nsid w:val="14217E23"/>
    <w:multiLevelType w:val="hybridMultilevel"/>
    <w:lvl w:ilvl="0">
      <w:lvlJc w:val="left"/>
      <w:lvlText w:val="%1."/>
      <w:numFmt w:val="decimal"/>
      <w:start w:val="19"/>
    </w:lvl>
  </w:abstractNum>
  <w:abstractNum w:abstractNumId="145">
    <w:nsid w:val="710757D0"/>
    <w:multiLevelType w:val="hybridMultilevel"/>
    <w:lvl w:ilvl="0">
      <w:lvlJc w:val="left"/>
      <w:lvlText w:val="%1."/>
      <w:numFmt w:val="decimal"/>
      <w:start w:val="20"/>
    </w:lvl>
  </w:abstractNum>
  <w:abstractNum w:abstractNumId="146">
    <w:nsid w:val="5015CD1A"/>
    <w:multiLevelType w:val="hybridMultilevel"/>
    <w:lvl w:ilvl="0">
      <w:lvlJc w:val="left"/>
      <w:lvlText w:val="%1."/>
      <w:numFmt w:val="decimal"/>
      <w:start w:val="21"/>
    </w:lvl>
  </w:abstractNum>
  <w:abstractNum w:abstractNumId="147">
    <w:nsid w:val="424479DA"/>
    <w:multiLevelType w:val="hybridMultilevel"/>
    <w:lvl w:ilvl="0">
      <w:lvlJc w:val="left"/>
      <w:lvlText w:val="%1."/>
      <w:numFmt w:val="decimal"/>
      <w:start w:val="22"/>
    </w:lvl>
    <w:lvl w:ilvl="1">
      <w:lvlJc w:val="left"/>
      <w:lvlText w:val="(%2)"/>
      <w:numFmt w:val="lowerLetter"/>
      <w:start w:val="1"/>
    </w:lvl>
  </w:abstractNum>
  <w:abstractNum w:abstractNumId="148">
    <w:nsid w:val="1A9A9E69"/>
    <w:multiLevelType w:val="hybridMultilevel"/>
    <w:lvl w:ilvl="0">
      <w:lvlJc w:val="left"/>
      <w:lvlText w:val="%1."/>
      <w:numFmt w:val="decimal"/>
      <w:start w:val="23"/>
    </w:lvl>
    <w:lvl w:ilvl="1">
      <w:lvlJc w:val="left"/>
      <w:lvlText w:val="(%2)"/>
      <w:numFmt w:val="lowerLetter"/>
      <w:start w:val="1"/>
    </w:lvl>
    <w:lvl w:ilvl="2">
      <w:lvlJc w:val="left"/>
      <w:lvlText w:val="-"/>
      <w:numFmt w:val="bullet"/>
      <w:start w:val="1"/>
    </w:lvl>
  </w:abstractNum>
  <w:abstractNum w:abstractNumId="149">
    <w:nsid w:val="475E256A"/>
    <w:multiLevelType w:val="hybridMultilevel"/>
    <w:lvl w:ilvl="0">
      <w:lvlJc w:val="left"/>
      <w:lvlText w:val="%1."/>
      <w:numFmt w:val="decimal"/>
      <w:start w:val="24"/>
    </w:lvl>
  </w:abstractNum>
  <w:abstractNum w:abstractNumId="150">
    <w:nsid w:val="368DB37E"/>
    <w:multiLevelType w:val="hybridMultilevel"/>
    <w:lvl w:ilvl="0">
      <w:lvlJc w:val="left"/>
      <w:lvlText w:val="%1."/>
      <w:numFmt w:val="decimal"/>
      <w:start w:val="25"/>
    </w:lvl>
    <w:lvl w:ilvl="1">
      <w:lvlJc w:val="left"/>
      <w:lvlText w:val="(%2)"/>
      <w:numFmt w:val="lowerLetter"/>
      <w:start w:val="1"/>
    </w:lvl>
  </w:abstractNum>
  <w:abstractNum w:abstractNumId="151">
    <w:nsid w:val="6A3B714C"/>
    <w:multiLevelType w:val="hybridMultilevel"/>
    <w:lvl w:ilvl="0">
      <w:lvlJc w:val="left"/>
      <w:lvlText w:val="(%1)"/>
      <w:numFmt w:val="lowerLetter"/>
      <w:start w:val="2"/>
    </w:lvl>
  </w:abstractNum>
  <w:abstractNum w:abstractNumId="152">
    <w:nsid w:val="327B517E"/>
    <w:multiLevelType w:val="hybridMultilevel"/>
    <w:lvl w:ilvl="0">
      <w:lvlJc w:val="left"/>
      <w:lvlText w:val="(%1)"/>
      <w:numFmt w:val="lowerLetter"/>
      <w:start w:val="4"/>
    </w:lvl>
    <w:lvl w:ilvl="1">
      <w:lvlJc w:val="left"/>
      <w:lvlText w:val="-"/>
      <w:numFmt w:val="bullet"/>
      <w:start w:val="1"/>
    </w:lvl>
  </w:abstractNum>
  <w:abstractNum w:abstractNumId="153">
    <w:nsid w:val="1F461B51"/>
    <w:multiLevelType w:val="hybridMultilevel"/>
    <w:lvl w:ilvl="0">
      <w:lvlJc w:val="left"/>
      <w:lvlText w:val="%1."/>
      <w:numFmt w:val="decimal"/>
      <w:start w:val="26"/>
    </w:lvl>
    <w:lvl w:ilvl="1">
      <w:lvlJc w:val="left"/>
      <w:lvlText w:val="(%2)"/>
      <w:numFmt w:val="lowerLetter"/>
      <w:start w:val="1"/>
    </w:lvl>
  </w:abstractNum>
  <w:abstractNum w:abstractNumId="154">
    <w:nsid w:val="29BACF25"/>
    <w:multiLevelType w:val="hybridMultilevel"/>
    <w:lvl w:ilvl="0">
      <w:lvlJc w:val="left"/>
      <w:lvlText w:val="%1."/>
      <w:numFmt w:val="decimal"/>
      <w:start w:val="27"/>
    </w:lvl>
    <w:lvl w:ilvl="1">
      <w:lvlJc w:val="left"/>
      <w:lvlText w:val="(%2)"/>
      <w:numFmt w:val="lowerLetter"/>
      <w:start w:val="1"/>
    </w:lvl>
  </w:abstractNum>
  <w:abstractNum w:abstractNumId="155">
    <w:nsid w:val="5D5BABB3"/>
    <w:multiLevelType w:val="hybridMultilevel"/>
    <w:lvl w:ilvl="0">
      <w:lvlJc w:val="left"/>
      <w:lvlText w:val="%1."/>
      <w:numFmt w:val="decimal"/>
      <w:start w:val="29"/>
    </w:lvl>
    <w:lvl w:ilvl="1">
      <w:lvlJc w:val="left"/>
      <w:lvlText w:val="(%2)"/>
      <w:numFmt w:val="lowerLetter"/>
      <w:start w:val="1"/>
    </w:lvl>
  </w:abstractNum>
  <w:abstractNum w:abstractNumId="156">
    <w:nsid w:val="51BF6B48"/>
    <w:multiLevelType w:val="hybridMultilevel"/>
    <w:lvl w:ilvl="0">
      <w:lvlJc w:val="left"/>
      <w:lvlText w:val="%1."/>
      <w:numFmt w:val="decimal"/>
      <w:start w:val="31"/>
    </w:lvl>
  </w:abstractNum>
  <w:abstractNum w:abstractNumId="157">
    <w:nsid w:val="7E0F6384"/>
    <w:multiLevelType w:val="hybridMultilevel"/>
    <w:lvl w:ilvl="0">
      <w:lvlJc w:val="left"/>
      <w:lvlText w:val="%1."/>
      <w:numFmt w:val="decimal"/>
      <w:start w:val="32"/>
    </w:lvl>
    <w:lvl w:ilvl="1">
      <w:lvlJc w:val="left"/>
      <w:lvlText w:val="(%2)"/>
      <w:numFmt w:val="lowerLetter"/>
      <w:start w:val="1"/>
    </w:lvl>
  </w:abstractNum>
  <w:abstractNum w:abstractNumId="158">
    <w:nsid w:val="2B4B8B53"/>
    <w:multiLevelType w:val="hybridMultilevel"/>
    <w:lvl w:ilvl="0">
      <w:lvlJc w:val="left"/>
      <w:lvlText w:val="%1."/>
      <w:numFmt w:val="decimal"/>
      <w:start w:val="33"/>
    </w:lvl>
  </w:abstractNum>
  <w:abstractNum w:abstractNumId="159">
    <w:nsid w:val="72E3413A"/>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60">
    <w:nsid w:val="116AE494"/>
    <w:multiLevelType w:val="hybridMultilevel"/>
    <w:lvl w:ilvl="0">
      <w:lvlJc w:val="left"/>
      <w:lvlText w:val="%1."/>
      <w:numFmt w:val="decimal"/>
      <w:start w:val="34"/>
    </w:lvl>
    <w:lvl w:ilvl="1">
      <w:lvlJc w:val="left"/>
      <w:lvlText w:val="(%2)"/>
      <w:numFmt w:val="lowerLetter"/>
      <w:start w:val="1"/>
    </w:lvl>
    <w:lvl w:ilvl="2">
      <w:lvlJc w:val="left"/>
      <w:lvlText w:val="-"/>
      <w:numFmt w:val="bullet"/>
      <w:start w:val="1"/>
    </w:lvl>
  </w:abstractNum>
  <w:abstractNum w:abstractNumId="161">
    <w:nsid w:val="3494B2FB"/>
    <w:multiLevelType w:val="hybridMultilevel"/>
    <w:lvl w:ilvl="0">
      <w:lvlJc w:val="left"/>
      <w:lvlText w:val="%1."/>
      <w:numFmt w:val="decimal"/>
      <w:start w:val="35"/>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162">
    <w:nsid w:val="B13A31"/>
    <w:multiLevelType w:val="hybridMultilevel"/>
    <w:lvl w:ilvl="0">
      <w:lvlJc w:val="left"/>
      <w:lvlText w:val="%1."/>
      <w:numFmt w:val="decimal"/>
      <w:start w:val="37"/>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63">
    <w:nsid w:val="64429599"/>
    <w:multiLevelType w:val="hybridMultilevel"/>
    <w:lvl w:ilvl="0">
      <w:lvlJc w:val="left"/>
      <w:lvlText w:val="%1"/>
      <w:numFmt w:val="lowerLetter"/>
      <w:start w:val="1"/>
    </w:lvl>
    <w:lvl w:ilvl="1">
      <w:lvlJc w:val="left"/>
      <w:lvlText w:val="(%2)"/>
      <w:numFmt w:val="lowerLetter"/>
      <w:start w:val="2"/>
    </w:lvl>
  </w:abstractNum>
  <w:abstractNum w:abstractNumId="164">
    <w:nsid w:val="631F1690"/>
    <w:multiLevelType w:val="hybridMultilevel"/>
    <w:lvl w:ilvl="0">
      <w:lvlJc w:val="left"/>
      <w:lvlText w:val="(%1)"/>
      <w:numFmt w:val="lowerLetter"/>
      <w:start w:val="5"/>
    </w:lvl>
    <w:lvl w:ilvl="1">
      <w:lvlJc w:val="left"/>
      <w:lvlText w:val="(%2)"/>
      <w:numFmt w:val="lowerLetter"/>
      <w:start w:val="6"/>
    </w:lvl>
  </w:abstractNum>
  <w:abstractNum w:abstractNumId="165">
    <w:nsid w:val="25973E32"/>
    <w:multiLevelType w:val="hybridMultilevel"/>
    <w:lvl w:ilvl="0">
      <w:lvlJc w:val="left"/>
      <w:lvlText w:val="%1"/>
      <w:numFmt w:val="lowerLetter"/>
      <w:start w:val="1"/>
    </w:lvl>
    <w:lvl w:ilvl="1">
      <w:lvlJc w:val="left"/>
      <w:lvlText w:val="(%2)"/>
      <w:numFmt w:val="lowerLetter"/>
      <w:start w:val="9"/>
    </w:lvl>
  </w:abstractNum>
  <w:abstractNum w:abstractNumId="166">
    <w:nsid w:val="EAD6F57"/>
    <w:multiLevelType w:val="hybridMultilevel"/>
    <w:lvl w:ilvl="0">
      <w:lvlJc w:val="left"/>
      <w:lvlText w:val="(%1)"/>
      <w:numFmt w:val="lowerLetter"/>
      <w:start w:val="7"/>
    </w:lvl>
    <w:lvl w:ilvl="1">
      <w:lvlJc w:val="left"/>
      <w:lvlText w:val="-"/>
      <w:numFmt w:val="bullet"/>
      <w:start w:val="1"/>
    </w:lvl>
  </w:abstractNum>
  <w:abstractNum w:abstractNumId="167">
    <w:nsid w:val="6EC9D844"/>
    <w:multiLevelType w:val="hybridMultilevel"/>
    <w:lvl w:ilvl="0">
      <w:lvlJc w:val="left"/>
      <w:lvlText w:val="%1."/>
      <w:numFmt w:val="decimal"/>
      <w:start w:val="40"/>
    </w:lvl>
  </w:abstractNum>
  <w:abstractNum w:abstractNumId="168">
    <w:nsid w:val="5C49EAEE"/>
    <w:multiLevelType w:val="hybridMultilevel"/>
    <w:lvl w:ilvl="0">
      <w:lvlJc w:val="left"/>
      <w:lvlText w:val="%1."/>
      <w:numFmt w:val="decimal"/>
      <w:start w:val="41"/>
    </w:lvl>
  </w:abstractNum>
  <w:abstractNum w:abstractNumId="169">
    <w:nsid w:val="64AF49B"/>
    <w:multiLevelType w:val="hybridMultilevel"/>
    <w:lvl w:ilvl="0">
      <w:lvlJc w:val="left"/>
      <w:lvlText w:val="%1."/>
      <w:numFmt w:val="decimal"/>
      <w:start w:val="42"/>
    </w:lvl>
  </w:abstractNum>
  <w:abstractNum w:abstractNumId="170">
    <w:nsid w:val="397C46BC"/>
    <w:multiLevelType w:val="hybridMultilevel"/>
    <w:lvl w:ilvl="0">
      <w:lvlJc w:val="left"/>
      <w:lvlText w:val="(%1)"/>
      <w:numFmt w:val="lowerLetter"/>
      <w:start w:val="1"/>
    </w:lvl>
    <w:lvl w:ilvl="1">
      <w:lvlJc w:val="left"/>
      <w:lvlText w:val="-"/>
      <w:numFmt w:val="bullet"/>
      <w:start w:val="1"/>
    </w:lvl>
  </w:abstractNum>
  <w:abstractNum w:abstractNumId="171">
    <w:nsid w:val="7E448DE9"/>
    <w:multiLevelType w:val="hybridMultilevel"/>
    <w:lvl w:ilvl="0">
      <w:lvlJc w:val="left"/>
      <w:lvlText w:val="%1."/>
      <w:numFmt w:val="decimal"/>
      <w:start w:val="43"/>
    </w:lvl>
    <w:lvl w:ilvl="1">
      <w:lvlJc w:val="left"/>
      <w:lvlText w:val="(%2)"/>
      <w:numFmt w:val="lowerLetter"/>
      <w:start w:val="1"/>
    </w:lvl>
  </w:abstractNum>
  <w:abstractNum w:abstractNumId="172">
    <w:nsid w:val="5A9CC3E5"/>
    <w:multiLevelType w:val="hybridMultilevel"/>
    <w:lvl w:ilvl="0">
      <w:lvlJc w:val="left"/>
      <w:lvlText w:val="%1."/>
      <w:numFmt w:val="decimal"/>
      <w:start w:val="44"/>
    </w:lvl>
    <w:lvl w:ilvl="1">
      <w:lvlJc w:val="left"/>
      <w:lvlText w:val="(%2)"/>
      <w:numFmt w:val="lowerLetter"/>
      <w:start w:val="1"/>
    </w:lvl>
    <w:lvl w:ilvl="2">
      <w:lvlJc w:val="left"/>
      <w:lvlText w:val="-"/>
      <w:numFmt w:val="bullet"/>
      <w:start w:val="1"/>
    </w:lvl>
  </w:abstractNum>
  <w:abstractNum w:abstractNumId="173">
    <w:nsid w:val="1AFE3625"/>
    <w:multiLevelType w:val="hybridMultilevel"/>
    <w:lvl w:ilvl="0">
      <w:lvlJc w:val="left"/>
      <w:lvlText w:val="%1."/>
      <w:numFmt w:val="decimal"/>
      <w:start w:val="45"/>
    </w:lvl>
  </w:abstractNum>
  <w:abstractNum w:abstractNumId="174">
    <w:nsid w:val="3CA88ECF"/>
    <w:multiLevelType w:val="hybridMultilevel"/>
    <w:lvl w:ilvl="0">
      <w:lvlJc w:val="left"/>
      <w:lvlText w:val="%1"/>
      <w:numFmt w:val="decimal"/>
      <w:start w:val="1"/>
    </w:lvl>
    <w:lvl w:ilvl="1">
      <w:lvlJc w:val="left"/>
      <w:lvlText w:val="(%2)"/>
      <w:numFmt w:val="decimal"/>
      <w:start w:val="30"/>
    </w:lvl>
  </w:abstractNum>
  <w:abstractNum w:abstractNumId="175">
    <w:nsid w:val="6EBE4208"/>
    <w:multiLevelType w:val="hybridMultilevel"/>
    <w:lvl w:ilvl="0">
      <w:lvlJc w:val="left"/>
      <w:lvlText w:val="%1."/>
      <w:numFmt w:val="decimal"/>
      <w:start w:val="46"/>
    </w:lvl>
    <w:lvl w:ilvl="1">
      <w:lvlJc w:val="left"/>
      <w:lvlText w:val="%2"/>
      <w:numFmt w:val="decimal"/>
      <w:start w:val="1"/>
    </w:lvl>
  </w:abstractNum>
  <w:abstractNum w:abstractNumId="176">
    <w:nsid w:val="C058DF5"/>
    <w:multiLevelType w:val="hybridMultilevel"/>
    <w:lvl w:ilvl="0">
      <w:lvlJc w:val="left"/>
      <w:lvlText w:val="%1"/>
      <w:numFmt w:val="decimal"/>
      <w:start w:val="1"/>
    </w:lvl>
    <w:lvl w:ilvl="1">
      <w:lvlJc w:val="left"/>
      <w:lvlText w:val="(%2)"/>
      <w:numFmt w:val="decimal"/>
      <w:start w:val="15"/>
    </w:lvl>
  </w:abstractNum>
  <w:abstractNum w:abstractNumId="177">
    <w:nsid w:val="CBE5BE9"/>
    <w:multiLevelType w:val="hybridMultilevel"/>
    <w:lvl w:ilvl="0">
      <w:lvlJc w:val="left"/>
      <w:lvlText w:val="%1."/>
      <w:numFmt w:val="decimal"/>
      <w:start w:val="47"/>
    </w:lvl>
    <w:lvl w:ilvl="1">
      <w:lvlJc w:val="left"/>
      <w:lvlText w:val="%2"/>
      <w:numFmt w:val="decimal"/>
      <w:start w:val="1"/>
    </w:lvl>
  </w:abstractNum>
  <w:abstractNum w:abstractNumId="178">
    <w:nsid w:val="3102BBE2"/>
    <w:multiLevelType w:val="hybridMultilevel"/>
    <w:lvl w:ilvl="0">
      <w:lvlJc w:val="left"/>
      <w:lvlText w:val="%1."/>
      <w:numFmt w:val="decimal"/>
      <w:start w:val="48"/>
    </w:lvl>
  </w:abstractNum>
  <w:abstractNum w:abstractNumId="179">
    <w:nsid w:val="26A02C5E"/>
    <w:multiLevelType w:val="hybridMultilevel"/>
    <w:lvl w:ilvl="0">
      <w:lvlJc w:val="left"/>
      <w:lvlText w:val="%1."/>
      <w:numFmt w:val="decimal"/>
      <w:start w:val="49"/>
    </w:lvl>
  </w:abstractNum>
  <w:abstractNum w:abstractNumId="180">
    <w:nsid w:val="541C8153"/>
    <w:multiLevelType w:val="hybridMultilevel"/>
    <w:lvl w:ilvl="0">
      <w:lvlJc w:val="left"/>
      <w:lvlText w:val="%1."/>
      <w:numFmt w:val="decimal"/>
      <w:start w:val="50"/>
    </w:lvl>
  </w:abstractNum>
  <w:abstractNum w:abstractNumId="181">
    <w:nsid w:val="67906F60"/>
    <w:multiLevelType w:val="hybridMultilevel"/>
    <w:lvl w:ilvl="0">
      <w:lvlJc w:val="left"/>
      <w:lvlText w:val="%1."/>
      <w:numFmt w:val="decimal"/>
      <w:start w:val="51"/>
    </w:lvl>
  </w:abstractNum>
  <w:abstractNum w:abstractNumId="182">
    <w:nsid w:val="10DB9DAA"/>
    <w:multiLevelType w:val="hybridMultilevel"/>
    <w:lvl w:ilvl="0">
      <w:lvlJc w:val="left"/>
      <w:lvlText w:val="%1."/>
      <w:numFmt w:val="decimal"/>
      <w:start w:val="52"/>
    </w:lvl>
  </w:abstractNum>
  <w:abstractNum w:abstractNumId="183">
    <w:nsid w:val="697D2D2"/>
    <w:multiLevelType w:val="hybridMultilevel"/>
    <w:lvl w:ilvl="0">
      <w:lvlJc w:val="left"/>
      <w:lvlText w:val="%1."/>
      <w:numFmt w:val="decimal"/>
      <w:start w:val="53"/>
    </w:lvl>
  </w:abstractNum>
  <w:abstractNum w:abstractNumId="184">
    <w:nsid w:val="6D68AB2"/>
    <w:multiLevelType w:val="hybridMultilevel"/>
    <w:lvl w:ilvl="0">
      <w:lvlJc w:val="left"/>
      <w:lvlText w:val="%1."/>
      <w:numFmt w:val="decimal"/>
      <w:start w:val="54"/>
    </w:lvl>
  </w:abstractNum>
  <w:abstractNum w:abstractNumId="185">
    <w:nsid w:val="3A966CD0"/>
    <w:multiLevelType w:val="hybridMultilevel"/>
    <w:lvl w:ilvl="0">
      <w:lvlJc w:val="left"/>
      <w:lvlText w:val="%1."/>
      <w:numFmt w:val="decimal"/>
      <w:start w:val="55"/>
    </w:lvl>
  </w:abstractNum>
  <w:abstractNum w:abstractNumId="186">
    <w:nsid w:val="63F37E85"/>
    <w:multiLevelType w:val="hybridMultilevel"/>
    <w:lvl w:ilvl="0">
      <w:lvlJc w:val="left"/>
      <w:lvlText w:val="%1."/>
      <w:numFmt w:val="decimal"/>
      <w:start w:val="56"/>
    </w:lvl>
    <w:lvl w:ilvl="1">
      <w:lvlJc w:val="left"/>
      <w:lvlText w:val="(%2)"/>
      <w:numFmt w:val="lowerLetter"/>
      <w:start w:val="1"/>
    </w:lvl>
  </w:abstractNum>
  <w:abstractNum w:abstractNumId="187">
    <w:nsid w:val="5895F5FA"/>
    <w:multiLevelType w:val="hybridMultilevel"/>
    <w:lvl w:ilvl="0">
      <w:lvlJc w:val="left"/>
      <w:lvlText w:val="%1."/>
      <w:numFmt w:val="decimal"/>
      <w:start w:val="58"/>
    </w:lvl>
  </w:abstractNum>
  <w:abstractNum w:abstractNumId="188">
    <w:nsid w:val="38A5D054"/>
    <w:multiLevelType w:val="hybridMultilevel"/>
    <w:lvl w:ilvl="0">
      <w:lvlJc w:val="left"/>
      <w:lvlText w:val="%1."/>
      <w:numFmt w:val="decimal"/>
      <w:start w:val="59"/>
    </w:lvl>
  </w:abstractNum>
  <w:abstractNum w:abstractNumId="189">
    <w:nsid w:val="F3F09D8"/>
    <w:multiLevelType w:val="hybridMultilevel"/>
    <w:lvl w:ilvl="0">
      <w:lvlJc w:val="left"/>
      <w:lvlText w:val="%1."/>
      <w:numFmt w:val="decimal"/>
      <w:start w:val="60"/>
    </w:lvl>
  </w:abstractNum>
  <w:abstractNum w:abstractNumId="190">
    <w:nsid w:val="4B793735"/>
    <w:multiLevelType w:val="hybridMultilevel"/>
    <w:lvl w:ilvl="0">
      <w:lvlJc w:val="left"/>
      <w:lvlText w:val="%1."/>
      <w:numFmt w:val="decimal"/>
      <w:start w:val="61"/>
    </w:lvl>
  </w:abstractNum>
  <w:abstractNum w:abstractNumId="191">
    <w:nsid w:val="4A10B4E8"/>
    <w:multiLevelType w:val="hybridMultilevel"/>
    <w:lvl w:ilvl="0">
      <w:lvlJc w:val="left"/>
      <w:lvlText w:val="%1."/>
      <w:numFmt w:val="decimal"/>
      <w:start w:val="62"/>
    </w:lvl>
  </w:abstractNum>
  <w:abstractNum w:abstractNumId="192">
    <w:nsid w:val="43D3BCD4"/>
    <w:multiLevelType w:val="hybridMultilevel"/>
    <w:lvl w:ilvl="0">
      <w:lvlJc w:val="left"/>
      <w:lvlText w:val="%1."/>
      <w:numFmt w:val="decimal"/>
      <w:start w:val="63"/>
    </w:lvl>
  </w:abstractNum>
  <w:abstractNum w:abstractNumId="193">
    <w:nsid w:val="4C2A716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94">
    <w:nsid w:val="2E534A82"/>
    <w:multiLevelType w:val="hybridMultilevel"/>
    <w:lvl w:ilvl="0">
      <w:lvlJc w:val="left"/>
      <w:lvlText w:val="%1."/>
      <w:numFmt w:val="decimal"/>
      <w:start w:val="6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95">
    <w:nsid w:val="26F2D3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lowerRoman"/>
      <w:start w:val="1"/>
    </w:lvl>
    <w:lvl w:ilvl="4">
      <w:lvlJc w:val="left"/>
      <w:lvlText w:val="%5"/>
      <w:numFmt w:val="decimal"/>
      <w:start w:val="1"/>
    </w:lvl>
  </w:abstractNum>
  <w:abstractNum w:abstractNumId="196">
    <w:nsid w:val="71C1AF9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lvl w:ilvl="4">
      <w:lvlJc w:val="left"/>
      <w:lvlText w:val="(%5)"/>
      <w:numFmt w:val="decimal"/>
      <w:start w:val="1"/>
    </w:lvl>
  </w:abstractNum>
  <w:abstractNum w:abstractNumId="197">
    <w:nsid w:val="3D00B9D9"/>
    <w:multiLevelType w:val="hybridMultilevel"/>
    <w:lvl w:ilvl="0">
      <w:lvlJc w:val="left"/>
      <w:lvlText w:val="%1."/>
      <w:numFmt w:val="decimal"/>
      <w:start w:val="65"/>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decimal"/>
      <w:start w:val="1"/>
    </w:lvl>
  </w:abstractNum>
  <w:abstractNum w:abstractNumId="198">
    <w:nsid w:val="15BCABA8"/>
    <w:multiLevelType w:val="hybridMultilevel"/>
    <w:lvl w:ilvl="0">
      <w:lvlJc w:val="left"/>
      <w:lvlText w:val="%1."/>
      <w:numFmt w:val="decimal"/>
      <w:start w:val="66"/>
    </w:lvl>
    <w:lvl w:ilvl="1">
      <w:lvlJc w:val="left"/>
      <w:lvlText w:val="(%2)"/>
      <w:numFmt w:val="lowerLetter"/>
      <w:start w:val="1"/>
    </w:lvl>
    <w:lvl w:ilvl="2">
      <w:lvlJc w:val="left"/>
      <w:lvlText w:val="-"/>
      <w:numFmt w:val="bullet"/>
      <w:start w:val="1"/>
    </w:lvl>
  </w:abstractNum>
  <w:abstractNum w:abstractNumId="199">
    <w:nsid w:val="4E0B9A87"/>
    <w:multiLevelType w:val="hybridMultilevel"/>
    <w:lvl w:ilvl="0">
      <w:lvlJc w:val="left"/>
      <w:lvlText w:val="%1."/>
      <w:numFmt w:val="decimal"/>
      <w:start w:val="67"/>
    </w:lvl>
  </w:abstractNum>
  <w:abstractNum w:abstractNumId="200">
    <w:nsid w:val="434BAE75"/>
    <w:multiLevelType w:val="hybridMultilevel"/>
    <w:lvl w:ilvl="0">
      <w:lvlJc w:val="left"/>
      <w:lvlText w:val="%1."/>
      <w:numFmt w:val="decimal"/>
      <w:start w:val="68"/>
    </w:lvl>
    <w:lvl w:ilvl="1">
      <w:lvlJc w:val="left"/>
      <w:lvlText w:val="(%2)"/>
      <w:numFmt w:val="lowerLetter"/>
      <w:start w:val="1"/>
    </w:lvl>
    <w:lvl w:ilvl="2">
      <w:lvlJc w:val="left"/>
      <w:lvlText w:val="(%3)"/>
      <w:numFmt w:val="lowerRoman"/>
      <w:start w:val="1"/>
    </w:lvl>
  </w:abstractNum>
  <w:abstractNum w:abstractNumId="201">
    <w:nsid w:val="4F38F265"/>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202">
    <w:nsid w:val="4C502870"/>
    <w:multiLevelType w:val="hybridMultilevel"/>
    <w:lvl w:ilvl="0">
      <w:lvlJc w:val="left"/>
      <w:lvlText w:val="(%1)"/>
      <w:numFmt w:val="lowerLetter"/>
      <w:start w:val="8"/>
    </w:lvl>
    <w:lvl w:ilvl="1">
      <w:lvlJc w:val="left"/>
      <w:lvlText w:val="%2"/>
      <w:numFmt w:val="lowerLetter"/>
      <w:start w:val="1"/>
    </w:lvl>
    <w:lvl w:ilvl="2">
      <w:lvlJc w:val="left"/>
      <w:lvlText w:val="-"/>
      <w:numFmt w:val="bullet"/>
      <w:start w:val="1"/>
    </w:lvl>
  </w:abstractNum>
  <w:abstractNum w:abstractNumId="203">
    <w:nsid w:val="1DE8725A"/>
    <w:multiLevelType w:val="hybridMultilevel"/>
    <w:lvl w:ilvl="0">
      <w:lvlJc w:val="left"/>
      <w:lvlText w:val="%1."/>
      <w:numFmt w:val="decimal"/>
      <w:start w:val="69"/>
    </w:lvl>
  </w:abstractNum>
  <w:abstractNum w:abstractNumId="204">
    <w:nsid w:val="6A37288A"/>
    <w:multiLevelType w:val="hybridMultilevel"/>
    <w:lvl w:ilvl="0">
      <w:lvlJc w:val="left"/>
      <w:lvlText w:val="%1."/>
      <w:numFmt w:val="decimal"/>
      <w:start w:val="70"/>
    </w:lvl>
    <w:lvl w:ilvl="1">
      <w:lvlJc w:val="left"/>
      <w:lvlText w:val="(%2)"/>
      <w:numFmt w:val="lowerLetter"/>
      <w:start w:val="1"/>
    </w:lvl>
    <w:lvl w:ilvl="2">
      <w:lvlJc w:val="left"/>
      <w:lvlText w:val="-"/>
      <w:numFmt w:val="bullet"/>
      <w:start w:val="1"/>
    </w:lvl>
  </w:abstractNum>
  <w:abstractNum w:abstractNumId="205">
    <w:nsid w:val="8F8B73F"/>
    <w:multiLevelType w:val="hybridMultilevel"/>
    <w:lvl w:ilvl="0">
      <w:lvlJc w:val="left"/>
      <w:lvlText w:val="•"/>
      <w:numFmt w:val="bullet"/>
      <w:start w:val="1"/>
    </w:lvl>
  </w:abstractNum>
  <w:abstractNum w:abstractNumId="206">
    <w:nsid w:val="CA6B462"/>
    <w:multiLevelType w:val="hybridMultilevel"/>
    <w:lvl w:ilvl="0">
      <w:lvlJc w:val="left"/>
      <w:lvlText w:val="(%1)"/>
      <w:numFmt w:val="lowerRoman"/>
      <w:start w:val="3"/>
    </w:lvl>
  </w:abstractNum>
  <w:abstractNum w:abstractNumId="207">
    <w:nsid w:val="763CB68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08">
    <w:nsid w:val="15B713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09">
    <w:nsid w:val="3DA97044"/>
    <w:multiLevelType w:val="hybridMultilevel"/>
    <w:lvl w:ilvl="0">
      <w:lvlJc w:val="left"/>
      <w:lvlText w:val="(%1)"/>
      <w:numFmt w:val="decimal"/>
      <w:start w:val="1"/>
    </w:lvl>
  </w:abstractNum>
  <w:abstractNum w:abstractNumId="210">
    <w:nsid w:val="1CDCE2D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jpe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159" Type="http://schemas.openxmlformats.org/officeDocument/2006/relationships/hyperlink" Target="https://www.sec.gov/Archives/edgar/data/1847584/000119312521183894/d143770dex105.htm" TargetMode="External"/><Relationship Id="rId160" Type="http://schemas.openxmlformats.org/officeDocument/2006/relationships/hyperlink" Target="https://www.sec.gov/Archives/edgar/data/1847584/000119312521183894/d143770dex101.htm" TargetMode="External"/><Relationship Id="rId161" Type="http://schemas.openxmlformats.org/officeDocument/2006/relationships/hyperlink" Target="https://www.sec.gov/Archives/edgar/data/1847584/000119312521183894/d143770dex102.htm" TargetMode="External"/><Relationship Id="rId162" Type="http://schemas.openxmlformats.org/officeDocument/2006/relationships/hyperlink" Target="https://www.sec.gov/Archives/edgar/data/1847584/000119312521183894/d143770dex103.htm" TargetMode="External"/><Relationship Id="rId163" Type="http://schemas.openxmlformats.org/officeDocument/2006/relationships/hyperlink" Target="https://www.sec.gov/Archives/edgar/data/1847584/000119312521183894/d143770dex104.htm" TargetMode="External"/><Relationship Id="rId164" Type="http://schemas.openxmlformats.org/officeDocument/2006/relationships/hyperlink" Target="https://www.sec.gov/Archives/edgar/data/1847584/000119312521189389/d143770dex42.htm" TargetMode="External"/><Relationship Id="rId182" Type="http://schemas.openxmlformats.org/officeDocument/2006/relationships/hyperlink" Target="https://www.sec.gov/Archives/edgar/data/1847584/000119312521183894/d14377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2022-03-24T15:32:25Z</dcterms:created>
  <dcterms:modified xsi:type="dcterms:W3CDTF">2022-03-24T15:32:25Z</dcterms:modified>
</cp:coreProperties>
</file>