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20-F</w:t>
      </w:r>
    </w:p>
    <w:p>
      <w:pPr>
        <w:spacing w:after="0" w:line="2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14" w:lineRule="exact"/>
        <w:rPr>
          <w:sz w:val="24"/>
          <w:szCs w:val="24"/>
          <w:color w:val="auto"/>
        </w:rPr>
      </w:pPr>
    </w:p>
    <w:p>
      <w:pPr>
        <w:jc w:val="center"/>
        <w:ind w:right="60"/>
        <w:spacing w:after="0" w:line="196" w:lineRule="exact"/>
        <w:rPr>
          <w:sz w:val="20"/>
          <w:szCs w:val="20"/>
          <w:color w:val="auto"/>
        </w:rPr>
      </w:pPr>
      <w:r>
        <w:rPr>
          <w:rFonts w:ascii="MS PGothic" w:cs="MS PGothic" w:eastAsia="MS PGothic" w:hAnsi="MS PGothic"/>
          <w:sz w:val="17"/>
          <w:szCs w:val="17"/>
          <w:color w:val="auto"/>
          <w:highlight w:val="black"/>
        </w:rPr>
        <w:t>☐</w:t>
      </w:r>
      <w:r>
        <w:rPr>
          <w:rFonts w:ascii="Times New Roman" w:cs="Times New Roman" w:eastAsia="Times New Roman" w:hAnsi="Times New Roman"/>
          <w:sz w:val="17"/>
          <w:szCs w:val="17"/>
          <w:b w:val="1"/>
          <w:bCs w:val="1"/>
          <w:color w:val="auto"/>
        </w:rPr>
        <w:t xml:space="preserve">   REGISTRATION STATEMENT PURSUANT TO SECTION 12(b) OR SECTION 12(g) OF THE SECURITIES EXCHANGE ACT OF 1934</w:t>
      </w:r>
    </w:p>
    <w:p>
      <w:pPr>
        <w:spacing w:after="0" w:line="2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14"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ANNUAL REPORT PURSUANT TO SECTION 13 OR 15(d) OF THE SECURITIES EXCHANGE ACT OF 1934  </w:t>
      </w:r>
    </w:p>
    <w:p>
      <w:pPr>
        <w:spacing w:after="0" w:line="2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2022</w:t>
      </w: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7"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TRANSITION REPORT PURSUANT TO SECTION 13 OR 15(d) OF THE SECURITIES EXCHANGE ACT OF 1934</w:t>
      </w:r>
    </w:p>
    <w:p>
      <w:pPr>
        <w:spacing w:after="0" w:line="263" w:lineRule="exact"/>
        <w:rPr>
          <w:sz w:val="24"/>
          <w:szCs w:val="24"/>
          <w:color w:val="auto"/>
        </w:rPr>
      </w:pPr>
    </w:p>
    <w:p>
      <w:pPr>
        <w:jc w:val="center"/>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 xml:space="preserve">For the transition period from           </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7"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SHELL COMPANY REPORT PURSUANT TO SECTION 13 OR 15(d) OF THE SECURITIES EXCHANGE ACT OF 1934</w:t>
      </w:r>
    </w:p>
    <w:p>
      <w:pPr>
        <w:spacing w:after="0" w:line="2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event requiring this shell company report</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001-40490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171450</wp:posOffset>
            </wp:positionV>
            <wp:extent cx="2143125" cy="7029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3125" cy="7029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WalkMe Ltd.</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 of Israel</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(Jurisdiction of incorporation or organization)</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Walter Moses St.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Aviv 6789903, Israel</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+972 (3) 763-0333</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Paul Bradley Shinn, Esq.</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Counsel</w:t>
      </w:r>
    </w:p>
    <w:p>
      <w:pPr>
        <w:spacing w:after="0" w:line="9"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71 Stevenson Street, Floor 20</w:t>
      </w:r>
    </w:p>
    <w:p>
      <w:pPr>
        <w:spacing w:after="0" w:line="23"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San Francisco, CA 94105</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(855) 492-5563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Email: investors@walkme.com</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Telephone, E-mail and/or Facsimile number and Address of Company Contact Person)</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12(b) of the Act</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0" w:type="dxa"/>
            <w:vAlign w:val="bottom"/>
          </w:tcPr>
          <w:p>
            <w:pPr>
              <w:spacing w:after="0"/>
              <w:rPr>
                <w:sz w:val="22"/>
                <w:szCs w:val="22"/>
                <w:color w:val="auto"/>
              </w:rPr>
            </w:pPr>
          </w:p>
        </w:tc>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200" w:type="dxa"/>
            <w:vAlign w:val="bottom"/>
          </w:tcPr>
          <w:p>
            <w:pPr>
              <w:spacing w:after="0"/>
              <w:rPr>
                <w:sz w:val="22"/>
                <w:szCs w:val="22"/>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Ordinary shares, no par value</w:t>
            </w:r>
          </w:p>
        </w:tc>
        <w:tc>
          <w:tcPr>
            <w:tcW w:w="220" w:type="dxa"/>
            <w:vAlign w:val="bottom"/>
          </w:tcPr>
          <w:p>
            <w:pPr>
              <w:spacing w:after="0"/>
              <w:rPr>
                <w:sz w:val="20"/>
                <w:szCs w:val="20"/>
                <w:color w:val="auto"/>
              </w:rPr>
            </w:pP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WKME</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12(g) of the Act: None</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for which there is a reporting obligation pursuant to Section 15(d) of the Act: None</w:t>
      </w:r>
    </w:p>
    <w:p>
      <w:pPr>
        <w:spacing w:after="0" w:line="25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the number of outstanding shares of each of the issuer’s classes of capital stock or common stock as of the close of the period covered by the annual report. As of December 31, 2022, the registrant had outstanding 86,780,082 ordinary shares, no par value.</w:t>
      </w:r>
    </w:p>
    <w:p>
      <w:pPr>
        <w:sectPr>
          <w:pgSz w:w="11900" w:h="16838" w:orient="portrait"/>
          <w:cols w:equalWidth="0" w:num="1">
            <w:col w:w="11240"/>
          </w:cols>
          <w:pgMar w:left="320" w:top="759" w:right="339" w:bottom="0" w:gutter="0" w:footer="0" w:header="0"/>
        </w:sectPr>
      </w:pPr>
    </w:p>
    <w:bookmarkStart w:id="1" w:name="page2"/>
    <w:bookmarkEnd w:id="1"/>
    <w:p>
      <w:pPr>
        <w:jc w:val="both"/>
        <w:spacing w:after="0" w:line="28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210" w:lineRule="exact"/>
        <w:rPr>
          <w:sz w:val="20"/>
          <w:szCs w:val="20"/>
          <w:color w:val="auto"/>
        </w:rPr>
      </w:pPr>
    </w:p>
    <w:p>
      <w:pPr>
        <w:jc w:val="center"/>
        <w:spacing w:after="0" w:line="207" w:lineRule="exact"/>
        <w:tabs>
          <w:tab w:leader="none" w:pos="2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highlight w:val="black"/>
        </w:rPr>
        <w:t>☒</w:t>
      </w:r>
    </w:p>
    <w:p>
      <w:pPr>
        <w:spacing w:after="0" w:line="26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If this report is an annual or transition report, indicate by check mark if the registrant is not required to file reports pursuant to Section 13 or 15(d) of the Securities Exchange Act of 1934.</w:t>
      </w:r>
    </w:p>
    <w:p>
      <w:pPr>
        <w:spacing w:after="0" w:line="134" w:lineRule="exact"/>
        <w:rPr>
          <w:sz w:val="20"/>
          <w:szCs w:val="20"/>
          <w:color w:val="auto"/>
        </w:rPr>
      </w:pPr>
    </w:p>
    <w:p>
      <w:pPr>
        <w:jc w:val="center"/>
        <w:spacing w:after="0" w:line="207" w:lineRule="exact"/>
        <w:tabs>
          <w:tab w:leader="none" w:pos="2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highlight w:val="black"/>
        </w:rPr>
        <w:t>☒</w:t>
      </w:r>
    </w:p>
    <w:p>
      <w:pPr>
        <w:spacing w:after="0" w:line="2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Note-Checking the box above will not relieve any registrant required to file reports pursuant to Section 13 or 15(d) of the Securities Exchange Act of 1934 from their obligations under those Sections.</w:t>
      </w:r>
    </w:p>
    <w:p>
      <w:pPr>
        <w:spacing w:after="0" w:line="18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53" w:lineRule="exact"/>
        <w:rPr>
          <w:sz w:val="20"/>
          <w:szCs w:val="20"/>
          <w:color w:val="auto"/>
        </w:rPr>
      </w:pPr>
    </w:p>
    <w:p>
      <w:pPr>
        <w:jc w:val="center"/>
        <w:spacing w:after="0" w:line="207" w:lineRule="exact"/>
        <w:tabs>
          <w:tab w:leader="none" w:pos="2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highlight w:val="black"/>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6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34" w:lineRule="exact"/>
        <w:rPr>
          <w:sz w:val="20"/>
          <w:szCs w:val="20"/>
          <w:color w:val="auto"/>
        </w:rPr>
      </w:pPr>
    </w:p>
    <w:p>
      <w:pPr>
        <w:jc w:val="center"/>
        <w:spacing w:after="0" w:line="207" w:lineRule="exact"/>
        <w:tabs>
          <w:tab w:leader="none" w:pos="2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highlight w:val="black"/>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ind w:left="440"/>
        <w:spacing w:after="0" w:line="446" w:lineRule="exact"/>
        <w:tabs>
          <w:tab w:leader="none" w:pos="3200" w:val="left"/>
          <w:tab w:leader="none" w:pos="5480" w:val="left"/>
          <w:tab w:leader="none" w:pos="7760" w:val="left"/>
        </w:tabs>
        <w:rPr>
          <w:sz w:val="20"/>
          <w:szCs w:val="20"/>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Large accelerated filer</w:t>
      </w:r>
      <w:r>
        <w:rPr>
          <w:sz w:val="20"/>
          <w:szCs w:val="20"/>
          <w:color w:val="auto"/>
        </w:rPr>
        <w:tab/>
      </w:r>
      <w:r>
        <w:rPr>
          <w:rFonts w:ascii="MS PGothic" w:cs="MS PGothic" w:eastAsia="MS PGothic" w:hAnsi="MS PGothic"/>
          <w:sz w:val="18"/>
          <w:szCs w:val="18"/>
          <w:color w:val="auto"/>
          <w:highlight w:val="black"/>
        </w:rPr>
        <w:t xml:space="preserve">☒ </w:t>
      </w:r>
      <w:r>
        <w:rPr>
          <w:rFonts w:ascii="Times New Roman" w:cs="Times New Roman" w:eastAsia="Times New Roman" w:hAnsi="Times New Roman"/>
          <w:sz w:val="18"/>
          <w:szCs w:val="18"/>
          <w:b w:val="1"/>
          <w:bCs w:val="1"/>
          <w:color w:val="auto"/>
        </w:rPr>
        <w:t>Accelerated filer</w:t>
      </w:r>
      <w:r>
        <w:rPr>
          <w:sz w:val="20"/>
          <w:szCs w:val="20"/>
          <w:color w:val="auto"/>
        </w:rPr>
        <w:tab/>
      </w:r>
      <w:r>
        <w:rPr>
          <w:rFonts w:ascii="MS PGothic" w:cs="MS PGothic" w:eastAsia="MS PGothic" w:hAnsi="MS PGothic"/>
          <w:sz w:val="43"/>
          <w:szCs w:val="43"/>
          <w:color w:val="auto"/>
          <w:highlight w:val="black"/>
          <w:vertAlign w:val="subscript"/>
        </w:rPr>
        <w:t xml:space="preserve">☐ </w:t>
      </w:r>
      <w:r>
        <w:rPr>
          <w:rFonts w:ascii="Times New Roman" w:cs="Times New Roman" w:eastAsia="Times New Roman" w:hAnsi="Times New Roman"/>
          <w:sz w:val="35"/>
          <w:szCs w:val="35"/>
          <w:b w:val="1"/>
          <w:bCs w:val="1"/>
          <w:color w:val="auto"/>
          <w:vertAlign w:val="subscript"/>
        </w:rPr>
        <w:t>Non-accelerated filer</w:t>
      </w:r>
      <w:r>
        <w:rPr>
          <w:sz w:val="20"/>
          <w:szCs w:val="20"/>
          <w:color w:val="auto"/>
        </w:rPr>
        <w:tab/>
      </w:r>
      <w:r>
        <w:rPr>
          <w:rFonts w:ascii="MS PGothic" w:cs="MS PGothic" w:eastAsia="MS PGothic" w:hAnsi="MS PGothic"/>
          <w:sz w:val="17"/>
          <w:szCs w:val="17"/>
          <w:color w:val="auto"/>
          <w:highlight w:val="black"/>
        </w:rPr>
        <w:t xml:space="preserve">☒ </w:t>
      </w:r>
      <w:r>
        <w:rPr>
          <w:rFonts w:ascii="Times New Roman" w:cs="Times New Roman" w:eastAsia="Times New Roman" w:hAnsi="Times New Roman"/>
          <w:sz w:val="17"/>
          <w:szCs w:val="17"/>
          <w:b w:val="1"/>
          <w:bCs w:val="1"/>
          <w:color w:val="auto"/>
        </w:rPr>
        <w:t>Emerging growth company</w:t>
      </w:r>
    </w:p>
    <w:p>
      <w:pPr>
        <w:spacing w:after="0" w:line="265" w:lineRule="exact"/>
        <w:rPr>
          <w:sz w:val="20"/>
          <w:szCs w:val="20"/>
          <w:color w:val="auto"/>
        </w:rPr>
      </w:pPr>
    </w:p>
    <w:p>
      <w:pPr>
        <w:jc w:val="both"/>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93" w:lineRule="exact"/>
        <w:rPr>
          <w:sz w:val="20"/>
          <w:szCs w:val="20"/>
          <w:color w:val="auto"/>
        </w:rPr>
      </w:pPr>
    </w:p>
    <w:p>
      <w:pPr>
        <w:jc w:val="both"/>
        <w:spacing w:after="0" w:line="233" w:lineRule="exact"/>
        <w:rPr>
          <w:sz w:val="20"/>
          <w:szCs w:val="20"/>
          <w:color w:val="auto"/>
        </w:rPr>
      </w:pPr>
      <w:r>
        <w:rPr>
          <w:rFonts w:ascii="Times New Roman" w:cs="Times New Roman" w:eastAsia="Times New Roman" w:hAnsi="Times New Roman"/>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r>
        <w:rPr>
          <w:rFonts w:ascii="MS PGothic" w:cs="MS PGothic" w:eastAsia="MS PGothic" w:hAnsi="MS PGothic"/>
          <w:sz w:val="18"/>
          <w:szCs w:val="18"/>
          <w:color w:val="auto"/>
        </w:rPr>
        <w:t>☐</w:t>
      </w:r>
    </w:p>
    <w:p>
      <w:pPr>
        <w:spacing w:after="0" w:line="206" w:lineRule="exact"/>
        <w:rPr>
          <w:sz w:val="20"/>
          <w:szCs w:val="20"/>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206" w:lineRule="exact"/>
        <w:rPr>
          <w:sz w:val="20"/>
          <w:szCs w:val="20"/>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which basis of accounting the registrant has used to prepare the financial statements included in this filing:</w:t>
      </w:r>
    </w:p>
    <w:p>
      <w:pPr>
        <w:sectPr>
          <w:pgSz w:w="11900" w:h="16838" w:orient="portrait"/>
          <w:cols w:equalWidth="0" w:num="1">
            <w:col w:w="11240"/>
          </w:cols>
          <w:pgMar w:left="320" w:top="351" w:right="339" w:bottom="1440" w:gutter="0" w:footer="0" w:header="0"/>
        </w:sectPr>
      </w:pPr>
    </w:p>
    <w:p>
      <w:pPr>
        <w:spacing w:after="0" w:line="210" w:lineRule="exact"/>
        <w:rPr>
          <w:sz w:val="20"/>
          <w:szCs w:val="20"/>
          <w:color w:val="auto"/>
        </w:rPr>
      </w:pPr>
    </w:p>
    <w:p>
      <w:pPr>
        <w:ind w:left="320"/>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GAAP</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jc w:val="center"/>
        <w:spacing w:after="0" w:line="246" w:lineRule="exact"/>
        <w:rPr>
          <w:sz w:val="20"/>
          <w:szCs w:val="20"/>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International Financial Reporting Standards as issued by the International Accounting Standards Board</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b w:val="1"/>
          <w:bCs w:val="1"/>
          <w:color w:val="auto"/>
        </w:rPr>
        <w:t xml:space="preserve"> Other</w:t>
      </w:r>
    </w:p>
    <w:p>
      <w:pPr>
        <w:spacing w:after="0" w:line="496" w:lineRule="exact"/>
        <w:rPr>
          <w:sz w:val="20"/>
          <w:szCs w:val="20"/>
          <w:color w:val="auto"/>
        </w:rPr>
      </w:pPr>
    </w:p>
    <w:p>
      <w:pPr>
        <w:sectPr>
          <w:pgSz w:w="11900" w:h="16838" w:orient="portrait"/>
          <w:cols w:equalWidth="0" w:num="4">
            <w:col w:w="480" w:space="40"/>
            <w:col w:w="880" w:space="380"/>
            <w:col w:w="7700" w:space="580"/>
            <w:col w:w="1180"/>
          </w:cols>
          <w:pgMar w:left="320" w:top="351" w:right="339" w:bottom="1440" w:gutter="0" w:footer="0" w:header="0"/>
          <w:type w:val="continuous"/>
        </w:sectPr>
      </w:pP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If “Other” has been checked in response to the previous question indicate by check mark which financial statement item the registrant has elected to follow.</w:t>
      </w:r>
    </w:p>
    <w:p>
      <w:pPr>
        <w:spacing w:after="0" w:line="221" w:lineRule="exact"/>
        <w:rPr>
          <w:sz w:val="20"/>
          <w:szCs w:val="20"/>
          <w:color w:val="auto"/>
        </w:rPr>
      </w:pPr>
    </w:p>
    <w:p>
      <w:pPr>
        <w:jc w:val="center"/>
        <w:ind w:right="-19"/>
        <w:spacing w:after="0" w:line="207" w:lineRule="exact"/>
        <w:tabs>
          <w:tab w:leader="none" w:pos="200" w:val="left"/>
        </w:tabs>
        <w:rPr>
          <w:sz w:val="20"/>
          <w:szCs w:val="20"/>
          <w:color w:val="auto"/>
        </w:rPr>
      </w:pPr>
      <w:r>
        <w:rPr>
          <w:rFonts w:ascii="Times New Roman" w:cs="Times New Roman" w:eastAsia="Times New Roman" w:hAnsi="Times New Roman"/>
          <w:sz w:val="18"/>
          <w:szCs w:val="18"/>
          <w:color w:val="auto"/>
        </w:rPr>
        <w:t xml:space="preserve">Item 17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Item 18 </w:t>
      </w:r>
      <w:r>
        <w:rPr>
          <w:rFonts w:ascii="MS PGothic" w:cs="MS PGothic" w:eastAsia="MS PGothic" w:hAnsi="MS PGothic"/>
          <w:sz w:val="17"/>
          <w:szCs w:val="17"/>
          <w:color w:val="auto"/>
        </w:rPr>
        <w:t>☐</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this is an annual report, indicate by check mark whether the registrant is a shell company (as defined in Rule 12b-2 of the Exchange Act).</w:t>
      </w:r>
    </w:p>
    <w:p>
      <w:pPr>
        <w:spacing w:after="0" w:line="210" w:lineRule="exact"/>
        <w:rPr>
          <w:sz w:val="20"/>
          <w:szCs w:val="20"/>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327025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type w:val="continuous"/>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023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023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1953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1953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71151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71151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0581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058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006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006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292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9292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2583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9258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4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EE"/>
                <w:w w:val="98"/>
              </w:rPr>
              <w:t>INTRODUCTION</w:t>
            </w:r>
          </w:p>
        </w:tc>
        <w:tc>
          <w:tcPr>
            <w:tcW w:w="7580" w:type="dxa"/>
            <w:vAlign w:val="bottom"/>
            <w:gridSpan w:val="10"/>
          </w:tcPr>
          <w:p>
            <w:pPr>
              <w:spacing w:after="0"/>
              <w:rPr>
                <w:sz w:val="17"/>
                <w:szCs w:val="17"/>
                <w:color w:val="auto"/>
              </w:rPr>
            </w:pPr>
          </w:p>
        </w:tc>
        <w:tc>
          <w:tcPr>
            <w:tcW w:w="21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1</w:t>
            </w:r>
          </w:p>
        </w:tc>
      </w:tr>
      <w:tr>
        <w:trPr>
          <w:trHeight w:val="264"/>
        </w:trPr>
        <w:tc>
          <w:tcPr>
            <w:tcW w:w="40" w:type="dxa"/>
            <w:vAlign w:val="bottom"/>
          </w:tcPr>
          <w:p>
            <w:pPr>
              <w:spacing w:after="0"/>
              <w:rPr>
                <w:sz w:val="22"/>
                <w:szCs w:val="22"/>
                <w:color w:val="auto"/>
              </w:rPr>
            </w:pPr>
          </w:p>
        </w:tc>
        <w:tc>
          <w:tcPr>
            <w:tcW w:w="670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b w:val="1"/>
                <w:bCs w:val="1"/>
                <w:color w:val="0000EE"/>
                <w:w w:val="98"/>
              </w:rPr>
              <w:t>CAUTIONARY STATEMENT REGARDING FORWARD-LOOKING STATEMENTS</w:t>
            </w:r>
          </w:p>
        </w:tc>
        <w:tc>
          <w:tcPr>
            <w:tcW w:w="2320" w:type="dxa"/>
            <w:vAlign w:val="bottom"/>
          </w:tcPr>
          <w:p>
            <w:pPr>
              <w:spacing w:after="0"/>
              <w:rPr>
                <w:sz w:val="22"/>
                <w:szCs w:val="22"/>
                <w:color w:val="auto"/>
              </w:rPr>
            </w:pPr>
          </w:p>
        </w:tc>
        <w:tc>
          <w:tcPr>
            <w:tcW w:w="21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1</w:t>
            </w:r>
          </w:p>
        </w:tc>
      </w:tr>
      <w:tr>
        <w:trPr>
          <w:trHeight w:val="263"/>
        </w:trPr>
        <w:tc>
          <w:tcPr>
            <w:tcW w:w="40" w:type="dxa"/>
            <w:vAlign w:val="bottom"/>
          </w:tcPr>
          <w:p>
            <w:pPr>
              <w:spacing w:after="0"/>
              <w:rPr>
                <w:sz w:val="22"/>
                <w:szCs w:val="22"/>
                <w:color w:val="auto"/>
              </w:rPr>
            </w:pPr>
          </w:p>
        </w:tc>
        <w:tc>
          <w:tcPr>
            <w:tcW w:w="902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0000EE"/>
              </w:rPr>
              <w:t>PRESENTATION OF FINANCIAL AND OTHER INFORMATION</w:t>
            </w:r>
          </w:p>
        </w:tc>
        <w:tc>
          <w:tcPr>
            <w:tcW w:w="21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2</w:t>
            </w:r>
          </w:p>
        </w:tc>
      </w:tr>
      <w:tr>
        <w:trPr>
          <w:trHeight w:val="263"/>
        </w:trPr>
        <w:tc>
          <w:tcPr>
            <w:tcW w:w="40" w:type="dxa"/>
            <w:vAlign w:val="bottom"/>
          </w:tcPr>
          <w:p>
            <w:pPr>
              <w:spacing w:after="0"/>
              <w:rPr>
                <w:sz w:val="22"/>
                <w:szCs w:val="22"/>
                <w:color w:val="auto"/>
              </w:rPr>
            </w:pPr>
          </w:p>
        </w:tc>
        <w:tc>
          <w:tcPr>
            <w:tcW w:w="5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2"/>
              </w:rPr>
              <w:t>PART I</w:t>
            </w:r>
          </w:p>
        </w:tc>
        <w:tc>
          <w:tcPr>
            <w:tcW w:w="860" w:type="dxa"/>
            <w:vAlign w:val="bottom"/>
            <w:tcBorders>
              <w:top w:val="single" w:sz="8" w:color="0000EE"/>
            </w:tcBorders>
          </w:tcPr>
          <w:p>
            <w:pPr>
              <w:spacing w:after="0"/>
              <w:rPr>
                <w:sz w:val="22"/>
                <w:szCs w:val="22"/>
                <w:color w:val="auto"/>
              </w:rPr>
            </w:pPr>
          </w:p>
        </w:tc>
        <w:tc>
          <w:tcPr>
            <w:tcW w:w="1020" w:type="dxa"/>
            <w:vAlign w:val="bottom"/>
            <w:tcBorders>
              <w:top w:val="single" w:sz="8" w:color="0000EE"/>
            </w:tcBorders>
          </w:tcPr>
          <w:p>
            <w:pPr>
              <w:spacing w:after="0"/>
              <w:rPr>
                <w:sz w:val="22"/>
                <w:szCs w:val="22"/>
                <w:color w:val="auto"/>
              </w:rPr>
            </w:pPr>
          </w:p>
        </w:tc>
        <w:tc>
          <w:tcPr>
            <w:tcW w:w="128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1180" w:type="dxa"/>
            <w:vAlign w:val="bottom"/>
            <w:tcBorders>
              <w:top w:val="single" w:sz="8" w:color="0000EE"/>
            </w:tcBorders>
          </w:tcPr>
          <w:p>
            <w:pPr>
              <w:spacing w:after="0"/>
              <w:rPr>
                <w:sz w:val="22"/>
                <w:szCs w:val="22"/>
                <w:color w:val="auto"/>
              </w:rPr>
            </w:pPr>
          </w:p>
        </w:tc>
        <w:tc>
          <w:tcPr>
            <w:tcW w:w="280" w:type="dxa"/>
            <w:vAlign w:val="bottom"/>
            <w:tcBorders>
              <w:top w:val="single" w:sz="8" w:color="0000EE"/>
            </w:tcBorders>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21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3</w:t>
            </w:r>
          </w:p>
        </w:tc>
      </w:tr>
      <w:tr>
        <w:trPr>
          <w:trHeight w:val="263"/>
        </w:trPr>
        <w:tc>
          <w:tcPr>
            <w:tcW w:w="40" w:type="dxa"/>
            <w:vAlign w:val="bottom"/>
          </w:tcPr>
          <w:p>
            <w:pPr>
              <w:spacing w:after="0"/>
              <w:rPr>
                <w:sz w:val="22"/>
                <w:szCs w:val="22"/>
                <w:color w:val="auto"/>
              </w:rPr>
            </w:pPr>
          </w:p>
        </w:tc>
        <w:tc>
          <w:tcPr>
            <w:tcW w:w="902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0000EE"/>
              </w:rPr>
              <w:t>ITEM 1. IDENTITY OF DIRECTORS, SENIOR MANAGEMENT AND ADVISERS</w:t>
            </w:r>
          </w:p>
        </w:tc>
        <w:tc>
          <w:tcPr>
            <w:tcW w:w="21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3</w:t>
            </w:r>
          </w:p>
        </w:tc>
      </w:tr>
      <w:tr>
        <w:trPr>
          <w:trHeight w:val="264"/>
        </w:trPr>
        <w:tc>
          <w:tcPr>
            <w:tcW w:w="40" w:type="dxa"/>
            <w:vAlign w:val="bottom"/>
          </w:tcPr>
          <w:p>
            <w:pPr>
              <w:spacing w:after="0"/>
              <w:rPr>
                <w:sz w:val="22"/>
                <w:szCs w:val="22"/>
                <w:color w:val="auto"/>
              </w:rPr>
            </w:pPr>
          </w:p>
        </w:tc>
        <w:tc>
          <w:tcPr>
            <w:tcW w:w="656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b w:val="1"/>
                <w:bCs w:val="1"/>
                <w:color w:val="0000EE"/>
              </w:rPr>
              <w:t>ITEM 2. OFFER STATISTICS AND EXPECTED TIMETABLE</w:t>
            </w:r>
          </w:p>
        </w:tc>
        <w:tc>
          <w:tcPr>
            <w:tcW w:w="2460" w:type="dxa"/>
            <w:vAlign w:val="bottom"/>
            <w:gridSpan w:val="2"/>
          </w:tcPr>
          <w:p>
            <w:pPr>
              <w:spacing w:after="0"/>
              <w:rPr>
                <w:sz w:val="22"/>
                <w:szCs w:val="22"/>
                <w:color w:val="auto"/>
              </w:rPr>
            </w:pPr>
          </w:p>
        </w:tc>
        <w:tc>
          <w:tcPr>
            <w:tcW w:w="21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3</w:t>
            </w:r>
          </w:p>
        </w:tc>
      </w:tr>
      <w:tr>
        <w:trPr>
          <w:trHeight w:val="263"/>
        </w:trPr>
        <w:tc>
          <w:tcPr>
            <w:tcW w:w="40" w:type="dxa"/>
            <w:vAlign w:val="bottom"/>
          </w:tcPr>
          <w:p>
            <w:pPr>
              <w:spacing w:after="0"/>
              <w:rPr>
                <w:sz w:val="22"/>
                <w:szCs w:val="22"/>
                <w:color w:val="auto"/>
              </w:rPr>
            </w:pPr>
          </w:p>
        </w:tc>
        <w:tc>
          <w:tcPr>
            <w:tcW w:w="496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b w:val="1"/>
                <w:bCs w:val="1"/>
                <w:color w:val="0000EE"/>
              </w:rPr>
              <w:t>ITEM 3. KEY INFORMATION</w:t>
            </w:r>
          </w:p>
        </w:tc>
        <w:tc>
          <w:tcPr>
            <w:tcW w:w="4060" w:type="dxa"/>
            <w:vAlign w:val="bottom"/>
            <w:gridSpan w:val="6"/>
          </w:tcPr>
          <w:p>
            <w:pPr>
              <w:spacing w:after="0"/>
              <w:rPr>
                <w:sz w:val="22"/>
                <w:szCs w:val="22"/>
                <w:color w:val="auto"/>
              </w:rPr>
            </w:pPr>
          </w:p>
        </w:tc>
        <w:tc>
          <w:tcPr>
            <w:tcW w:w="21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3</w:t>
            </w:r>
          </w:p>
        </w:tc>
      </w:tr>
      <w:tr>
        <w:trPr>
          <w:trHeight w:val="304"/>
        </w:trPr>
        <w:tc>
          <w:tcPr>
            <w:tcW w:w="40" w:type="dxa"/>
            <w:vAlign w:val="bottom"/>
          </w:tcPr>
          <w:p>
            <w:pPr>
              <w:spacing w:after="0"/>
              <w:rPr>
                <w:sz w:val="24"/>
                <w:szCs w:val="24"/>
                <w:color w:val="auto"/>
              </w:rPr>
            </w:pPr>
          </w:p>
        </w:tc>
        <w:tc>
          <w:tcPr>
            <w:tcW w:w="580" w:type="dxa"/>
            <w:vAlign w:val="bottom"/>
            <w:tcBorders>
              <w:top w:val="single" w:sz="8" w:color="0000EE"/>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A.</w:t>
            </w:r>
          </w:p>
        </w:tc>
        <w:tc>
          <w:tcPr>
            <w:tcW w:w="1880" w:type="dxa"/>
            <w:vAlign w:val="bottom"/>
            <w:tcBorders>
              <w:top w:val="single" w:sz="8" w:color="0000EE"/>
            </w:tcBorders>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[Reserved.]</w:t>
            </w:r>
          </w:p>
        </w:tc>
        <w:tc>
          <w:tcPr>
            <w:tcW w:w="6560" w:type="dxa"/>
            <w:vAlign w:val="bottom"/>
            <w:gridSpan w:val="9"/>
          </w:tcPr>
          <w:p>
            <w:pPr>
              <w:spacing w:after="0"/>
              <w:rPr>
                <w:sz w:val="24"/>
                <w:szCs w:val="24"/>
                <w:color w:val="auto"/>
              </w:rPr>
            </w:pPr>
          </w:p>
        </w:tc>
        <w:tc>
          <w:tcPr>
            <w:tcW w:w="21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3</w:t>
            </w:r>
          </w:p>
        </w:tc>
      </w:tr>
      <w:tr>
        <w:trPr>
          <w:trHeight w:val="284"/>
        </w:trPr>
        <w:tc>
          <w:tcPr>
            <w:tcW w:w="40" w:type="dxa"/>
            <w:vAlign w:val="bottom"/>
          </w:tcPr>
          <w:p>
            <w:pPr>
              <w:spacing w:after="0"/>
              <w:rPr>
                <w:sz w:val="24"/>
                <w:szCs w:val="24"/>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B.</w:t>
            </w:r>
          </w:p>
        </w:tc>
        <w:tc>
          <w:tcPr>
            <w:tcW w:w="8440" w:type="dxa"/>
            <w:vAlign w:val="bottom"/>
            <w:gridSpan w:val="11"/>
          </w:tcPr>
          <w:p>
            <w:pPr>
              <w:ind w:left="320"/>
              <w:spacing w:after="0"/>
              <w:rPr>
                <w:sz w:val="20"/>
                <w:szCs w:val="20"/>
                <w:color w:val="auto"/>
              </w:rPr>
            </w:pPr>
            <w:r>
              <w:rPr>
                <w:rFonts w:ascii="Times New Roman" w:cs="Times New Roman" w:eastAsia="Times New Roman" w:hAnsi="Times New Roman"/>
                <w:sz w:val="18"/>
                <w:szCs w:val="18"/>
                <w:b w:val="1"/>
                <w:bCs w:val="1"/>
                <w:color w:val="auto"/>
              </w:rPr>
              <w:t>Capitalization and Indebtedness</w:t>
            </w:r>
          </w:p>
        </w:tc>
        <w:tc>
          <w:tcPr>
            <w:tcW w:w="21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3</w:t>
            </w:r>
          </w:p>
        </w:tc>
      </w:tr>
      <w:tr>
        <w:trPr>
          <w:trHeight w:val="283"/>
        </w:trPr>
        <w:tc>
          <w:tcPr>
            <w:tcW w:w="40" w:type="dxa"/>
            <w:vAlign w:val="bottom"/>
          </w:tcPr>
          <w:p>
            <w:pPr>
              <w:spacing w:after="0"/>
              <w:rPr>
                <w:sz w:val="24"/>
                <w:szCs w:val="24"/>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C.</w:t>
            </w:r>
          </w:p>
        </w:tc>
        <w:tc>
          <w:tcPr>
            <w:tcW w:w="8440" w:type="dxa"/>
            <w:vAlign w:val="bottom"/>
            <w:gridSpan w:val="11"/>
          </w:tcPr>
          <w:p>
            <w:pPr>
              <w:ind w:left="320"/>
              <w:spacing w:after="0"/>
              <w:rPr>
                <w:sz w:val="20"/>
                <w:szCs w:val="20"/>
                <w:color w:val="auto"/>
              </w:rPr>
            </w:pPr>
            <w:r>
              <w:rPr>
                <w:rFonts w:ascii="Times New Roman" w:cs="Times New Roman" w:eastAsia="Times New Roman" w:hAnsi="Times New Roman"/>
                <w:sz w:val="18"/>
                <w:szCs w:val="18"/>
                <w:b w:val="1"/>
                <w:bCs w:val="1"/>
                <w:color w:val="auto"/>
              </w:rPr>
              <w:t>Reasons for the Offer and Use of Proceeds</w:t>
            </w:r>
          </w:p>
        </w:tc>
        <w:tc>
          <w:tcPr>
            <w:tcW w:w="21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3</w:t>
            </w:r>
          </w:p>
        </w:tc>
      </w:tr>
      <w:tr>
        <w:trPr>
          <w:trHeight w:val="283"/>
        </w:trPr>
        <w:tc>
          <w:tcPr>
            <w:tcW w:w="40" w:type="dxa"/>
            <w:vAlign w:val="bottom"/>
          </w:tcPr>
          <w:p>
            <w:pPr>
              <w:spacing w:after="0"/>
              <w:rPr>
                <w:sz w:val="24"/>
                <w:szCs w:val="24"/>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D.</w:t>
            </w:r>
          </w:p>
        </w:tc>
        <w:tc>
          <w:tcPr>
            <w:tcW w:w="8440" w:type="dxa"/>
            <w:vAlign w:val="bottom"/>
            <w:gridSpan w:val="11"/>
          </w:tcPr>
          <w:p>
            <w:pPr>
              <w:ind w:left="32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21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40" w:type="dxa"/>
            <w:vAlign w:val="bottom"/>
          </w:tcPr>
          <w:p>
            <w:pPr>
              <w:spacing w:after="0"/>
              <w:rPr>
                <w:sz w:val="21"/>
                <w:szCs w:val="21"/>
                <w:color w:val="auto"/>
              </w:rPr>
            </w:pPr>
          </w:p>
        </w:tc>
        <w:tc>
          <w:tcPr>
            <w:tcW w:w="37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b w:val="1"/>
                <w:bCs w:val="1"/>
                <w:color w:val="0000EE"/>
                <w:w w:val="98"/>
              </w:rPr>
              <w:t>ITEM 4. INFORMATION ON THE COMPANY</w:t>
            </w:r>
          </w:p>
        </w:tc>
        <w:tc>
          <w:tcPr>
            <w:tcW w:w="5280" w:type="dxa"/>
            <w:vAlign w:val="bottom"/>
            <w:gridSpan w:val="8"/>
          </w:tcPr>
          <w:p>
            <w:pPr>
              <w:spacing w:after="0"/>
              <w:rPr>
                <w:sz w:val="21"/>
                <w:szCs w:val="21"/>
                <w:color w:val="auto"/>
              </w:rPr>
            </w:pPr>
          </w:p>
        </w:tc>
        <w:tc>
          <w:tcPr>
            <w:tcW w:w="21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50</w:t>
            </w:r>
          </w:p>
        </w:tc>
      </w:tr>
      <w:tr>
        <w:trPr>
          <w:trHeight w:val="304"/>
        </w:trPr>
        <w:tc>
          <w:tcPr>
            <w:tcW w:w="40" w:type="dxa"/>
            <w:vAlign w:val="bottom"/>
          </w:tcPr>
          <w:p>
            <w:pPr>
              <w:spacing w:after="0"/>
              <w:rPr>
                <w:sz w:val="24"/>
                <w:szCs w:val="24"/>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A.</w:t>
            </w:r>
          </w:p>
        </w:tc>
        <w:tc>
          <w:tcPr>
            <w:tcW w:w="8440" w:type="dxa"/>
            <w:vAlign w:val="bottom"/>
            <w:gridSpan w:val="11"/>
          </w:tcPr>
          <w:p>
            <w:pPr>
              <w:ind w:left="320"/>
              <w:spacing w:after="0"/>
              <w:rPr>
                <w:sz w:val="20"/>
                <w:szCs w:val="20"/>
                <w:color w:val="auto"/>
              </w:rPr>
            </w:pPr>
            <w:r>
              <w:rPr>
                <w:rFonts w:ascii="Times New Roman" w:cs="Times New Roman" w:eastAsia="Times New Roman" w:hAnsi="Times New Roman"/>
                <w:sz w:val="18"/>
                <w:szCs w:val="18"/>
                <w:b w:val="1"/>
                <w:bCs w:val="1"/>
                <w:color w:val="auto"/>
              </w:rPr>
              <w:t>History and Development of the Company</w:t>
            </w:r>
          </w:p>
        </w:tc>
        <w:tc>
          <w:tcPr>
            <w:tcW w:w="21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50</w:t>
            </w:r>
          </w:p>
        </w:tc>
      </w:tr>
      <w:tr>
        <w:trPr>
          <w:trHeight w:val="283"/>
        </w:trPr>
        <w:tc>
          <w:tcPr>
            <w:tcW w:w="40" w:type="dxa"/>
            <w:vAlign w:val="bottom"/>
          </w:tcPr>
          <w:p>
            <w:pPr>
              <w:spacing w:after="0"/>
              <w:rPr>
                <w:sz w:val="24"/>
                <w:szCs w:val="24"/>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B.</w:t>
            </w:r>
          </w:p>
        </w:tc>
        <w:tc>
          <w:tcPr>
            <w:tcW w:w="8440" w:type="dxa"/>
            <w:vAlign w:val="bottom"/>
            <w:gridSpan w:val="11"/>
          </w:tcPr>
          <w:p>
            <w:pPr>
              <w:ind w:left="320"/>
              <w:spacing w:after="0"/>
              <w:rPr>
                <w:sz w:val="20"/>
                <w:szCs w:val="20"/>
                <w:color w:val="auto"/>
              </w:rPr>
            </w:pPr>
            <w:r>
              <w:rPr>
                <w:rFonts w:ascii="Times New Roman" w:cs="Times New Roman" w:eastAsia="Times New Roman" w:hAnsi="Times New Roman"/>
                <w:sz w:val="18"/>
                <w:szCs w:val="18"/>
                <w:b w:val="1"/>
                <w:bCs w:val="1"/>
                <w:color w:val="auto"/>
              </w:rPr>
              <w:t>Business Overview</w:t>
            </w:r>
          </w:p>
        </w:tc>
        <w:tc>
          <w:tcPr>
            <w:tcW w:w="21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50</w:t>
            </w:r>
          </w:p>
        </w:tc>
      </w:tr>
      <w:tr>
        <w:trPr>
          <w:trHeight w:val="284"/>
        </w:trPr>
        <w:tc>
          <w:tcPr>
            <w:tcW w:w="40" w:type="dxa"/>
            <w:vAlign w:val="bottom"/>
          </w:tcPr>
          <w:p>
            <w:pPr>
              <w:spacing w:after="0"/>
              <w:rPr>
                <w:sz w:val="24"/>
                <w:szCs w:val="24"/>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C.</w:t>
            </w:r>
          </w:p>
        </w:tc>
        <w:tc>
          <w:tcPr>
            <w:tcW w:w="8440" w:type="dxa"/>
            <w:vAlign w:val="bottom"/>
            <w:gridSpan w:val="11"/>
          </w:tcPr>
          <w:p>
            <w:pPr>
              <w:ind w:left="320"/>
              <w:spacing w:after="0"/>
              <w:rPr>
                <w:sz w:val="20"/>
                <w:szCs w:val="20"/>
                <w:color w:val="auto"/>
              </w:rPr>
            </w:pPr>
            <w:r>
              <w:rPr>
                <w:rFonts w:ascii="Times New Roman" w:cs="Times New Roman" w:eastAsia="Times New Roman" w:hAnsi="Times New Roman"/>
                <w:sz w:val="18"/>
                <w:szCs w:val="18"/>
                <w:b w:val="1"/>
                <w:bCs w:val="1"/>
                <w:color w:val="auto"/>
              </w:rPr>
              <w:t>Organizational Structure</w:t>
            </w:r>
          </w:p>
        </w:tc>
        <w:tc>
          <w:tcPr>
            <w:tcW w:w="21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68</w:t>
            </w:r>
          </w:p>
        </w:tc>
      </w:tr>
      <w:tr>
        <w:trPr>
          <w:trHeight w:val="283"/>
        </w:trPr>
        <w:tc>
          <w:tcPr>
            <w:tcW w:w="40" w:type="dxa"/>
            <w:vAlign w:val="bottom"/>
          </w:tcPr>
          <w:p>
            <w:pPr>
              <w:spacing w:after="0"/>
              <w:rPr>
                <w:sz w:val="24"/>
                <w:szCs w:val="24"/>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D.</w:t>
            </w:r>
          </w:p>
        </w:tc>
        <w:tc>
          <w:tcPr>
            <w:tcW w:w="8440" w:type="dxa"/>
            <w:vAlign w:val="bottom"/>
            <w:gridSpan w:val="11"/>
          </w:tcPr>
          <w:p>
            <w:pPr>
              <w:ind w:left="320"/>
              <w:spacing w:after="0"/>
              <w:rPr>
                <w:sz w:val="20"/>
                <w:szCs w:val="20"/>
                <w:color w:val="auto"/>
              </w:rPr>
            </w:pPr>
            <w:r>
              <w:rPr>
                <w:rFonts w:ascii="Times New Roman" w:cs="Times New Roman" w:eastAsia="Times New Roman" w:hAnsi="Times New Roman"/>
                <w:sz w:val="18"/>
                <w:szCs w:val="18"/>
                <w:b w:val="1"/>
                <w:bCs w:val="1"/>
                <w:color w:val="auto"/>
              </w:rPr>
              <w:t>Property, Plants and Equipment</w:t>
            </w:r>
          </w:p>
        </w:tc>
        <w:tc>
          <w:tcPr>
            <w:tcW w:w="21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69</w:t>
            </w:r>
          </w:p>
        </w:tc>
      </w:tr>
      <w:tr>
        <w:trPr>
          <w:trHeight w:val="243"/>
        </w:trPr>
        <w:tc>
          <w:tcPr>
            <w:tcW w:w="40" w:type="dxa"/>
            <w:vAlign w:val="bottom"/>
          </w:tcPr>
          <w:p>
            <w:pPr>
              <w:spacing w:after="0"/>
              <w:rPr>
                <w:sz w:val="21"/>
                <w:szCs w:val="21"/>
                <w:color w:val="auto"/>
              </w:rPr>
            </w:pPr>
          </w:p>
        </w:tc>
        <w:tc>
          <w:tcPr>
            <w:tcW w:w="902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0000EE"/>
              </w:rPr>
              <w:t>ITEM 4A. UNRESOLVED STAFF COMMENTS</w:t>
            </w:r>
          </w:p>
        </w:tc>
        <w:tc>
          <w:tcPr>
            <w:tcW w:w="21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69</w:t>
            </w:r>
          </w:p>
        </w:tc>
      </w:tr>
      <w:tr>
        <w:trPr>
          <w:trHeight w:val="20"/>
        </w:trPr>
        <w:tc>
          <w:tcPr>
            <w:tcW w:w="40" w:type="dxa"/>
            <w:vAlign w:val="bottom"/>
          </w:tcPr>
          <w:p>
            <w:pPr>
              <w:spacing w:after="0" w:line="20" w:lineRule="exact"/>
              <w:rPr>
                <w:sz w:val="1"/>
                <w:szCs w:val="1"/>
                <w:color w:val="auto"/>
              </w:rPr>
            </w:pPr>
          </w:p>
        </w:tc>
        <w:tc>
          <w:tcPr>
            <w:tcW w:w="3780" w:type="dxa"/>
            <w:vAlign w:val="bottom"/>
            <w:gridSpan w:val="5"/>
            <w:shd w:val="clear" w:color="auto" w:fill="0000EE"/>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902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0000EE"/>
              </w:rPr>
              <w:t>ITEM 5. OPERATING AND FINANCIAL REVIEW AND PROSPECTS</w:t>
            </w:r>
          </w:p>
        </w:tc>
        <w:tc>
          <w:tcPr>
            <w:tcW w:w="21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69</w:t>
            </w:r>
          </w:p>
        </w:tc>
      </w:tr>
      <w:tr>
        <w:trPr>
          <w:trHeight w:val="304"/>
        </w:trPr>
        <w:tc>
          <w:tcPr>
            <w:tcW w:w="40" w:type="dxa"/>
            <w:vAlign w:val="bottom"/>
          </w:tcPr>
          <w:p>
            <w:pPr>
              <w:spacing w:after="0"/>
              <w:rPr>
                <w:sz w:val="24"/>
                <w:szCs w:val="24"/>
                <w:color w:val="auto"/>
              </w:rPr>
            </w:pPr>
          </w:p>
        </w:tc>
        <w:tc>
          <w:tcPr>
            <w:tcW w:w="580" w:type="dxa"/>
            <w:vAlign w:val="bottom"/>
            <w:tcBorders>
              <w:top w:val="single" w:sz="8" w:color="0000EE"/>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A.</w:t>
            </w:r>
          </w:p>
        </w:tc>
        <w:tc>
          <w:tcPr>
            <w:tcW w:w="5020" w:type="dxa"/>
            <w:vAlign w:val="bottom"/>
            <w:tcBorders>
              <w:top w:val="single" w:sz="8" w:color="0000EE"/>
            </w:tcBorders>
            <w:gridSpan w:val="8"/>
          </w:tcPr>
          <w:p>
            <w:pPr>
              <w:ind w:left="320"/>
              <w:spacing w:after="0"/>
              <w:rPr>
                <w:sz w:val="20"/>
                <w:szCs w:val="20"/>
                <w:color w:val="auto"/>
              </w:rPr>
            </w:pPr>
            <w:r>
              <w:rPr>
                <w:rFonts w:ascii="Times New Roman" w:cs="Times New Roman" w:eastAsia="Times New Roman" w:hAnsi="Times New Roman"/>
                <w:sz w:val="18"/>
                <w:szCs w:val="18"/>
                <w:b w:val="1"/>
                <w:bCs w:val="1"/>
                <w:color w:val="auto"/>
              </w:rPr>
              <w:t>Operating Results</w:t>
            </w:r>
          </w:p>
        </w:tc>
        <w:tc>
          <w:tcPr>
            <w:tcW w:w="3420" w:type="dxa"/>
            <w:vAlign w:val="bottom"/>
            <w:gridSpan w:val="3"/>
          </w:tcPr>
          <w:p>
            <w:pPr>
              <w:spacing w:after="0"/>
              <w:rPr>
                <w:sz w:val="24"/>
                <w:szCs w:val="24"/>
                <w:color w:val="auto"/>
              </w:rPr>
            </w:pPr>
          </w:p>
        </w:tc>
        <w:tc>
          <w:tcPr>
            <w:tcW w:w="21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77</w:t>
            </w:r>
          </w:p>
        </w:tc>
      </w:tr>
      <w:tr>
        <w:trPr>
          <w:trHeight w:val="283"/>
        </w:trPr>
        <w:tc>
          <w:tcPr>
            <w:tcW w:w="40" w:type="dxa"/>
            <w:vAlign w:val="bottom"/>
          </w:tcPr>
          <w:p>
            <w:pPr>
              <w:spacing w:after="0"/>
              <w:rPr>
                <w:sz w:val="24"/>
                <w:szCs w:val="24"/>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B.</w:t>
            </w:r>
          </w:p>
        </w:tc>
        <w:tc>
          <w:tcPr>
            <w:tcW w:w="8440" w:type="dxa"/>
            <w:vAlign w:val="bottom"/>
            <w:gridSpan w:val="11"/>
          </w:tcPr>
          <w:p>
            <w:pPr>
              <w:ind w:left="3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tc>
        <w:tc>
          <w:tcPr>
            <w:tcW w:w="21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82</w:t>
            </w:r>
          </w:p>
        </w:tc>
      </w:tr>
      <w:tr>
        <w:trPr>
          <w:trHeight w:val="284"/>
        </w:trPr>
        <w:tc>
          <w:tcPr>
            <w:tcW w:w="40" w:type="dxa"/>
            <w:vAlign w:val="bottom"/>
          </w:tcPr>
          <w:p>
            <w:pPr>
              <w:spacing w:after="0"/>
              <w:rPr>
                <w:sz w:val="24"/>
                <w:szCs w:val="24"/>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C.</w:t>
            </w:r>
          </w:p>
        </w:tc>
        <w:tc>
          <w:tcPr>
            <w:tcW w:w="8440" w:type="dxa"/>
            <w:vAlign w:val="bottom"/>
            <w:gridSpan w:val="11"/>
          </w:tcPr>
          <w:p>
            <w:pPr>
              <w:ind w:left="320"/>
              <w:spacing w:after="0"/>
              <w:rPr>
                <w:sz w:val="20"/>
                <w:szCs w:val="20"/>
                <w:color w:val="auto"/>
              </w:rPr>
            </w:pPr>
            <w:r>
              <w:rPr>
                <w:rFonts w:ascii="Times New Roman" w:cs="Times New Roman" w:eastAsia="Times New Roman" w:hAnsi="Times New Roman"/>
                <w:sz w:val="18"/>
                <w:szCs w:val="18"/>
                <w:b w:val="1"/>
                <w:bCs w:val="1"/>
                <w:color w:val="auto"/>
              </w:rPr>
              <w:t>Research and Development, Patents and Licenses, Etc.</w:t>
            </w:r>
          </w:p>
        </w:tc>
        <w:tc>
          <w:tcPr>
            <w:tcW w:w="21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85</w:t>
            </w:r>
          </w:p>
        </w:tc>
      </w:tr>
      <w:tr>
        <w:trPr>
          <w:trHeight w:val="283"/>
        </w:trPr>
        <w:tc>
          <w:tcPr>
            <w:tcW w:w="40" w:type="dxa"/>
            <w:vAlign w:val="bottom"/>
          </w:tcPr>
          <w:p>
            <w:pPr>
              <w:spacing w:after="0"/>
              <w:rPr>
                <w:sz w:val="24"/>
                <w:szCs w:val="24"/>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D.</w:t>
            </w:r>
          </w:p>
        </w:tc>
        <w:tc>
          <w:tcPr>
            <w:tcW w:w="8440" w:type="dxa"/>
            <w:vAlign w:val="bottom"/>
            <w:gridSpan w:val="11"/>
          </w:tcPr>
          <w:p>
            <w:pPr>
              <w:ind w:left="320"/>
              <w:spacing w:after="0"/>
              <w:rPr>
                <w:sz w:val="20"/>
                <w:szCs w:val="20"/>
                <w:color w:val="auto"/>
              </w:rPr>
            </w:pPr>
            <w:r>
              <w:rPr>
                <w:rFonts w:ascii="Times New Roman" w:cs="Times New Roman" w:eastAsia="Times New Roman" w:hAnsi="Times New Roman"/>
                <w:sz w:val="18"/>
                <w:szCs w:val="18"/>
                <w:b w:val="1"/>
                <w:bCs w:val="1"/>
                <w:color w:val="auto"/>
              </w:rPr>
              <w:t>Trend Information</w:t>
            </w:r>
          </w:p>
        </w:tc>
        <w:tc>
          <w:tcPr>
            <w:tcW w:w="21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85</w:t>
            </w:r>
          </w:p>
        </w:tc>
      </w:tr>
      <w:tr>
        <w:trPr>
          <w:trHeight w:val="283"/>
        </w:trPr>
        <w:tc>
          <w:tcPr>
            <w:tcW w:w="40" w:type="dxa"/>
            <w:vAlign w:val="bottom"/>
          </w:tcPr>
          <w:p>
            <w:pPr>
              <w:spacing w:after="0"/>
              <w:rPr>
                <w:sz w:val="24"/>
                <w:szCs w:val="24"/>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E.</w:t>
            </w:r>
          </w:p>
        </w:tc>
        <w:tc>
          <w:tcPr>
            <w:tcW w:w="8440" w:type="dxa"/>
            <w:vAlign w:val="bottom"/>
            <w:gridSpan w:val="11"/>
          </w:tcPr>
          <w:p>
            <w:pPr>
              <w:ind w:left="32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tc>
        <w:tc>
          <w:tcPr>
            <w:tcW w:w="21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85</w:t>
            </w:r>
          </w:p>
        </w:tc>
      </w:tr>
      <w:tr>
        <w:trPr>
          <w:trHeight w:val="243"/>
        </w:trPr>
        <w:tc>
          <w:tcPr>
            <w:tcW w:w="40" w:type="dxa"/>
            <w:vAlign w:val="bottom"/>
          </w:tcPr>
          <w:p>
            <w:pPr>
              <w:spacing w:after="0"/>
              <w:rPr>
                <w:sz w:val="21"/>
                <w:szCs w:val="21"/>
                <w:color w:val="auto"/>
              </w:rPr>
            </w:pPr>
          </w:p>
        </w:tc>
        <w:tc>
          <w:tcPr>
            <w:tcW w:w="902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0000EE"/>
              </w:rPr>
              <w:t>ITEM 6. DIRECTORS, SENIOR MANAGEMENT AND EMPLOYEES</w:t>
            </w:r>
          </w:p>
        </w:tc>
        <w:tc>
          <w:tcPr>
            <w:tcW w:w="21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89</w:t>
            </w:r>
          </w:p>
        </w:tc>
      </w:tr>
      <w:tr>
        <w:trPr>
          <w:trHeight w:val="304"/>
        </w:trPr>
        <w:tc>
          <w:tcPr>
            <w:tcW w:w="40" w:type="dxa"/>
            <w:vAlign w:val="bottom"/>
          </w:tcPr>
          <w:p>
            <w:pPr>
              <w:spacing w:after="0"/>
              <w:rPr>
                <w:sz w:val="24"/>
                <w:szCs w:val="24"/>
                <w:color w:val="auto"/>
              </w:rPr>
            </w:pPr>
          </w:p>
        </w:tc>
        <w:tc>
          <w:tcPr>
            <w:tcW w:w="580" w:type="dxa"/>
            <w:vAlign w:val="bottom"/>
            <w:tcBorders>
              <w:top w:val="single" w:sz="8" w:color="0000EE"/>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A.</w:t>
            </w:r>
          </w:p>
        </w:tc>
        <w:tc>
          <w:tcPr>
            <w:tcW w:w="4980" w:type="dxa"/>
            <w:vAlign w:val="bottom"/>
            <w:tcBorders>
              <w:top w:val="single" w:sz="8" w:color="0000EE"/>
            </w:tcBorders>
            <w:gridSpan w:val="7"/>
          </w:tcPr>
          <w:p>
            <w:pPr>
              <w:ind w:left="320"/>
              <w:spacing w:after="0"/>
              <w:rPr>
                <w:sz w:val="20"/>
                <w:szCs w:val="20"/>
                <w:color w:val="auto"/>
              </w:rPr>
            </w:pPr>
            <w:r>
              <w:rPr>
                <w:rFonts w:ascii="Times New Roman" w:cs="Times New Roman" w:eastAsia="Times New Roman" w:hAnsi="Times New Roman"/>
                <w:sz w:val="18"/>
                <w:szCs w:val="18"/>
                <w:b w:val="1"/>
                <w:bCs w:val="1"/>
                <w:color w:val="auto"/>
              </w:rPr>
              <w:t>Directors and Senior Management</w:t>
            </w:r>
          </w:p>
        </w:tc>
        <w:tc>
          <w:tcPr>
            <w:tcW w:w="3460" w:type="dxa"/>
            <w:vAlign w:val="bottom"/>
            <w:gridSpan w:val="4"/>
          </w:tcPr>
          <w:p>
            <w:pPr>
              <w:spacing w:after="0"/>
              <w:rPr>
                <w:sz w:val="24"/>
                <w:szCs w:val="24"/>
                <w:color w:val="auto"/>
              </w:rPr>
            </w:pPr>
          </w:p>
        </w:tc>
        <w:tc>
          <w:tcPr>
            <w:tcW w:w="21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89</w:t>
            </w:r>
          </w:p>
        </w:tc>
      </w:tr>
      <w:tr>
        <w:trPr>
          <w:trHeight w:val="283"/>
        </w:trPr>
        <w:tc>
          <w:tcPr>
            <w:tcW w:w="40" w:type="dxa"/>
            <w:vAlign w:val="bottom"/>
          </w:tcPr>
          <w:p>
            <w:pPr>
              <w:spacing w:after="0"/>
              <w:rPr>
                <w:sz w:val="24"/>
                <w:szCs w:val="24"/>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B.</w:t>
            </w:r>
          </w:p>
        </w:tc>
        <w:tc>
          <w:tcPr>
            <w:tcW w:w="8440" w:type="dxa"/>
            <w:vAlign w:val="bottom"/>
            <w:gridSpan w:val="11"/>
          </w:tcPr>
          <w:p>
            <w:pPr>
              <w:ind w:left="3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21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94</w:t>
            </w:r>
          </w:p>
        </w:tc>
      </w:tr>
      <w:tr>
        <w:trPr>
          <w:trHeight w:val="283"/>
        </w:trPr>
        <w:tc>
          <w:tcPr>
            <w:tcW w:w="40" w:type="dxa"/>
            <w:vAlign w:val="bottom"/>
          </w:tcPr>
          <w:p>
            <w:pPr>
              <w:spacing w:after="0"/>
              <w:rPr>
                <w:sz w:val="24"/>
                <w:szCs w:val="24"/>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C.</w:t>
            </w:r>
          </w:p>
        </w:tc>
        <w:tc>
          <w:tcPr>
            <w:tcW w:w="8440" w:type="dxa"/>
            <w:vAlign w:val="bottom"/>
            <w:gridSpan w:val="11"/>
          </w:tcPr>
          <w:p>
            <w:pPr>
              <w:ind w:left="320"/>
              <w:spacing w:after="0"/>
              <w:rPr>
                <w:sz w:val="20"/>
                <w:szCs w:val="20"/>
                <w:color w:val="auto"/>
              </w:rPr>
            </w:pPr>
            <w:r>
              <w:rPr>
                <w:rFonts w:ascii="Times New Roman" w:cs="Times New Roman" w:eastAsia="Times New Roman" w:hAnsi="Times New Roman"/>
                <w:sz w:val="18"/>
                <w:szCs w:val="18"/>
                <w:b w:val="1"/>
                <w:bCs w:val="1"/>
                <w:color w:val="auto"/>
              </w:rPr>
              <w:t>Board Practices</w:t>
            </w:r>
          </w:p>
        </w:tc>
        <w:tc>
          <w:tcPr>
            <w:tcW w:w="21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103</w:t>
            </w:r>
          </w:p>
        </w:tc>
      </w:tr>
      <w:tr>
        <w:trPr>
          <w:trHeight w:val="284"/>
        </w:trPr>
        <w:tc>
          <w:tcPr>
            <w:tcW w:w="40" w:type="dxa"/>
            <w:vAlign w:val="bottom"/>
          </w:tcPr>
          <w:p>
            <w:pPr>
              <w:spacing w:after="0"/>
              <w:rPr>
                <w:sz w:val="24"/>
                <w:szCs w:val="24"/>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D.</w:t>
            </w:r>
          </w:p>
        </w:tc>
        <w:tc>
          <w:tcPr>
            <w:tcW w:w="8440" w:type="dxa"/>
            <w:vAlign w:val="bottom"/>
            <w:gridSpan w:val="11"/>
          </w:tcPr>
          <w:p>
            <w:pPr>
              <w:ind w:left="320"/>
              <w:spacing w:after="0"/>
              <w:rPr>
                <w:sz w:val="20"/>
                <w:szCs w:val="20"/>
                <w:color w:val="auto"/>
              </w:rPr>
            </w:pPr>
            <w:r>
              <w:rPr>
                <w:rFonts w:ascii="Times New Roman" w:cs="Times New Roman" w:eastAsia="Times New Roman" w:hAnsi="Times New Roman"/>
                <w:sz w:val="18"/>
                <w:szCs w:val="18"/>
                <w:b w:val="1"/>
                <w:bCs w:val="1"/>
                <w:color w:val="auto"/>
              </w:rPr>
              <w:t>Employees</w:t>
            </w:r>
          </w:p>
        </w:tc>
        <w:tc>
          <w:tcPr>
            <w:tcW w:w="21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116</w:t>
            </w:r>
          </w:p>
        </w:tc>
      </w:tr>
      <w:tr>
        <w:trPr>
          <w:trHeight w:val="283"/>
        </w:trPr>
        <w:tc>
          <w:tcPr>
            <w:tcW w:w="40" w:type="dxa"/>
            <w:vAlign w:val="bottom"/>
          </w:tcPr>
          <w:p>
            <w:pPr>
              <w:spacing w:after="0"/>
              <w:rPr>
                <w:sz w:val="24"/>
                <w:szCs w:val="24"/>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E.</w:t>
            </w:r>
          </w:p>
        </w:tc>
        <w:tc>
          <w:tcPr>
            <w:tcW w:w="8440" w:type="dxa"/>
            <w:vAlign w:val="bottom"/>
            <w:gridSpan w:val="11"/>
          </w:tcPr>
          <w:p>
            <w:pPr>
              <w:ind w:left="320"/>
              <w:spacing w:after="0"/>
              <w:rPr>
                <w:sz w:val="20"/>
                <w:szCs w:val="20"/>
                <w:color w:val="auto"/>
              </w:rPr>
            </w:pPr>
            <w:r>
              <w:rPr>
                <w:rFonts w:ascii="Times New Roman" w:cs="Times New Roman" w:eastAsia="Times New Roman" w:hAnsi="Times New Roman"/>
                <w:sz w:val="18"/>
                <w:szCs w:val="18"/>
                <w:b w:val="1"/>
                <w:bCs w:val="1"/>
                <w:color w:val="auto"/>
              </w:rPr>
              <w:t>Share Ownership</w:t>
            </w:r>
          </w:p>
        </w:tc>
        <w:tc>
          <w:tcPr>
            <w:tcW w:w="21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116</w:t>
            </w:r>
          </w:p>
        </w:tc>
      </w:tr>
      <w:tr>
        <w:trPr>
          <w:trHeight w:val="283"/>
        </w:trPr>
        <w:tc>
          <w:tcPr>
            <w:tcW w:w="40" w:type="dxa"/>
            <w:vAlign w:val="bottom"/>
          </w:tcPr>
          <w:p>
            <w:pPr>
              <w:spacing w:after="0"/>
              <w:rPr>
                <w:sz w:val="24"/>
                <w:szCs w:val="24"/>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F.</w:t>
            </w:r>
          </w:p>
        </w:tc>
        <w:tc>
          <w:tcPr>
            <w:tcW w:w="8440" w:type="dxa"/>
            <w:vAlign w:val="bottom"/>
            <w:gridSpan w:val="11"/>
          </w:tcPr>
          <w:p>
            <w:pPr>
              <w:ind w:left="320"/>
              <w:spacing w:after="0"/>
              <w:rPr>
                <w:sz w:val="20"/>
                <w:szCs w:val="20"/>
                <w:color w:val="auto"/>
              </w:rPr>
            </w:pPr>
            <w:r>
              <w:rPr>
                <w:rFonts w:ascii="Times New Roman" w:cs="Times New Roman" w:eastAsia="Times New Roman" w:hAnsi="Times New Roman"/>
                <w:sz w:val="18"/>
                <w:szCs w:val="18"/>
                <w:b w:val="1"/>
                <w:bCs w:val="1"/>
                <w:color w:val="auto"/>
              </w:rPr>
              <w:t>Disclosure of a Registrant’s Action to Recover Erroneously Awarded Compensation</w:t>
            </w:r>
          </w:p>
        </w:tc>
        <w:tc>
          <w:tcPr>
            <w:tcW w:w="21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116</w:t>
            </w:r>
          </w:p>
        </w:tc>
      </w:tr>
      <w:tr>
        <w:trPr>
          <w:trHeight w:val="439"/>
        </w:trPr>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35"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63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b w:val="1"/>
                <w:bCs w:val="1"/>
                <w:color w:val="0000EE"/>
                <w:w w:val="99"/>
              </w:rPr>
              <w:t>ITEM 7. MAJOR SHAREHOLDERS AND RELATED PARTY TRANSACTIONS</w:t>
            </w:r>
          </w:p>
        </w:tc>
        <w:tc>
          <w:tcPr>
            <w:tcW w:w="4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116</w:t>
            </w:r>
          </w:p>
        </w:tc>
      </w:tr>
      <w:tr>
        <w:trPr>
          <w:trHeight w:val="304"/>
        </w:trPr>
        <w:tc>
          <w:tcPr>
            <w:tcW w:w="40" w:type="dxa"/>
            <w:vAlign w:val="bottom"/>
          </w:tcPr>
          <w:p>
            <w:pPr>
              <w:spacing w:after="0"/>
              <w:rPr>
                <w:sz w:val="24"/>
                <w:szCs w:val="24"/>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A.</w:t>
            </w:r>
          </w:p>
        </w:tc>
        <w:tc>
          <w:tcPr>
            <w:tcW w:w="566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Major Shareholders</w:t>
            </w:r>
          </w:p>
        </w:tc>
        <w:tc>
          <w:tcPr>
            <w:tcW w:w="4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116</w:t>
            </w:r>
          </w:p>
        </w:tc>
      </w:tr>
      <w:tr>
        <w:trPr>
          <w:trHeight w:val="283"/>
        </w:trPr>
        <w:tc>
          <w:tcPr>
            <w:tcW w:w="40" w:type="dxa"/>
            <w:vAlign w:val="bottom"/>
          </w:tcPr>
          <w:p>
            <w:pPr>
              <w:spacing w:after="0"/>
              <w:rPr>
                <w:sz w:val="24"/>
                <w:szCs w:val="24"/>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B.</w:t>
            </w:r>
          </w:p>
        </w:tc>
        <w:tc>
          <w:tcPr>
            <w:tcW w:w="566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tc>
        <w:tc>
          <w:tcPr>
            <w:tcW w:w="4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120</w:t>
            </w:r>
          </w:p>
        </w:tc>
      </w:tr>
      <w:tr>
        <w:trPr>
          <w:trHeight w:val="283"/>
        </w:trPr>
        <w:tc>
          <w:tcPr>
            <w:tcW w:w="40" w:type="dxa"/>
            <w:vAlign w:val="bottom"/>
          </w:tcPr>
          <w:p>
            <w:pPr>
              <w:spacing w:after="0"/>
              <w:rPr>
                <w:sz w:val="24"/>
                <w:szCs w:val="24"/>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C.</w:t>
            </w:r>
          </w:p>
        </w:tc>
        <w:tc>
          <w:tcPr>
            <w:tcW w:w="566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Interests of Experts and Counsel</w:t>
            </w:r>
          </w:p>
        </w:tc>
        <w:tc>
          <w:tcPr>
            <w:tcW w:w="4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122</w:t>
            </w:r>
          </w:p>
        </w:tc>
      </w:tr>
      <w:tr>
        <w:trPr>
          <w:trHeight w:val="243"/>
        </w:trPr>
        <w:tc>
          <w:tcPr>
            <w:tcW w:w="40" w:type="dxa"/>
            <w:vAlign w:val="bottom"/>
          </w:tcPr>
          <w:p>
            <w:pPr>
              <w:spacing w:after="0"/>
              <w:rPr>
                <w:sz w:val="21"/>
                <w:szCs w:val="21"/>
                <w:color w:val="auto"/>
              </w:rPr>
            </w:pPr>
          </w:p>
        </w:tc>
        <w:tc>
          <w:tcPr>
            <w:tcW w:w="31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b w:val="1"/>
                <w:bCs w:val="1"/>
                <w:color w:val="0000EE"/>
                <w:w w:val="99"/>
              </w:rPr>
              <w:t>ITEM 8. FINANCIAL INFORMATION</w:t>
            </w:r>
          </w:p>
        </w:tc>
        <w:tc>
          <w:tcPr>
            <w:tcW w:w="3260" w:type="dxa"/>
            <w:vAlign w:val="bottom"/>
            <w:gridSpan w:val="2"/>
          </w:tcPr>
          <w:p>
            <w:pPr>
              <w:spacing w:after="0"/>
              <w:rPr>
                <w:sz w:val="21"/>
                <w:szCs w:val="21"/>
                <w:color w:val="auto"/>
              </w:rPr>
            </w:pPr>
          </w:p>
        </w:tc>
        <w:tc>
          <w:tcPr>
            <w:tcW w:w="4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122</w:t>
            </w:r>
          </w:p>
        </w:tc>
      </w:tr>
      <w:tr>
        <w:trPr>
          <w:trHeight w:val="304"/>
        </w:trPr>
        <w:tc>
          <w:tcPr>
            <w:tcW w:w="40" w:type="dxa"/>
            <w:vAlign w:val="bottom"/>
          </w:tcPr>
          <w:p>
            <w:pPr>
              <w:spacing w:after="0"/>
              <w:rPr>
                <w:sz w:val="24"/>
                <w:szCs w:val="24"/>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A.</w:t>
            </w:r>
          </w:p>
        </w:tc>
        <w:tc>
          <w:tcPr>
            <w:tcW w:w="566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Consolidated Statements and Other Financial Information</w:t>
            </w:r>
          </w:p>
        </w:tc>
        <w:tc>
          <w:tcPr>
            <w:tcW w:w="4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122</w:t>
            </w:r>
          </w:p>
        </w:tc>
      </w:tr>
      <w:tr>
        <w:trPr>
          <w:trHeight w:val="283"/>
        </w:trPr>
        <w:tc>
          <w:tcPr>
            <w:tcW w:w="40" w:type="dxa"/>
            <w:vAlign w:val="bottom"/>
          </w:tcPr>
          <w:p>
            <w:pPr>
              <w:spacing w:after="0"/>
              <w:rPr>
                <w:sz w:val="24"/>
                <w:szCs w:val="24"/>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B.</w:t>
            </w:r>
          </w:p>
        </w:tc>
        <w:tc>
          <w:tcPr>
            <w:tcW w:w="566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Significant Changes</w:t>
            </w:r>
          </w:p>
        </w:tc>
        <w:tc>
          <w:tcPr>
            <w:tcW w:w="4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123</w:t>
            </w:r>
          </w:p>
        </w:tc>
      </w:tr>
      <w:tr>
        <w:trPr>
          <w:trHeight w:val="243"/>
        </w:trPr>
        <w:tc>
          <w:tcPr>
            <w:tcW w:w="40" w:type="dxa"/>
            <w:vAlign w:val="bottom"/>
          </w:tcPr>
          <w:p>
            <w:pPr>
              <w:spacing w:after="0"/>
              <w:rPr>
                <w:sz w:val="21"/>
                <w:szCs w:val="21"/>
                <w:color w:val="auto"/>
              </w:rPr>
            </w:pPr>
          </w:p>
        </w:tc>
        <w:tc>
          <w:tcPr>
            <w:tcW w:w="63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EE"/>
              </w:rPr>
              <w:t>ITEM 9. THE OFFER AND LISTING</w:t>
            </w:r>
          </w:p>
        </w:tc>
        <w:tc>
          <w:tcPr>
            <w:tcW w:w="4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123</w:t>
            </w:r>
          </w:p>
        </w:tc>
      </w:tr>
      <w:tr>
        <w:trPr>
          <w:trHeight w:val="304"/>
        </w:trPr>
        <w:tc>
          <w:tcPr>
            <w:tcW w:w="40" w:type="dxa"/>
            <w:vAlign w:val="bottom"/>
          </w:tcPr>
          <w:p>
            <w:pPr>
              <w:spacing w:after="0"/>
              <w:rPr>
                <w:sz w:val="24"/>
                <w:szCs w:val="24"/>
                <w:color w:val="auto"/>
              </w:rPr>
            </w:pPr>
          </w:p>
        </w:tc>
        <w:tc>
          <w:tcPr>
            <w:tcW w:w="700" w:type="dxa"/>
            <w:vAlign w:val="bottom"/>
            <w:tcBorders>
              <w:top w:val="single" w:sz="8" w:color="0000EE"/>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A.</w:t>
            </w:r>
          </w:p>
        </w:tc>
        <w:tc>
          <w:tcPr>
            <w:tcW w:w="2260" w:type="dxa"/>
            <w:vAlign w:val="bottom"/>
            <w:tcBorders>
              <w:top w:val="single" w:sz="8" w:color="0000EE"/>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Offer and Listing Details</w:t>
            </w:r>
          </w:p>
        </w:tc>
        <w:tc>
          <w:tcPr>
            <w:tcW w:w="3400" w:type="dxa"/>
            <w:vAlign w:val="bottom"/>
            <w:gridSpan w:val="3"/>
          </w:tcPr>
          <w:p>
            <w:pPr>
              <w:spacing w:after="0"/>
              <w:rPr>
                <w:sz w:val="24"/>
                <w:szCs w:val="24"/>
                <w:color w:val="auto"/>
              </w:rPr>
            </w:pPr>
          </w:p>
        </w:tc>
        <w:tc>
          <w:tcPr>
            <w:tcW w:w="4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123</w:t>
            </w:r>
          </w:p>
        </w:tc>
      </w:tr>
      <w:tr>
        <w:trPr>
          <w:trHeight w:val="283"/>
        </w:trPr>
        <w:tc>
          <w:tcPr>
            <w:tcW w:w="40" w:type="dxa"/>
            <w:vAlign w:val="bottom"/>
          </w:tcPr>
          <w:p>
            <w:pPr>
              <w:spacing w:after="0"/>
              <w:rPr>
                <w:sz w:val="24"/>
                <w:szCs w:val="24"/>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B.</w:t>
            </w:r>
          </w:p>
        </w:tc>
        <w:tc>
          <w:tcPr>
            <w:tcW w:w="566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Plan of Distribution</w:t>
            </w:r>
          </w:p>
        </w:tc>
        <w:tc>
          <w:tcPr>
            <w:tcW w:w="4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123</w:t>
            </w:r>
          </w:p>
        </w:tc>
      </w:tr>
      <w:tr>
        <w:trPr>
          <w:trHeight w:val="283"/>
        </w:trPr>
        <w:tc>
          <w:tcPr>
            <w:tcW w:w="40" w:type="dxa"/>
            <w:vAlign w:val="bottom"/>
          </w:tcPr>
          <w:p>
            <w:pPr>
              <w:spacing w:after="0"/>
              <w:rPr>
                <w:sz w:val="24"/>
                <w:szCs w:val="24"/>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C.</w:t>
            </w:r>
          </w:p>
        </w:tc>
        <w:tc>
          <w:tcPr>
            <w:tcW w:w="566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Markets</w:t>
            </w:r>
          </w:p>
        </w:tc>
        <w:tc>
          <w:tcPr>
            <w:tcW w:w="4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123</w:t>
            </w:r>
          </w:p>
        </w:tc>
      </w:tr>
      <w:tr>
        <w:trPr>
          <w:trHeight w:val="283"/>
        </w:trPr>
        <w:tc>
          <w:tcPr>
            <w:tcW w:w="40" w:type="dxa"/>
            <w:vAlign w:val="bottom"/>
          </w:tcPr>
          <w:p>
            <w:pPr>
              <w:spacing w:after="0"/>
              <w:rPr>
                <w:sz w:val="24"/>
                <w:szCs w:val="24"/>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D.</w:t>
            </w:r>
          </w:p>
        </w:tc>
        <w:tc>
          <w:tcPr>
            <w:tcW w:w="566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Selling Shareholders</w:t>
            </w:r>
          </w:p>
        </w:tc>
        <w:tc>
          <w:tcPr>
            <w:tcW w:w="4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123</w:t>
            </w:r>
          </w:p>
        </w:tc>
      </w:tr>
      <w:tr>
        <w:trPr>
          <w:trHeight w:val="283"/>
        </w:trPr>
        <w:tc>
          <w:tcPr>
            <w:tcW w:w="40" w:type="dxa"/>
            <w:vAlign w:val="bottom"/>
          </w:tcPr>
          <w:p>
            <w:pPr>
              <w:spacing w:after="0"/>
              <w:rPr>
                <w:sz w:val="24"/>
                <w:szCs w:val="24"/>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E.</w:t>
            </w:r>
          </w:p>
        </w:tc>
        <w:tc>
          <w:tcPr>
            <w:tcW w:w="566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Dilution</w:t>
            </w:r>
          </w:p>
        </w:tc>
        <w:tc>
          <w:tcPr>
            <w:tcW w:w="4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123</w:t>
            </w:r>
          </w:p>
        </w:tc>
      </w:tr>
      <w:tr>
        <w:trPr>
          <w:trHeight w:val="284"/>
        </w:trPr>
        <w:tc>
          <w:tcPr>
            <w:tcW w:w="40" w:type="dxa"/>
            <w:vAlign w:val="bottom"/>
          </w:tcPr>
          <w:p>
            <w:pPr>
              <w:spacing w:after="0"/>
              <w:rPr>
                <w:sz w:val="24"/>
                <w:szCs w:val="24"/>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F.</w:t>
            </w:r>
          </w:p>
        </w:tc>
        <w:tc>
          <w:tcPr>
            <w:tcW w:w="566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Expenses of the Issue</w:t>
            </w:r>
          </w:p>
        </w:tc>
        <w:tc>
          <w:tcPr>
            <w:tcW w:w="4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123</w:t>
            </w:r>
          </w:p>
        </w:tc>
      </w:tr>
      <w:tr>
        <w:trPr>
          <w:trHeight w:val="243"/>
        </w:trPr>
        <w:tc>
          <w:tcPr>
            <w:tcW w:w="40" w:type="dxa"/>
            <w:vAlign w:val="bottom"/>
          </w:tcPr>
          <w:p>
            <w:pPr>
              <w:spacing w:after="0"/>
              <w:rPr>
                <w:sz w:val="21"/>
                <w:szCs w:val="21"/>
                <w:color w:val="auto"/>
              </w:rPr>
            </w:pPr>
          </w:p>
        </w:tc>
        <w:tc>
          <w:tcPr>
            <w:tcW w:w="33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b w:val="1"/>
                <w:bCs w:val="1"/>
                <w:color w:val="0000EE"/>
                <w:w w:val="99"/>
              </w:rPr>
              <w:t>ITEM 10. ADDITIONAL INFORMATION</w:t>
            </w:r>
          </w:p>
        </w:tc>
        <w:tc>
          <w:tcPr>
            <w:tcW w:w="3020" w:type="dxa"/>
            <w:vAlign w:val="bottom"/>
          </w:tcPr>
          <w:p>
            <w:pPr>
              <w:spacing w:after="0"/>
              <w:rPr>
                <w:sz w:val="21"/>
                <w:szCs w:val="21"/>
                <w:color w:val="auto"/>
              </w:rPr>
            </w:pPr>
          </w:p>
        </w:tc>
        <w:tc>
          <w:tcPr>
            <w:tcW w:w="4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123</w:t>
            </w:r>
          </w:p>
        </w:tc>
      </w:tr>
      <w:tr>
        <w:trPr>
          <w:trHeight w:val="304"/>
        </w:trPr>
        <w:tc>
          <w:tcPr>
            <w:tcW w:w="40" w:type="dxa"/>
            <w:vAlign w:val="bottom"/>
          </w:tcPr>
          <w:p>
            <w:pPr>
              <w:spacing w:after="0"/>
              <w:rPr>
                <w:sz w:val="24"/>
                <w:szCs w:val="24"/>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A.</w:t>
            </w:r>
          </w:p>
        </w:tc>
        <w:tc>
          <w:tcPr>
            <w:tcW w:w="566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Share Capital</w:t>
            </w:r>
          </w:p>
        </w:tc>
        <w:tc>
          <w:tcPr>
            <w:tcW w:w="4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123</w:t>
            </w:r>
          </w:p>
        </w:tc>
      </w:tr>
      <w:tr>
        <w:trPr>
          <w:trHeight w:val="283"/>
        </w:trPr>
        <w:tc>
          <w:tcPr>
            <w:tcW w:w="40" w:type="dxa"/>
            <w:vAlign w:val="bottom"/>
          </w:tcPr>
          <w:p>
            <w:pPr>
              <w:spacing w:after="0"/>
              <w:rPr>
                <w:sz w:val="24"/>
                <w:szCs w:val="24"/>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B.</w:t>
            </w:r>
          </w:p>
        </w:tc>
        <w:tc>
          <w:tcPr>
            <w:tcW w:w="566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Memorandum and Articles of Association</w:t>
            </w:r>
          </w:p>
        </w:tc>
        <w:tc>
          <w:tcPr>
            <w:tcW w:w="4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123</w:t>
            </w:r>
          </w:p>
        </w:tc>
      </w:tr>
      <w:tr>
        <w:trPr>
          <w:trHeight w:val="283"/>
        </w:trPr>
        <w:tc>
          <w:tcPr>
            <w:tcW w:w="40" w:type="dxa"/>
            <w:vAlign w:val="bottom"/>
          </w:tcPr>
          <w:p>
            <w:pPr>
              <w:spacing w:after="0"/>
              <w:rPr>
                <w:sz w:val="24"/>
                <w:szCs w:val="24"/>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C.</w:t>
            </w:r>
          </w:p>
        </w:tc>
        <w:tc>
          <w:tcPr>
            <w:tcW w:w="566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Material Contracts</w:t>
            </w:r>
          </w:p>
        </w:tc>
        <w:tc>
          <w:tcPr>
            <w:tcW w:w="4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124</w:t>
            </w:r>
          </w:p>
        </w:tc>
      </w:tr>
      <w:tr>
        <w:trPr>
          <w:trHeight w:val="283"/>
        </w:trPr>
        <w:tc>
          <w:tcPr>
            <w:tcW w:w="40" w:type="dxa"/>
            <w:vAlign w:val="bottom"/>
          </w:tcPr>
          <w:p>
            <w:pPr>
              <w:spacing w:after="0"/>
              <w:rPr>
                <w:sz w:val="24"/>
                <w:szCs w:val="24"/>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D.</w:t>
            </w:r>
          </w:p>
        </w:tc>
        <w:tc>
          <w:tcPr>
            <w:tcW w:w="566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Exchange Controls</w:t>
            </w:r>
          </w:p>
        </w:tc>
        <w:tc>
          <w:tcPr>
            <w:tcW w:w="4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124</w:t>
            </w:r>
          </w:p>
        </w:tc>
      </w:tr>
      <w:tr>
        <w:trPr>
          <w:trHeight w:val="284"/>
        </w:trPr>
        <w:tc>
          <w:tcPr>
            <w:tcW w:w="40" w:type="dxa"/>
            <w:vAlign w:val="bottom"/>
          </w:tcPr>
          <w:p>
            <w:pPr>
              <w:spacing w:after="0"/>
              <w:rPr>
                <w:sz w:val="24"/>
                <w:szCs w:val="24"/>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E.</w:t>
            </w:r>
          </w:p>
        </w:tc>
        <w:tc>
          <w:tcPr>
            <w:tcW w:w="566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Taxation</w:t>
            </w:r>
          </w:p>
        </w:tc>
        <w:tc>
          <w:tcPr>
            <w:tcW w:w="4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124</w:t>
            </w:r>
          </w:p>
        </w:tc>
      </w:tr>
      <w:tr>
        <w:trPr>
          <w:trHeight w:val="283"/>
        </w:trPr>
        <w:tc>
          <w:tcPr>
            <w:tcW w:w="40" w:type="dxa"/>
            <w:vAlign w:val="bottom"/>
          </w:tcPr>
          <w:p>
            <w:pPr>
              <w:spacing w:after="0"/>
              <w:rPr>
                <w:sz w:val="24"/>
                <w:szCs w:val="24"/>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F.</w:t>
            </w:r>
          </w:p>
        </w:tc>
        <w:tc>
          <w:tcPr>
            <w:tcW w:w="566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Dividends and Paying Agents</w:t>
            </w:r>
          </w:p>
        </w:tc>
        <w:tc>
          <w:tcPr>
            <w:tcW w:w="4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134</w:t>
            </w:r>
          </w:p>
        </w:tc>
      </w:tr>
      <w:tr>
        <w:trPr>
          <w:trHeight w:val="283"/>
        </w:trPr>
        <w:tc>
          <w:tcPr>
            <w:tcW w:w="40" w:type="dxa"/>
            <w:vAlign w:val="bottom"/>
          </w:tcPr>
          <w:p>
            <w:pPr>
              <w:spacing w:after="0"/>
              <w:rPr>
                <w:sz w:val="24"/>
                <w:szCs w:val="24"/>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G.</w:t>
            </w:r>
          </w:p>
        </w:tc>
        <w:tc>
          <w:tcPr>
            <w:tcW w:w="566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Statement by Experts</w:t>
            </w:r>
          </w:p>
        </w:tc>
        <w:tc>
          <w:tcPr>
            <w:tcW w:w="4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134</w:t>
            </w:r>
          </w:p>
        </w:tc>
      </w:tr>
      <w:tr>
        <w:trPr>
          <w:trHeight w:val="283"/>
        </w:trPr>
        <w:tc>
          <w:tcPr>
            <w:tcW w:w="40" w:type="dxa"/>
            <w:vAlign w:val="bottom"/>
          </w:tcPr>
          <w:p>
            <w:pPr>
              <w:spacing w:after="0"/>
              <w:rPr>
                <w:sz w:val="24"/>
                <w:szCs w:val="24"/>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H.</w:t>
            </w:r>
          </w:p>
        </w:tc>
        <w:tc>
          <w:tcPr>
            <w:tcW w:w="566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Documents on Display</w:t>
            </w:r>
          </w:p>
        </w:tc>
        <w:tc>
          <w:tcPr>
            <w:tcW w:w="4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135</w:t>
            </w:r>
          </w:p>
        </w:tc>
      </w:tr>
      <w:tr>
        <w:trPr>
          <w:trHeight w:val="284"/>
        </w:trPr>
        <w:tc>
          <w:tcPr>
            <w:tcW w:w="40" w:type="dxa"/>
            <w:vAlign w:val="bottom"/>
          </w:tcPr>
          <w:p>
            <w:pPr>
              <w:spacing w:after="0"/>
              <w:rPr>
                <w:sz w:val="24"/>
                <w:szCs w:val="24"/>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I.</w:t>
            </w:r>
          </w:p>
        </w:tc>
        <w:tc>
          <w:tcPr>
            <w:tcW w:w="566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Subsidiary Information</w:t>
            </w:r>
          </w:p>
        </w:tc>
        <w:tc>
          <w:tcPr>
            <w:tcW w:w="4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135</w:t>
            </w:r>
          </w:p>
        </w:tc>
      </w:tr>
      <w:tr>
        <w:trPr>
          <w:trHeight w:val="283"/>
        </w:trPr>
        <w:tc>
          <w:tcPr>
            <w:tcW w:w="40" w:type="dxa"/>
            <w:vAlign w:val="bottom"/>
          </w:tcPr>
          <w:p>
            <w:pPr>
              <w:spacing w:after="0"/>
              <w:rPr>
                <w:sz w:val="24"/>
                <w:szCs w:val="24"/>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J.</w:t>
            </w:r>
          </w:p>
        </w:tc>
        <w:tc>
          <w:tcPr>
            <w:tcW w:w="566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Annual Report to Security Holders</w:t>
            </w:r>
          </w:p>
        </w:tc>
        <w:tc>
          <w:tcPr>
            <w:tcW w:w="4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135</w:t>
            </w:r>
          </w:p>
        </w:tc>
      </w:tr>
      <w:tr>
        <w:trPr>
          <w:trHeight w:val="453"/>
        </w:trPr>
        <w:tc>
          <w:tcPr>
            <w:tcW w:w="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51"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724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b w:val="1"/>
                <w:bCs w:val="1"/>
                <w:color w:val="0000EE"/>
                <w:w w:val="98"/>
              </w:rPr>
              <w:t>ITEM 11. QUANTITATIVE AND QUALITATIVE DISCLOSURES ABOUT MARKET RISK</w:t>
            </w:r>
          </w:p>
        </w:tc>
        <w:tc>
          <w:tcPr>
            <w:tcW w:w="2700" w:type="dxa"/>
            <w:vAlign w:val="bottom"/>
            <w:gridSpan w:val="5"/>
          </w:tcPr>
          <w:p>
            <w:pPr>
              <w:spacing w:after="0"/>
              <w:rPr>
                <w:sz w:val="17"/>
                <w:szCs w:val="17"/>
                <w:color w:val="auto"/>
              </w:rPr>
            </w:pPr>
          </w:p>
        </w:tc>
        <w:tc>
          <w:tcPr>
            <w:tcW w:w="12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135</w:t>
            </w:r>
          </w:p>
        </w:tc>
      </w:tr>
      <w:tr>
        <w:trPr>
          <w:trHeight w:val="264"/>
        </w:trPr>
        <w:tc>
          <w:tcPr>
            <w:tcW w:w="40" w:type="dxa"/>
            <w:vAlign w:val="bottom"/>
          </w:tcPr>
          <w:p>
            <w:pPr>
              <w:spacing w:after="0"/>
              <w:rPr>
                <w:sz w:val="22"/>
                <w:szCs w:val="22"/>
                <w:color w:val="auto"/>
              </w:rPr>
            </w:pPr>
          </w:p>
        </w:tc>
        <w:tc>
          <w:tcPr>
            <w:tcW w:w="662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b w:val="1"/>
                <w:bCs w:val="1"/>
                <w:color w:val="0000EE"/>
                <w:w w:val="99"/>
              </w:rPr>
              <w:t>ITEM 12. DESCRIPTION OF SECURITIES OTHER THAN EQUITY SECURITIES</w:t>
            </w:r>
          </w:p>
        </w:tc>
        <w:tc>
          <w:tcPr>
            <w:tcW w:w="3320" w:type="dxa"/>
            <w:vAlign w:val="bottom"/>
            <w:gridSpan w:val="6"/>
          </w:tcPr>
          <w:p>
            <w:pPr>
              <w:spacing w:after="0"/>
              <w:rPr>
                <w:sz w:val="22"/>
                <w:szCs w:val="22"/>
                <w:color w:val="auto"/>
              </w:rPr>
            </w:pPr>
          </w:p>
        </w:tc>
        <w:tc>
          <w:tcPr>
            <w:tcW w:w="12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136</w:t>
            </w:r>
          </w:p>
        </w:tc>
      </w:tr>
      <w:tr>
        <w:trPr>
          <w:trHeight w:val="263"/>
        </w:trPr>
        <w:tc>
          <w:tcPr>
            <w:tcW w:w="40" w:type="dxa"/>
            <w:vAlign w:val="bottom"/>
          </w:tcPr>
          <w:p>
            <w:pPr>
              <w:spacing w:after="0"/>
              <w:rPr>
                <w:sz w:val="22"/>
                <w:szCs w:val="22"/>
                <w:color w:val="auto"/>
              </w:rPr>
            </w:pPr>
          </w:p>
        </w:tc>
        <w:tc>
          <w:tcPr>
            <w:tcW w:w="6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EE"/>
                <w:w w:val="94"/>
              </w:rPr>
              <w:t>PART II</w:t>
            </w:r>
          </w:p>
        </w:tc>
        <w:tc>
          <w:tcPr>
            <w:tcW w:w="9280" w:type="dxa"/>
            <w:vAlign w:val="bottom"/>
            <w:gridSpan w:val="21"/>
          </w:tcPr>
          <w:p>
            <w:pPr>
              <w:spacing w:after="0"/>
              <w:rPr>
                <w:sz w:val="22"/>
                <w:szCs w:val="22"/>
                <w:color w:val="auto"/>
              </w:rPr>
            </w:pPr>
          </w:p>
        </w:tc>
        <w:tc>
          <w:tcPr>
            <w:tcW w:w="12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136</w:t>
            </w:r>
          </w:p>
        </w:tc>
      </w:tr>
      <w:tr>
        <w:trPr>
          <w:trHeight w:val="263"/>
        </w:trPr>
        <w:tc>
          <w:tcPr>
            <w:tcW w:w="40" w:type="dxa"/>
            <w:vAlign w:val="bottom"/>
          </w:tcPr>
          <w:p>
            <w:pPr>
              <w:spacing w:after="0"/>
              <w:rPr>
                <w:sz w:val="22"/>
                <w:szCs w:val="22"/>
                <w:color w:val="auto"/>
              </w:rPr>
            </w:pPr>
          </w:p>
        </w:tc>
        <w:tc>
          <w:tcPr>
            <w:tcW w:w="602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b w:val="1"/>
                <w:bCs w:val="1"/>
                <w:color w:val="0000EE"/>
                <w:w w:val="99"/>
              </w:rPr>
              <w:t>ITEM 13. DEFAULTS, DIVIDEND ARREARAGES AND DELINQUENCIES</w:t>
            </w:r>
          </w:p>
        </w:tc>
        <w:tc>
          <w:tcPr>
            <w:tcW w:w="3920" w:type="dxa"/>
            <w:vAlign w:val="bottom"/>
            <w:gridSpan w:val="7"/>
          </w:tcPr>
          <w:p>
            <w:pPr>
              <w:spacing w:after="0"/>
              <w:rPr>
                <w:sz w:val="22"/>
                <w:szCs w:val="22"/>
                <w:color w:val="auto"/>
              </w:rPr>
            </w:pPr>
          </w:p>
        </w:tc>
        <w:tc>
          <w:tcPr>
            <w:tcW w:w="12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136</w:t>
            </w:r>
          </w:p>
        </w:tc>
      </w:tr>
      <w:tr>
        <w:trPr>
          <w:trHeight w:val="263"/>
        </w:trPr>
        <w:tc>
          <w:tcPr>
            <w:tcW w:w="40" w:type="dxa"/>
            <w:vAlign w:val="bottom"/>
          </w:tcPr>
          <w:p>
            <w:pPr>
              <w:spacing w:after="0"/>
              <w:rPr>
                <w:sz w:val="22"/>
                <w:szCs w:val="22"/>
                <w:color w:val="auto"/>
              </w:rPr>
            </w:pPr>
          </w:p>
        </w:tc>
        <w:tc>
          <w:tcPr>
            <w:tcW w:w="994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ITEM 14. MATERIAL MODIFICATIONS TO THE RIGHTS OF SECURITY HOLDERS AND USE OF PROCEEDS</w:t>
            </w:r>
          </w:p>
        </w:tc>
        <w:tc>
          <w:tcPr>
            <w:tcW w:w="12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136</w:t>
            </w:r>
          </w:p>
        </w:tc>
      </w:tr>
      <w:tr>
        <w:trPr>
          <w:trHeight w:val="264"/>
        </w:trPr>
        <w:tc>
          <w:tcPr>
            <w:tcW w:w="40" w:type="dxa"/>
            <w:vAlign w:val="bottom"/>
          </w:tcPr>
          <w:p>
            <w:pPr>
              <w:spacing w:after="0"/>
              <w:rPr>
                <w:sz w:val="22"/>
                <w:szCs w:val="22"/>
                <w:color w:val="auto"/>
              </w:rPr>
            </w:pPr>
          </w:p>
        </w:tc>
        <w:tc>
          <w:tcPr>
            <w:tcW w:w="3520" w:type="dxa"/>
            <w:vAlign w:val="bottom"/>
            <w:tcBorders>
              <w:top w:val="single" w:sz="8" w:color="0000EE"/>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b w:val="1"/>
                <w:bCs w:val="1"/>
                <w:color w:val="0000EE"/>
                <w:w w:val="99"/>
              </w:rPr>
              <w:t>ITEM 15. CONTROLS AND PROCEDURES</w:t>
            </w:r>
          </w:p>
        </w:tc>
        <w:tc>
          <w:tcPr>
            <w:tcW w:w="5600" w:type="dxa"/>
            <w:vAlign w:val="bottom"/>
            <w:tcBorders>
              <w:top w:val="single" w:sz="8" w:color="0000EE"/>
            </w:tcBorders>
            <w:gridSpan w:val="10"/>
          </w:tcPr>
          <w:p>
            <w:pPr>
              <w:spacing w:after="0"/>
              <w:rPr>
                <w:sz w:val="22"/>
                <w:szCs w:val="22"/>
                <w:color w:val="auto"/>
              </w:rPr>
            </w:pPr>
          </w:p>
        </w:tc>
        <w:tc>
          <w:tcPr>
            <w:tcW w:w="820" w:type="dxa"/>
            <w:vAlign w:val="bottom"/>
          </w:tcPr>
          <w:p>
            <w:pPr>
              <w:spacing w:after="0"/>
              <w:rPr>
                <w:sz w:val="22"/>
                <w:szCs w:val="22"/>
                <w:color w:val="auto"/>
              </w:rPr>
            </w:pPr>
          </w:p>
        </w:tc>
        <w:tc>
          <w:tcPr>
            <w:tcW w:w="12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137</w:t>
            </w:r>
          </w:p>
        </w:tc>
      </w:tr>
      <w:tr>
        <w:trPr>
          <w:trHeight w:val="263"/>
        </w:trPr>
        <w:tc>
          <w:tcPr>
            <w:tcW w:w="40" w:type="dxa"/>
            <w:vAlign w:val="bottom"/>
          </w:tcPr>
          <w:p>
            <w:pPr>
              <w:spacing w:after="0"/>
              <w:rPr>
                <w:sz w:val="22"/>
                <w:szCs w:val="22"/>
                <w:color w:val="auto"/>
              </w:rPr>
            </w:pPr>
          </w:p>
        </w:tc>
        <w:tc>
          <w:tcPr>
            <w:tcW w:w="994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ITEM 16. [RESERVED]</w:t>
            </w:r>
          </w:p>
        </w:tc>
        <w:tc>
          <w:tcPr>
            <w:tcW w:w="12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137</w:t>
            </w:r>
          </w:p>
        </w:tc>
      </w:tr>
      <w:tr>
        <w:trPr>
          <w:trHeight w:val="20"/>
        </w:trPr>
        <w:tc>
          <w:tcPr>
            <w:tcW w:w="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454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b w:val="1"/>
                <w:bCs w:val="1"/>
                <w:color w:val="0000EE"/>
                <w:w w:val="99"/>
              </w:rPr>
              <w:t>ITEM 16A. AUDIT COMMITTEE FINANCIAL EXPERT</w:t>
            </w:r>
          </w:p>
        </w:tc>
        <w:tc>
          <w:tcPr>
            <w:tcW w:w="5400" w:type="dxa"/>
            <w:vAlign w:val="bottom"/>
            <w:gridSpan w:val="10"/>
          </w:tcPr>
          <w:p>
            <w:pPr>
              <w:spacing w:after="0"/>
              <w:rPr>
                <w:sz w:val="22"/>
                <w:szCs w:val="22"/>
                <w:color w:val="auto"/>
              </w:rPr>
            </w:pPr>
          </w:p>
        </w:tc>
        <w:tc>
          <w:tcPr>
            <w:tcW w:w="12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137</w:t>
            </w:r>
          </w:p>
        </w:tc>
      </w:tr>
      <w:tr>
        <w:trPr>
          <w:trHeight w:val="263"/>
        </w:trPr>
        <w:tc>
          <w:tcPr>
            <w:tcW w:w="40" w:type="dxa"/>
            <w:vAlign w:val="bottom"/>
          </w:tcPr>
          <w:p>
            <w:pPr>
              <w:spacing w:after="0"/>
              <w:rPr>
                <w:sz w:val="22"/>
                <w:szCs w:val="22"/>
                <w:color w:val="auto"/>
              </w:rPr>
            </w:pPr>
          </w:p>
        </w:tc>
        <w:tc>
          <w:tcPr>
            <w:tcW w:w="994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ITEM 16B. CODE OF ETHICS</w:t>
            </w:r>
          </w:p>
        </w:tc>
        <w:tc>
          <w:tcPr>
            <w:tcW w:w="12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138</w:t>
            </w:r>
          </w:p>
        </w:tc>
      </w:tr>
      <w:tr>
        <w:trPr>
          <w:trHeight w:val="20"/>
        </w:trPr>
        <w:tc>
          <w:tcPr>
            <w:tcW w:w="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510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b w:val="1"/>
                <w:bCs w:val="1"/>
                <w:color w:val="0000EE"/>
                <w:w w:val="98"/>
              </w:rPr>
              <w:t>ITEM 16C. PRINCIPAL ACCOUNTANT FEES AND SERVICES</w:t>
            </w:r>
          </w:p>
        </w:tc>
        <w:tc>
          <w:tcPr>
            <w:tcW w:w="4840" w:type="dxa"/>
            <w:vAlign w:val="bottom"/>
            <w:gridSpan w:val="9"/>
          </w:tcPr>
          <w:p>
            <w:pPr>
              <w:spacing w:after="0"/>
              <w:rPr>
                <w:sz w:val="22"/>
                <w:szCs w:val="22"/>
                <w:color w:val="auto"/>
              </w:rPr>
            </w:pPr>
          </w:p>
        </w:tc>
        <w:tc>
          <w:tcPr>
            <w:tcW w:w="12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138</w:t>
            </w:r>
          </w:p>
        </w:tc>
      </w:tr>
      <w:tr>
        <w:trPr>
          <w:trHeight w:val="264"/>
        </w:trPr>
        <w:tc>
          <w:tcPr>
            <w:tcW w:w="40" w:type="dxa"/>
            <w:vAlign w:val="bottom"/>
          </w:tcPr>
          <w:p>
            <w:pPr>
              <w:spacing w:after="0"/>
              <w:rPr>
                <w:sz w:val="22"/>
                <w:szCs w:val="22"/>
                <w:color w:val="auto"/>
              </w:rPr>
            </w:pPr>
          </w:p>
        </w:tc>
        <w:tc>
          <w:tcPr>
            <w:tcW w:w="994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ITEM 16D. EXEMPTIONS FROM THE LISTING STANDARDS FOR AUDIT COMMITTEES</w:t>
            </w:r>
          </w:p>
        </w:tc>
        <w:tc>
          <w:tcPr>
            <w:tcW w:w="12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139</w:t>
            </w:r>
          </w:p>
        </w:tc>
      </w:tr>
      <w:tr>
        <w:trPr>
          <w:trHeight w:val="20"/>
        </w:trPr>
        <w:tc>
          <w:tcPr>
            <w:tcW w:w="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0" w:type="dxa"/>
            <w:vAlign w:val="bottom"/>
            <w:gridSpan w:val="4"/>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844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b w:val="1"/>
                <w:bCs w:val="1"/>
                <w:color w:val="0000EE"/>
                <w:w w:val="99"/>
              </w:rPr>
              <w:t>ITEM 16E. PURCHASES OF EQUITY SECURITIES BY THE ISSUER AND AFFILIATED PURCHASERS</w:t>
            </w:r>
          </w:p>
        </w:tc>
        <w:tc>
          <w:tcPr>
            <w:tcW w:w="1500" w:type="dxa"/>
            <w:vAlign w:val="bottom"/>
            <w:gridSpan w:val="2"/>
          </w:tcPr>
          <w:p>
            <w:pPr>
              <w:spacing w:after="0"/>
              <w:rPr>
                <w:sz w:val="22"/>
                <w:szCs w:val="22"/>
                <w:color w:val="auto"/>
              </w:rPr>
            </w:pPr>
          </w:p>
        </w:tc>
        <w:tc>
          <w:tcPr>
            <w:tcW w:w="12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139</w:t>
            </w:r>
          </w:p>
        </w:tc>
      </w:tr>
      <w:tr>
        <w:trPr>
          <w:trHeight w:val="263"/>
        </w:trPr>
        <w:tc>
          <w:tcPr>
            <w:tcW w:w="40" w:type="dxa"/>
            <w:vAlign w:val="bottom"/>
          </w:tcPr>
          <w:p>
            <w:pPr>
              <w:spacing w:after="0"/>
              <w:rPr>
                <w:sz w:val="22"/>
                <w:szCs w:val="22"/>
                <w:color w:val="auto"/>
              </w:rPr>
            </w:pPr>
          </w:p>
        </w:tc>
        <w:tc>
          <w:tcPr>
            <w:tcW w:w="994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ITEM 16F. CHANGE IN REGISTRANT’S CERTIFYING ACCOUNTANT</w:t>
            </w:r>
          </w:p>
        </w:tc>
        <w:tc>
          <w:tcPr>
            <w:tcW w:w="12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139</w:t>
            </w:r>
          </w:p>
        </w:tc>
      </w:tr>
      <w:tr>
        <w:trPr>
          <w:trHeight w:val="263"/>
        </w:trPr>
        <w:tc>
          <w:tcPr>
            <w:tcW w:w="40" w:type="dxa"/>
            <w:vAlign w:val="bottom"/>
          </w:tcPr>
          <w:p>
            <w:pPr>
              <w:spacing w:after="0"/>
              <w:rPr>
                <w:sz w:val="22"/>
                <w:szCs w:val="22"/>
                <w:color w:val="auto"/>
              </w:rPr>
            </w:pPr>
          </w:p>
        </w:tc>
        <w:tc>
          <w:tcPr>
            <w:tcW w:w="3420" w:type="dxa"/>
            <w:vAlign w:val="bottom"/>
            <w:tcBorders>
              <w:top w:val="single" w:sz="8" w:color="0000EE"/>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b w:val="1"/>
                <w:bCs w:val="1"/>
                <w:color w:val="0000EE"/>
                <w:w w:val="99"/>
              </w:rPr>
              <w:t>ITEM 16G. CORPORATE GOVERNANCE</w:t>
            </w:r>
          </w:p>
        </w:tc>
        <w:tc>
          <w:tcPr>
            <w:tcW w:w="2400" w:type="dxa"/>
            <w:vAlign w:val="bottom"/>
            <w:tcBorders>
              <w:top w:val="single" w:sz="8" w:color="0000EE"/>
            </w:tcBorders>
            <w:gridSpan w:val="4"/>
          </w:tcPr>
          <w:p>
            <w:pPr>
              <w:spacing w:after="0"/>
              <w:rPr>
                <w:sz w:val="22"/>
                <w:szCs w:val="22"/>
                <w:color w:val="auto"/>
              </w:rPr>
            </w:pPr>
          </w:p>
        </w:tc>
        <w:tc>
          <w:tcPr>
            <w:tcW w:w="4120" w:type="dxa"/>
            <w:vAlign w:val="bottom"/>
            <w:gridSpan w:val="8"/>
          </w:tcPr>
          <w:p>
            <w:pPr>
              <w:spacing w:after="0"/>
              <w:rPr>
                <w:sz w:val="22"/>
                <w:szCs w:val="22"/>
                <w:color w:val="auto"/>
              </w:rPr>
            </w:pPr>
          </w:p>
        </w:tc>
        <w:tc>
          <w:tcPr>
            <w:tcW w:w="12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140</w:t>
            </w:r>
          </w:p>
        </w:tc>
      </w:tr>
      <w:tr>
        <w:trPr>
          <w:trHeight w:val="263"/>
        </w:trPr>
        <w:tc>
          <w:tcPr>
            <w:tcW w:w="40" w:type="dxa"/>
            <w:vAlign w:val="bottom"/>
          </w:tcPr>
          <w:p>
            <w:pPr>
              <w:spacing w:after="0"/>
              <w:rPr>
                <w:sz w:val="22"/>
                <w:szCs w:val="22"/>
                <w:color w:val="auto"/>
              </w:rPr>
            </w:pPr>
          </w:p>
        </w:tc>
        <w:tc>
          <w:tcPr>
            <w:tcW w:w="994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ITEM 16H. MINE SAFETY DISCLOSURE</w:t>
            </w:r>
          </w:p>
        </w:tc>
        <w:tc>
          <w:tcPr>
            <w:tcW w:w="12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140</w:t>
            </w:r>
          </w:p>
        </w:tc>
      </w:tr>
      <w:tr>
        <w:trPr>
          <w:trHeight w:val="20"/>
        </w:trPr>
        <w:tc>
          <w:tcPr>
            <w:tcW w:w="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60" w:type="dxa"/>
            <w:vAlign w:val="bottom"/>
            <w:gridSpan w:val="10"/>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994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ITEM 16I. DISCLOSURE REGARDING FOREIGN JURISDICTIONS THAT PREVENT INSPECTIONS</w:t>
            </w:r>
          </w:p>
        </w:tc>
        <w:tc>
          <w:tcPr>
            <w:tcW w:w="12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140</w:t>
            </w:r>
          </w:p>
        </w:tc>
      </w:tr>
      <w:tr>
        <w:trPr>
          <w:trHeight w:val="264"/>
        </w:trPr>
        <w:tc>
          <w:tcPr>
            <w:tcW w:w="40" w:type="dxa"/>
            <w:vAlign w:val="bottom"/>
          </w:tcPr>
          <w:p>
            <w:pPr>
              <w:spacing w:after="0"/>
              <w:rPr>
                <w:sz w:val="22"/>
                <w:szCs w:val="22"/>
                <w:color w:val="auto"/>
              </w:rPr>
            </w:pPr>
          </w:p>
        </w:tc>
        <w:tc>
          <w:tcPr>
            <w:tcW w:w="8240" w:type="dxa"/>
            <w:vAlign w:val="bottom"/>
            <w:tcBorders>
              <w:top w:val="single" w:sz="8" w:color="0000EE"/>
            </w:tcBorders>
            <w:gridSpan w:val="20"/>
          </w:tcPr>
          <w:p>
            <w:pPr>
              <w:spacing w:after="0"/>
              <w:rPr>
                <w:sz w:val="20"/>
                <w:szCs w:val="20"/>
                <w:color w:val="auto"/>
              </w:rPr>
            </w:pPr>
            <w:r>
              <w:rPr>
                <w:rFonts w:ascii="Times New Roman" w:cs="Times New Roman" w:eastAsia="Times New Roman" w:hAnsi="Times New Roman"/>
                <w:sz w:val="18"/>
                <w:szCs w:val="18"/>
                <w:b w:val="1"/>
                <w:bCs w:val="1"/>
                <w:color w:val="0000EE"/>
              </w:rPr>
              <w:t>PART III</w:t>
            </w:r>
          </w:p>
        </w:tc>
        <w:tc>
          <w:tcPr>
            <w:tcW w:w="1700" w:type="dxa"/>
            <w:vAlign w:val="bottom"/>
            <w:gridSpan w:val="3"/>
          </w:tcPr>
          <w:p>
            <w:pPr>
              <w:spacing w:after="0"/>
              <w:rPr>
                <w:sz w:val="22"/>
                <w:szCs w:val="22"/>
                <w:color w:val="auto"/>
              </w:rPr>
            </w:pPr>
          </w:p>
        </w:tc>
        <w:tc>
          <w:tcPr>
            <w:tcW w:w="12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140</w:t>
            </w:r>
          </w:p>
        </w:tc>
      </w:tr>
      <w:tr>
        <w:trPr>
          <w:trHeight w:val="20"/>
        </w:trPr>
        <w:tc>
          <w:tcPr>
            <w:tcW w:w="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60" w:type="dxa"/>
            <w:vAlign w:val="bottom"/>
            <w:gridSpan w:val="1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30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b w:val="1"/>
                <w:bCs w:val="1"/>
                <w:color w:val="0000EE"/>
                <w:w w:val="99"/>
              </w:rPr>
              <w:t>ITEM 17. FINANCIAL STATEMENTS</w:t>
            </w:r>
          </w:p>
        </w:tc>
        <w:tc>
          <w:tcPr>
            <w:tcW w:w="6860" w:type="dxa"/>
            <w:vAlign w:val="bottom"/>
            <w:gridSpan w:val="14"/>
          </w:tcPr>
          <w:p>
            <w:pPr>
              <w:spacing w:after="0"/>
              <w:rPr>
                <w:sz w:val="22"/>
                <w:szCs w:val="22"/>
                <w:color w:val="auto"/>
              </w:rPr>
            </w:pPr>
          </w:p>
        </w:tc>
        <w:tc>
          <w:tcPr>
            <w:tcW w:w="12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140</w:t>
            </w:r>
          </w:p>
        </w:tc>
      </w:tr>
      <w:tr>
        <w:trPr>
          <w:trHeight w:val="263"/>
        </w:trPr>
        <w:tc>
          <w:tcPr>
            <w:tcW w:w="40" w:type="dxa"/>
            <w:vAlign w:val="bottom"/>
          </w:tcPr>
          <w:p>
            <w:pPr>
              <w:spacing w:after="0"/>
              <w:rPr>
                <w:sz w:val="22"/>
                <w:szCs w:val="22"/>
                <w:color w:val="auto"/>
              </w:rPr>
            </w:pPr>
          </w:p>
        </w:tc>
        <w:tc>
          <w:tcPr>
            <w:tcW w:w="30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b w:val="1"/>
                <w:bCs w:val="1"/>
                <w:color w:val="0000EE"/>
                <w:w w:val="98"/>
              </w:rPr>
              <w:t>ITEM 18. FINANCIAL STATEMENTS</w:t>
            </w:r>
          </w:p>
        </w:tc>
        <w:tc>
          <w:tcPr>
            <w:tcW w:w="6880" w:type="dxa"/>
            <w:vAlign w:val="bottom"/>
            <w:gridSpan w:val="15"/>
          </w:tcPr>
          <w:p>
            <w:pPr>
              <w:spacing w:after="0"/>
              <w:rPr>
                <w:sz w:val="22"/>
                <w:szCs w:val="22"/>
                <w:color w:val="auto"/>
              </w:rPr>
            </w:pPr>
          </w:p>
        </w:tc>
        <w:tc>
          <w:tcPr>
            <w:tcW w:w="12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140</w:t>
            </w:r>
          </w:p>
        </w:tc>
      </w:tr>
      <w:tr>
        <w:trPr>
          <w:trHeight w:val="263"/>
        </w:trPr>
        <w:tc>
          <w:tcPr>
            <w:tcW w:w="40" w:type="dxa"/>
            <w:vAlign w:val="bottom"/>
          </w:tcPr>
          <w:p>
            <w:pPr>
              <w:spacing w:after="0"/>
              <w:rPr>
                <w:sz w:val="22"/>
                <w:szCs w:val="22"/>
                <w:color w:val="auto"/>
              </w:rPr>
            </w:pPr>
          </w:p>
        </w:tc>
        <w:tc>
          <w:tcPr>
            <w:tcW w:w="16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b w:val="1"/>
                <w:bCs w:val="1"/>
                <w:color w:val="0000EE"/>
                <w:w w:val="98"/>
              </w:rPr>
              <w:t>ITEM 19. EXHIBITS</w:t>
            </w:r>
          </w:p>
        </w:tc>
        <w:tc>
          <w:tcPr>
            <w:tcW w:w="8280" w:type="dxa"/>
            <w:vAlign w:val="bottom"/>
            <w:gridSpan w:val="18"/>
          </w:tcPr>
          <w:p>
            <w:pPr>
              <w:spacing w:after="0"/>
              <w:rPr>
                <w:sz w:val="22"/>
                <w:szCs w:val="22"/>
                <w:color w:val="auto"/>
              </w:rPr>
            </w:pPr>
          </w:p>
        </w:tc>
        <w:tc>
          <w:tcPr>
            <w:tcW w:w="12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141</w:t>
            </w:r>
          </w:p>
        </w:tc>
      </w:tr>
      <w:tr>
        <w:trPr>
          <w:trHeight w:val="263"/>
        </w:trPr>
        <w:tc>
          <w:tcPr>
            <w:tcW w:w="40" w:type="dxa"/>
            <w:vAlign w:val="bottom"/>
          </w:tcPr>
          <w:p>
            <w:pPr>
              <w:spacing w:after="0"/>
              <w:rPr>
                <w:sz w:val="22"/>
                <w:szCs w:val="22"/>
                <w:color w:val="auto"/>
              </w:rPr>
            </w:pPr>
          </w:p>
        </w:tc>
        <w:tc>
          <w:tcPr>
            <w:tcW w:w="11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b w:val="1"/>
                <w:bCs w:val="1"/>
                <w:color w:val="0000EE"/>
                <w:w w:val="97"/>
              </w:rPr>
              <w:t>SIGNATURES</w:t>
            </w:r>
          </w:p>
        </w:tc>
        <w:tc>
          <w:tcPr>
            <w:tcW w:w="8780" w:type="dxa"/>
            <w:vAlign w:val="bottom"/>
            <w:gridSpan w:val="19"/>
          </w:tcPr>
          <w:p>
            <w:pPr>
              <w:spacing w:after="0"/>
              <w:rPr>
                <w:sz w:val="22"/>
                <w:szCs w:val="22"/>
                <w:color w:val="auto"/>
              </w:rPr>
            </w:pPr>
          </w:p>
        </w:tc>
        <w:tc>
          <w:tcPr>
            <w:tcW w:w="12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142</w:t>
            </w:r>
          </w:p>
        </w:tc>
      </w:tr>
      <w:tr>
        <w:trPr>
          <w:trHeight w:val="263"/>
        </w:trPr>
        <w:tc>
          <w:tcPr>
            <w:tcW w:w="40" w:type="dxa"/>
            <w:vAlign w:val="bottom"/>
          </w:tcPr>
          <w:p>
            <w:pPr>
              <w:spacing w:after="0"/>
              <w:rPr>
                <w:sz w:val="22"/>
                <w:szCs w:val="22"/>
                <w:color w:val="auto"/>
              </w:rPr>
            </w:pPr>
          </w:p>
        </w:tc>
        <w:tc>
          <w:tcPr>
            <w:tcW w:w="994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INDEX</w:t>
            </w:r>
          </w:p>
        </w:tc>
        <w:tc>
          <w:tcPr>
            <w:tcW w:w="12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F-1</w:t>
            </w:r>
          </w:p>
        </w:tc>
      </w:tr>
      <w:tr>
        <w:trPr>
          <w:trHeight w:val="689"/>
        </w:trPr>
        <w:tc>
          <w:tcPr>
            <w:tcW w:w="40" w:type="dxa"/>
            <w:vAlign w:val="bottom"/>
            <w:tcBorders>
              <w:bottom w:val="single" w:sz="8" w:color="auto"/>
            </w:tcBorders>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5"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43" w:lineRule="exact"/>
        <w:rPr>
          <w:sz w:val="20"/>
          <w:szCs w:val="20"/>
          <w:color w:val="auto"/>
        </w:rPr>
      </w:pPr>
    </w:p>
    <w:p>
      <w:pPr>
        <w:jc w:val="both"/>
        <w:ind w:right="20" w:firstLine="441"/>
        <w:spacing w:after="0" w:line="297" w:lineRule="auto"/>
        <w:rPr>
          <w:sz w:val="20"/>
          <w:szCs w:val="20"/>
          <w:color w:val="auto"/>
        </w:rPr>
      </w:pPr>
      <w:r>
        <w:rPr>
          <w:rFonts w:ascii="Times New Roman" w:cs="Times New Roman" w:eastAsia="Times New Roman" w:hAnsi="Times New Roman"/>
          <w:sz w:val="18"/>
          <w:szCs w:val="18"/>
          <w:color w:val="auto"/>
        </w:rPr>
        <w:t>In this Annual Report on Form 20-F (the “Annual Report”), references to “we,” “us,” “our,” “our business,” the “Company,” “WalkMe” and similar references refer to WalkMe Ltd. and, where appropriate, its consolidated subsidiaries.</w:t>
      </w:r>
    </w:p>
    <w:p>
      <w:pPr>
        <w:spacing w:after="0" w:line="163" w:lineRule="exact"/>
        <w:rPr>
          <w:sz w:val="20"/>
          <w:szCs w:val="20"/>
          <w:color w:val="auto"/>
        </w:rPr>
      </w:pPr>
    </w:p>
    <w:p>
      <w:pPr>
        <w:jc w:val="both"/>
        <w:ind w:firstLine="441"/>
        <w:spacing w:after="0" w:line="270" w:lineRule="auto"/>
        <w:rPr>
          <w:sz w:val="20"/>
          <w:szCs w:val="20"/>
          <w:color w:val="auto"/>
        </w:rPr>
      </w:pPr>
      <w:r>
        <w:rPr>
          <w:rFonts w:ascii="Times New Roman" w:cs="Times New Roman" w:eastAsia="Times New Roman" w:hAnsi="Times New Roman"/>
          <w:sz w:val="18"/>
          <w:szCs w:val="18"/>
          <w:color w:val="auto"/>
        </w:rPr>
        <w:t>This Annual Report contains estimates, projections and other information concerning our industry and our business, as well as data regarding market research, estimates and forecasts prepared by our management. Information that is based on estimates, forecasts, projections, market research or similar methodologies is inherently subject to uncertainties, and actual events or circumstances may differ materially from events and circumstances that are assumed in this information. The industry in which we operate is subject to a high degree of uncertainty and risk due to a variety of factors, including those discussed under the headings “Special Note Regarding Forward-Looking Statements” and Item 3.D. “Risk Factors” in this Annual Report.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43" w:lineRule="exact"/>
        <w:rPr>
          <w:sz w:val="20"/>
          <w:szCs w:val="20"/>
          <w:color w:val="auto"/>
        </w:rPr>
      </w:pPr>
    </w:p>
    <w:p>
      <w:pPr>
        <w:jc w:val="both"/>
        <w:ind w:firstLine="441"/>
        <w:spacing w:after="0" w:line="263" w:lineRule="auto"/>
        <w:rPr>
          <w:sz w:val="20"/>
          <w:szCs w:val="20"/>
          <w:color w:val="auto"/>
        </w:rPr>
      </w:pPr>
      <w:r>
        <w:rPr>
          <w:rFonts w:ascii="Times New Roman" w:cs="Times New Roman" w:eastAsia="Times New Roman" w:hAnsi="Times New Roman"/>
          <w:sz w:val="18"/>
          <w:szCs w:val="18"/>
          <w:color w:val="auto"/>
        </w:rPr>
        <w:t>This Annual Report contains forward-looking statements within the meaning of the U.S. Private Securities Litigation Reform Act of 1995. We intend such forward-looking statements to be covered by the safe harbor provisions for forward-looking statements as contained in Section 27A of the Securities Act of 1933, as amended, and Section 21E of the Securities Exchange Act of 1934, as amended (the “Exchange Act”). All statements contained in this Annual Report other than statements of historical fact, including, without limitation, statements regarding our future operating results and financial position, including our revenue and operating expenses profitability; our business strategies and plans; our expectations regarding the development of our industry and the competitive environment in which we operate; our expectations regarding partnerships and collaborations; our objectives for future operations; our ability to raise additional capital to fund our operations; and the sufficiency of our cash, cash equivalents and short-term investments, are forward-looking statements. The words “may,” “might,” “will,” “could,” “would,” “should,” “expect,” “plan,” “anticipate,” “intend,” “target,” “seek,” “believe,” “estimate,” “predict,” “potential,” “continue,” “contemplate,” “possible,” “forecasts,” “aims” or the negative of these terms and similar expressions are intended to identify forward-looking statements, though not all forward-looking statements use these words or expressions. These forward-looking statements are contained principally in the sections titled Item 3.D. “Key Information-Risk Factors,” Item 4. “Information on the Company,” and Item 5. “Operating and Financial Review and Prospects.”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w:t>
      </w:r>
    </w:p>
    <w:p>
      <w:pPr>
        <w:spacing w:after="0" w:line="200" w:lineRule="exact"/>
        <w:rPr>
          <w:sz w:val="20"/>
          <w:szCs w:val="20"/>
          <w:color w:val="auto"/>
        </w:rPr>
      </w:pPr>
    </w:p>
    <w:p>
      <w:pPr>
        <w:ind w:left="340" w:right="160" w:hanging="332"/>
        <w:spacing w:after="0" w:line="297"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including our expectations regarding our revenue, cost of revenue, gross margin, operating expenses, cash flow and deferred revenue;</w:t>
      </w:r>
    </w:p>
    <w:p>
      <w:pPr>
        <w:spacing w:after="0" w:line="16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growth effectively, sustain our historical growth rate in the future or achieve or maintain profitability;</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and expansion of the markets for our offerings and our ability to adapt and respond effectively to evolving market conditions and demands;</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and future expectations regarding, our market opportunity;</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adverse macro-economic changes on our business, financial condition and results of operations;</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 as well as to retain and expand our revenue from existing customers;</w:t>
      </w:r>
    </w:p>
    <w:p>
      <w:pPr>
        <w:spacing w:after="0" w:line="238" w:lineRule="exact"/>
        <w:rPr>
          <w:rFonts w:ascii="Times New Roman" w:cs="Times New Roman" w:eastAsia="Times New Roman" w:hAnsi="Times New Roman"/>
          <w:sz w:val="18"/>
          <w:szCs w:val="18"/>
          <w:color w:val="auto"/>
        </w:rPr>
      </w:pPr>
    </w:p>
    <w:p>
      <w:pPr>
        <w:ind w:left="340" w:right="680" w:hanging="332"/>
        <w:spacing w:after="0" w:line="297"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keep pace with technological and competitive developments and develop or otherwise introduce new products and solutions and enhancements to our existing offerings;</w:t>
      </w:r>
    </w:p>
    <w:p>
      <w:pPr>
        <w:spacing w:after="0" w:line="162" w:lineRule="exact"/>
        <w:rPr>
          <w:rFonts w:ascii="Times New Roman" w:cs="Times New Roman" w:eastAsia="Times New Roman" w:hAnsi="Times New Roman"/>
          <w:sz w:val="18"/>
          <w:szCs w:val="18"/>
          <w:color w:val="auto"/>
        </w:rPr>
      </w:pPr>
    </w:p>
    <w:p>
      <w:pPr>
        <w:ind w:left="340" w:right="160" w:hanging="332"/>
        <w:spacing w:after="0" w:line="297"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interoperability of our offerings across devices, operating systems and third-party applications and to maintain and expand our relationships with third-party technology partners;</w:t>
      </w:r>
    </w:p>
    <w:p>
      <w:pPr>
        <w:spacing w:after="0" w:line="16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in our target markets and our ability to compete effectively;</w:t>
      </w:r>
    </w:p>
    <w:p>
      <w:pPr>
        <w:spacing w:after="0" w:line="238" w:lineRule="exact"/>
        <w:rPr>
          <w:rFonts w:ascii="Times New Roman" w:cs="Times New Roman" w:eastAsia="Times New Roman" w:hAnsi="Times New Roman"/>
          <w:sz w:val="18"/>
          <w:szCs w:val="18"/>
          <w:color w:val="auto"/>
        </w:rPr>
      </w:pPr>
    </w:p>
    <w:p>
      <w:pPr>
        <w:ind w:left="340" w:right="400" w:hanging="332"/>
        <w:spacing w:after="0" w:line="297"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sales and marketing operations, including our ability to realize efficiencies and reduce customer acquisition costs as well as our ability to effectively develop and expand our marketing and sales capabilities;</w:t>
      </w:r>
    </w:p>
    <w:p>
      <w:pPr>
        <w:spacing w:after="0" w:line="16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the service-level commitments under our customer agreements and the effects on our business if we are unable to do so;</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and dependence on, various third-party service providers;</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enhance awareness of our brand;</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high quality customer support;</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sales prices of our offerings and the effects of pricing fluctuations;</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the executive leadership and employee talent that we need to be successful;</w:t>
      </w:r>
    </w:p>
    <w:p>
      <w:pPr>
        <w:sectPr>
          <w:pgSz w:w="11900" w:h="16838" w:orient="portrait"/>
          <w:cols w:equalWidth="0" w:num="1">
            <w:col w:w="11240"/>
          </w:cols>
          <w:pgMar w:left="320" w:top="347"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type w:val="continuous"/>
        </w:sectPr>
      </w:pPr>
    </w:p>
    <w:bookmarkStart w:id="14" w:name="page15"/>
    <w:bookmarkEnd w:id="14"/>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sustainability of, and fluctuations in, our gross margin;</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international operations and our ability to expand our international business operations;</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currency exchange rate fluctuations on our results of operations;</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and risks related to our sales to government entities;</w:t>
      </w:r>
    </w:p>
    <w:p>
      <w:pPr>
        <w:spacing w:after="0" w:line="238" w:lineRule="exact"/>
        <w:rPr>
          <w:rFonts w:ascii="Times New Roman" w:cs="Times New Roman" w:eastAsia="Times New Roman" w:hAnsi="Times New Roman"/>
          <w:sz w:val="18"/>
          <w:szCs w:val="18"/>
          <w:color w:val="auto"/>
        </w:rPr>
      </w:pPr>
    </w:p>
    <w:p>
      <w:pPr>
        <w:ind w:left="340" w:right="120" w:hanging="332"/>
        <w:spacing w:after="0" w:line="297"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consummate acquisitions at our historical rate and at acceptable prices, to enter into other strategic transactions and relationships, and to manage the risks related to these transactions and arrangements;</w:t>
      </w:r>
    </w:p>
    <w:p>
      <w:pPr>
        <w:spacing w:after="0" w:line="16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proprietary technology, or to obtain, maintain, protect and enforce sufficiently broad intellectual property rights therein;</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security and availability of our platform, products and solutions;</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the privacy laws of the various jurisdictions in which we operate;</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current and future legislation and governmental regulations to which we are subject or may become subject in the future;</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tax law, the stability of effective tax rates and adverse outcomes resulting from examination of our income or other tax returns;</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political, economic and security conditions in Israel;</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unfavorable conditions in our industry or the global economy or reductions in information technology spending; and</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that may affect the future trading prices of our ordinary shares.</w:t>
      </w:r>
    </w:p>
    <w:p>
      <w:pPr>
        <w:spacing w:after="0" w:line="252" w:lineRule="exact"/>
        <w:rPr>
          <w:sz w:val="20"/>
          <w:szCs w:val="20"/>
          <w:color w:val="auto"/>
        </w:rPr>
      </w:pPr>
    </w:p>
    <w:p>
      <w:pPr>
        <w:jc w:val="both"/>
        <w:ind w:firstLine="441"/>
        <w:spacing w:after="0" w:line="263"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We have based the forward-looking statements contained in this Annual Report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Annual Report.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The results, events and circumstances reflected in the forward-looking statements may not be achieved or occur, and actual results, events or circumstances could differ materially from those described in the forward-looking statements.</w:t>
      </w:r>
    </w:p>
    <w:p>
      <w:pPr>
        <w:spacing w:after="0" w:line="210" w:lineRule="exact"/>
        <w:rPr>
          <w:sz w:val="20"/>
          <w:szCs w:val="20"/>
          <w:color w:val="auto"/>
        </w:rPr>
      </w:pPr>
    </w:p>
    <w:p>
      <w:pPr>
        <w:jc w:val="both"/>
        <w:ind w:firstLine="441"/>
        <w:spacing w:after="0" w:line="264" w:lineRule="auto"/>
        <w:rPr>
          <w:sz w:val="20"/>
          <w:szCs w:val="20"/>
          <w:color w:val="auto"/>
        </w:rPr>
      </w:pPr>
      <w:r>
        <w:rPr>
          <w:rFonts w:ascii="Times New Roman" w:cs="Times New Roman" w:eastAsia="Times New Roman" w:hAnsi="Times New Roman"/>
          <w:sz w:val="18"/>
          <w:szCs w:val="18"/>
          <w:color w:val="auto"/>
        </w:rPr>
        <w:t>The forward-looking statements made in this Annual Report relate only to events or information as of the date on which the statements are made in this Annual Report. You should not put undue reliance on any forward-looking statements. Actual results could differ materially from those anticipated in these forward-looking statements as a result of various factors described in this annual report, including factors beyond our ability to control or predict. Although we believe that the expectations reflected in the forward-looking statements are reasonable, we cannot guarantee that future results, levels of activity, performance and events and circumstances reflected in the forward-looking statements will be achieved or will occur.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Annual Report and the documents that we reference in this Annual Report and have filed as exhibits hereto completely and with the understanding that our actual future results or performance may be materially different from what we expect.</w:t>
      </w:r>
    </w:p>
    <w:p>
      <w:pPr>
        <w:spacing w:after="0" w:line="188"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PRESENTATION OF FINANCIAL INFORMATION</w:t>
      </w:r>
    </w:p>
    <w:p>
      <w:pPr>
        <w:spacing w:after="0" w:line="2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generally accepted accounting principles in the United States, or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We present our consolidated financial statements in U.S. dollars.</w:t>
      </w:r>
    </w:p>
    <w:p>
      <w:pPr>
        <w:spacing w:after="0" w:line="2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fiscal year ends on December 31 of each year.</w:t>
      </w:r>
    </w:p>
    <w:p>
      <w:pPr>
        <w:spacing w:after="0" w:line="252"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Certain monetary amounts, percentages and other figures included elsewhere in this Annual Report have been subject to rounding adjustments. Accordingly, figures shown as totals in certain tables or charts may not be the arithmetic aggregation of the figures that precede them, and figures expressed as percentages in the text may not total 100% or, as applicable, when aggregated may not be the arithmetic aggregation of the percentages that precede them.</w:t>
      </w:r>
    </w:p>
    <w:p>
      <w:pPr>
        <w:sectPr>
          <w:pgSz w:w="11900" w:h="16838" w:orient="portrait"/>
          <w:cols w:equalWidth="0" w:num="1">
            <w:col w:w="11240"/>
          </w:cols>
          <w:pgMar w:left="320" w:top="337" w:right="339" w:bottom="1440" w:gutter="0" w:footer="0" w:header="0"/>
        </w:sect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Identity of Directors, Senior Management and Advisers</w:t>
      </w:r>
    </w:p>
    <w:p>
      <w:pPr>
        <w:spacing w:after="0" w:line="2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Offer Statistics and Expected Timetable</w:t>
      </w:r>
    </w:p>
    <w:p>
      <w:pPr>
        <w:spacing w:after="0" w:line="2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Key Information</w:t>
      </w:r>
    </w:p>
    <w:p>
      <w:pPr>
        <w:spacing w:after="0" w:line="252"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p>
    <w:p>
      <w:pPr>
        <w:spacing w:after="0" w:line="238" w:lineRule="exact"/>
        <w:rPr>
          <w:rFonts w:ascii="Times New Roman" w:cs="Times New Roman" w:eastAsia="Times New Roman" w:hAnsi="Times New Roman"/>
          <w:sz w:val="18"/>
          <w:szCs w:val="18"/>
          <w:b w:val="1"/>
          <w:bCs w:val="1"/>
          <w:color w:val="auto"/>
        </w:rPr>
      </w:pPr>
    </w:p>
    <w:p>
      <w:pPr>
        <w:ind w:left="440" w:right="8420" w:hanging="432"/>
        <w:spacing w:after="0" w:line="524" w:lineRule="auto"/>
        <w:tabs>
          <w:tab w:leader="none" w:pos="337"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Capitalization and Indebtedness </w:t>
      </w:r>
      <w:r>
        <w:rPr>
          <w:rFonts w:ascii="Times New Roman" w:cs="Times New Roman" w:eastAsia="Times New Roman" w:hAnsi="Times New Roman"/>
          <w:sz w:val="18"/>
          <w:szCs w:val="18"/>
          <w:color w:val="auto"/>
        </w:rPr>
        <w:t>Not applicable.</w:t>
      </w:r>
    </w:p>
    <w:p>
      <w:pPr>
        <w:ind w:left="440" w:right="7660" w:hanging="432"/>
        <w:spacing w:after="0" w:line="524" w:lineRule="auto"/>
        <w:tabs>
          <w:tab w:leader="none" w:pos="337"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Reasons for the Offer and Use of Proceeds </w:t>
      </w:r>
      <w:r>
        <w:rPr>
          <w:rFonts w:ascii="Times New Roman" w:cs="Times New Roman" w:eastAsia="Times New Roman" w:hAnsi="Times New Roman"/>
          <w:sz w:val="18"/>
          <w:szCs w:val="18"/>
          <w:color w:val="auto"/>
        </w:rPr>
        <w:t>Not applicable.</w:t>
      </w: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Factors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and uncertainties described below and the other information contained in this Annual Report before making an investment decision. Additional risks and uncertainties not presently known to us or that we currently deem immaterial may also impair our business operations. Our business, financial condition, results of operations, or strategic objectives could be materially and adversely affected by any of these risks and uncertainties. The trading price and value of our ordinary shares could decline due to any of these risks and uncertainties, and you may lose all or part of your investment. This Annual Report also contains forward- looking statements that involve risks and uncertainties. Our actual results could differ materially from those anticipated in these forward-looking statements as a result of certain factors, including the risks and uncertainties faced by us described below and elsewhere in this Annual Report.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 and Industry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operating losses in the past, expect to incur operating losses in the future and may never achieve or sustain profitability.</w:t>
      </w:r>
    </w:p>
    <w:p>
      <w:pPr>
        <w:spacing w:after="0" w:line="256" w:lineRule="exact"/>
        <w:rPr>
          <w:sz w:val="20"/>
          <w:szCs w:val="20"/>
          <w:color w:val="auto"/>
        </w:rPr>
      </w:pPr>
    </w:p>
    <w:p>
      <w:pPr>
        <w:jc w:val="both"/>
        <w:ind w:firstLine="360"/>
        <w:spacing w:after="0" w:line="271" w:lineRule="auto"/>
        <w:rPr>
          <w:sz w:val="20"/>
          <w:szCs w:val="20"/>
          <w:color w:val="auto"/>
        </w:rPr>
      </w:pPr>
      <w:r>
        <w:rPr>
          <w:rFonts w:ascii="Times New Roman" w:cs="Times New Roman" w:eastAsia="Times New Roman" w:hAnsi="Times New Roman"/>
          <w:sz w:val="18"/>
          <w:szCs w:val="18"/>
          <w:color w:val="auto"/>
        </w:rPr>
        <w:t>We have incurred annual net losses each year since our formation in October 2011. For the years ended December 31, 2021 and 2022, we had net losses of $80.3 million and $108.3 million, respectively. We expect to continue to incur additional losses and we may not achieve or maintain profitability in the future. As of December 31, 2022, we had an accumulated deficit of $432.6 million. While we are increasingly focused on improving our operating efficiency, we intend to continue to expend substantial financial and other resources on, among other things:</w:t>
      </w:r>
    </w:p>
    <w:p>
      <w:pPr>
        <w:spacing w:after="0" w:line="186" w:lineRule="exact"/>
        <w:rPr>
          <w:sz w:val="20"/>
          <w:szCs w:val="20"/>
          <w:color w:val="auto"/>
        </w:rPr>
      </w:pPr>
    </w:p>
    <w:p>
      <w:pPr>
        <w:ind w:left="340" w:hanging="287"/>
        <w:spacing w:after="0"/>
        <w:tabs>
          <w:tab w:leader="none" w:pos="3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innovating and advancing our platform;</w:t>
      </w:r>
    </w:p>
    <w:p>
      <w:pPr>
        <w:spacing w:after="0" w:line="238" w:lineRule="exact"/>
        <w:rPr>
          <w:rFonts w:ascii="Times New Roman" w:cs="Times New Roman" w:eastAsia="Times New Roman" w:hAnsi="Times New Roman"/>
          <w:sz w:val="18"/>
          <w:szCs w:val="18"/>
          <w:color w:val="auto"/>
        </w:rPr>
      </w:pPr>
    </w:p>
    <w:p>
      <w:pPr>
        <w:ind w:left="340" w:hanging="287"/>
        <w:spacing w:after="0"/>
        <w:tabs>
          <w:tab w:leader="none" w:pos="3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new customers;</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usage by and spend from our existing customers;</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expansion; and</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our ecosystem and go-to-market partnerships.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6" w:name="page17"/>
    <w:bookmarkEnd w:id="16"/>
    <w:p>
      <w:pPr>
        <w:jc w:val="both"/>
        <w:ind w:firstLine="468"/>
        <w:spacing w:after="0" w:line="263" w:lineRule="auto"/>
        <w:rPr>
          <w:sz w:val="20"/>
          <w:szCs w:val="20"/>
          <w:color w:val="auto"/>
        </w:rPr>
      </w:pPr>
      <w:r>
        <w:rPr>
          <w:rFonts w:ascii="Times New Roman" w:cs="Times New Roman" w:eastAsia="Times New Roman" w:hAnsi="Times New Roman"/>
          <w:sz w:val="18"/>
          <w:szCs w:val="18"/>
          <w:color w:val="auto"/>
        </w:rPr>
        <w:t>Our efforts to grow our revenue while increasing our operating efficiency may prove more difficult than we currently anticipate, and we may not succeed in increasing our revenues sufficiently, or at all, to offset our expenses. In addition, to the extent we are successful in increasing our customer base, we may also incur increased losses because the costs associated with acquiring customers are generally incurred up front, while subscription revenue is generally recognized ratably over the subscription term. Additionally, we expect to continue making significant expenditures on sales and marketing efforts, and expenditures to grow our platform including to develop new features, integrations, capabilities, and enhancements to our platform. For example, we have made and expect to continue to make significant investments in our platform to obtain FedRamp certification in support of our efforts to expand our U.S. federal business. If our revenue does not grow at a greater rate than our operating expenses, we will not be profitable in future periods. Our revenue growth may slow or our revenue may decline for a number of possible reasons, many of which are beyond our control, including greater market penetration, increased competition, slowing demand for our platform, a failure by us to continue capitalizing on growth opportunities, the maturation of our business, global economic downturns, the impact of rising inflation or interest rates or any of the other factors discussed in this “Risk Factors” section. Any failure to increase our revenue as we grow our business could prevent us from achieving profitability at all or on a consistent basis, which would make it more difficult to accomplish our business objectives and could have a material adverse effect on our business, financial condition and results of operations and cause the market price of our ordinary shares to decline.</w:t>
      </w:r>
    </w:p>
    <w:p>
      <w:pPr>
        <w:spacing w:after="0" w:line="19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have historically experienced rapid growth. Our past growth may not be indicative of our future growth, and we may not be able to sustain our revenue growth rate in the future. Our growth also makes it difficult to evaluate our future prospects and may increase the risk that we will not be successful.</w:t>
      </w:r>
    </w:p>
    <w:p>
      <w:pPr>
        <w:spacing w:after="0" w:line="181"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Our total revenues for the years ended December 31, 2021 and 2022 were $193.3 million and $245.0 million, respectively, representing year-over-year growth of 27%. You should not rely on our revenue growth over any historical period as an indication of our future performance. Even if our revenue continues to increase, we expect our revenue growth rate to decline in future periods. For example, we expect our revenue growth to moderate somewhat for the fiscal year 2023 compared to the prior year as we and our customers face increased global economic uncertainty. Many factors may contribute to declines in our growth rate, including macro economic conditions greater market penetration, increased competition, slowing demand for our offerings, a failure by us to continue capitalizing on growth opportunities and the maturation of our business, among others. If our growth rate declines, investors’ perceptions of our business and the market price of our ordinary shares could be adversely affected.</w:t>
      </w:r>
    </w:p>
    <w:p>
      <w:pPr>
        <w:spacing w:after="0" w:line="203"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In addition, our historical growth rate may make it difficult to evaluate our current business and future prospects. Our ability to forecast our future results of operations is subject to a number of uncertainties, including our ability to effectively plan for and model future growth. We have encountered in the past, and may encounter in the future, risks and uncertainties frequently experienced by growing companies in rapidly changing industries. If we fail to achieve the necessary level of efficiency in our organization as it grows, or if we are not able to accurately forecast future growth, our business could be harmed. Moreover, if the assumptions that we rely on to plan our business are incorrect or change in reaction to changes in the markets in which we operate, or if we are unable to maintain consistent revenue or revenue growth, our share price could be volatile, and it may be difficult to achieve and maintain profitability.</w:t>
      </w:r>
    </w:p>
    <w:p>
      <w:pPr>
        <w:spacing w:after="0" w:line="186"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The markets for our products are new and evolving and may develop more slowly or differently than we expect. Our future success depends on the growth and expansion of these markets and our ability to adapt and respond effectively to evolving market conditions and demands.</w:t>
      </w:r>
    </w:p>
    <w:p>
      <w:pPr>
        <w:spacing w:after="0" w:line="158" w:lineRule="exact"/>
        <w:rPr>
          <w:sz w:val="20"/>
          <w:szCs w:val="20"/>
          <w:color w:val="auto"/>
        </w:rPr>
      </w:pPr>
    </w:p>
    <w:p>
      <w:pPr>
        <w:jc w:val="both"/>
        <w:ind w:firstLine="441"/>
        <w:spacing w:after="0" w:line="263" w:lineRule="auto"/>
        <w:rPr>
          <w:sz w:val="20"/>
          <w:szCs w:val="20"/>
          <w:color w:val="auto"/>
        </w:rPr>
      </w:pPr>
      <w:r>
        <w:rPr>
          <w:rFonts w:ascii="Times New Roman" w:cs="Times New Roman" w:eastAsia="Times New Roman" w:hAnsi="Times New Roman"/>
          <w:sz w:val="18"/>
          <w:szCs w:val="18"/>
          <w:color w:val="auto"/>
        </w:rPr>
        <w:t>The markets for our products are relatively new, rapidly evolving and unproven. Accordingly, it is difficult to predict customer adoption and renewals, demand for our platform and our products, the entry of competitive products, the success of existing competitive products, or the future growth rate, expansion, longevity and the size of our target markets. The expansion of, and our ability to penetrate, these new and evolving markets depends on a number of factors, including widespread awareness among key organizational decision makers of, and the cost, performance, effectiveness and perceived value associated with, digital adoption platforms and technologies. If we or other software and software as a service (“SaaS”) providers experience security incidents, loss of customer data, or disruptions in delivery or service, the market for these applications as a whole, including our platform and products, may be negatively affected. If digital adoption technologies and software do not continue to achieve market acceptance, or if there is a reduction in demand caused by decreased customer or user acceptance, technological challenges, weakening economic conditions (including in connection with factors such as rising inflation or interest rates), privacy, data protection and data security concerns, governmental regulation, competing technologies and products, decreases in information technology spending or otherwise, or if software providers begin to implement digital adoption solutions natively within their existing products, the markets for our platform and products might not continue to develop or might develop more slowly than we expect, which could adversely affect our business, financial condition and results of operations.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7" w:name="page18"/>
    <w:bookmarkEnd w:id="17"/>
    <w:p>
      <w:pPr>
        <w:jc w:val="both"/>
        <w:ind w:right="20"/>
        <w:spacing w:after="0" w:line="27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keep pace with technological and competitive developments or fail to develop or otherwise introduce new products and enhancements to our existing offerings, our products may become less marketable, less competitive, or obsolete, and our business, financial condition and results of operations may be materially adversely affected.</w:t>
      </w:r>
    </w:p>
    <w:p>
      <w:pPr>
        <w:spacing w:after="0" w:line="181" w:lineRule="exact"/>
        <w:rPr>
          <w:sz w:val="20"/>
          <w:szCs w:val="20"/>
          <w:color w:val="auto"/>
        </w:rPr>
      </w:pPr>
    </w:p>
    <w:p>
      <w:pPr>
        <w:jc w:val="both"/>
        <w:ind w:firstLine="441"/>
        <w:spacing w:after="0" w:line="264" w:lineRule="auto"/>
        <w:rPr>
          <w:sz w:val="20"/>
          <w:szCs w:val="20"/>
          <w:color w:val="auto"/>
        </w:rPr>
      </w:pPr>
      <w:r>
        <w:rPr>
          <w:rFonts w:ascii="Times New Roman" w:cs="Times New Roman" w:eastAsia="Times New Roman" w:hAnsi="Times New Roman"/>
          <w:sz w:val="18"/>
          <w:szCs w:val="18"/>
          <w:color w:val="auto"/>
        </w:rPr>
        <w:t>The markets in which we compete are characterized by rapid technological change, frequent introductions of new products, services, features and capabilities, and evolving industry standards and regulatory requirements. Our business strategy may not effectively respond to these changes, and we may fail to position ourselves to capitalize on market opportunities. Our ability to grow our customer base and increase revenue from existing customers will depend in significant part on our ability to develop or otherwise introduce new product offerings and new features, integrations, capabilities and other enhancements to our existing offerings on a timely basis, as well as on our ability to interoperate across an increasing range of devices, operating systems and third-party applications. The success of any new products or enhancements to our existing offerings will depend on a number of factors including, but not limited to, the timeliness and effectiveness of our research and product development activities and go-to-market strategy, our ability to anticipate customer needs and achieve market acceptance, our ability to manage the risks associated with new product releases, the effective management of development and other spending in connection with the product development process and anticipated demand, and the availability of other newly developed products and technologies by our competitors.</w:t>
      </w:r>
    </w:p>
    <w:p>
      <w:pPr>
        <w:spacing w:after="0" w:line="207" w:lineRule="exact"/>
        <w:rPr>
          <w:sz w:val="20"/>
          <w:szCs w:val="20"/>
          <w:color w:val="auto"/>
        </w:rPr>
      </w:pPr>
    </w:p>
    <w:p>
      <w:pPr>
        <w:jc w:val="both"/>
        <w:ind w:firstLine="441"/>
        <w:spacing w:after="0" w:line="263" w:lineRule="auto"/>
        <w:rPr>
          <w:sz w:val="20"/>
          <w:szCs w:val="20"/>
          <w:color w:val="auto"/>
        </w:rPr>
      </w:pPr>
      <w:r>
        <w:rPr>
          <w:rFonts w:ascii="Times New Roman" w:cs="Times New Roman" w:eastAsia="Times New Roman" w:hAnsi="Times New Roman"/>
          <w:sz w:val="18"/>
          <w:szCs w:val="18"/>
          <w:color w:val="auto"/>
        </w:rPr>
        <w:t>In addition, in connection with our product development efforts, we may introduce significant changes to our existing products, or develop or otherwise introduce new and unproven products or product features, including technologies with which we have little or no prior development or operating experience. These new products, product features and other updates may not perform as expected, may fail to engage our customers or other users of our products, or may otherwise create a lag in adoption of such new or updated products and product features. New products may initially suffer from performance and quality issues that may negatively impact our ability to market and sell such products to new and existing customers. We have in the past experienced bugs, errors, or other defects or deficiencies in new products and product updates and delays in releasing new products, deployment options, and product enhancements and may have similar experiences in the future. As a result, some of our customers may either defer purchasing our products until the next upgrade is released or switch to a competitor if we are not able to keep up with technological developments.</w:t>
      </w:r>
    </w:p>
    <w:p>
      <w:pPr>
        <w:spacing w:after="0" w:line="197" w:lineRule="exact"/>
        <w:rPr>
          <w:sz w:val="20"/>
          <w:szCs w:val="20"/>
          <w:color w:val="auto"/>
        </w:rPr>
      </w:pPr>
    </w:p>
    <w:p>
      <w:pPr>
        <w:jc w:val="both"/>
        <w:ind w:firstLine="441"/>
        <w:spacing w:after="0" w:line="264" w:lineRule="auto"/>
        <w:rPr>
          <w:sz w:val="20"/>
          <w:szCs w:val="20"/>
          <w:color w:val="auto"/>
        </w:rPr>
      </w:pPr>
      <w:r>
        <w:rPr>
          <w:rFonts w:ascii="Times New Roman" w:cs="Times New Roman" w:eastAsia="Times New Roman" w:hAnsi="Times New Roman"/>
          <w:sz w:val="18"/>
          <w:szCs w:val="18"/>
          <w:color w:val="auto"/>
        </w:rPr>
        <w:t>To keep pace with technological and competitive developments, we have in the past invested, and may in the future invest, in the acquisition of complementary businesses, technologies, services, products, and other assets that expand the products that we can offer our customers. We may make these investments without being certain that they will result in products or enhancements that will be accepted by existing or prospective customers or that will achieve market acceptance. The short-term and long-term impact of any major change to our offerings, or the introduction of new products or solutions, is particularly difficult to predict. If new or enhanced offerings fail to engage our customers or other users of our products, or do not perform as expected, we may fail to generate sufficient revenue, operating margin, or other value to justify our investments in such products, any of which may adversely affect our reputation and negatively affect our business in the short-term, long-term, or both. If we are unable to successfully enhance our existing products to meet evolving customer requirements, increase adoption and use cases of our platform and products, develop new products and product features and quickly resolve security vulnerabilities, or if our efforts in any of these areas are more expensive than we expect, then our business, financial condition and results of operations would be adversely affected.</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8" w:name="page19"/>
    <w:bookmarkEnd w:id="1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in part on our existing customers expanding the value of their subscriptions over time and renewing their subscriptions at the end of the applicable subscription period. Any decline in our Dollar-Based Net Retention Rate may harm our future operating results.</w:t>
      </w:r>
    </w:p>
    <w:p>
      <w:pPr>
        <w:spacing w:after="0" w:line="186"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Our future success depends in part on our ability to expand the value of our existing customers’ subscriptions over time, and on our customers renewing their subscriptions when the contract term expires. The terms of our subscription agreements are typically for a period of one to three years, and our customers are under no obligation to renew their subscriptions after the expiration of the applicable subscription period. As a result, we cannot guarantee that customers will renew their subscriptions for a similar contract period or with a similar or greater scope of applications, users, features, capabilities or other terms that are equally or more beneficial to us, if they renew at all.</w:t>
      </w:r>
    </w:p>
    <w:p>
      <w:pPr>
        <w:spacing w:after="0" w:line="203" w:lineRule="exact"/>
        <w:rPr>
          <w:sz w:val="20"/>
          <w:szCs w:val="20"/>
          <w:color w:val="auto"/>
        </w:rPr>
      </w:pPr>
    </w:p>
    <w:p>
      <w:pPr>
        <w:jc w:val="both"/>
        <w:ind w:firstLine="441"/>
        <w:spacing w:after="0" w:line="262" w:lineRule="auto"/>
        <w:rPr>
          <w:sz w:val="20"/>
          <w:szCs w:val="20"/>
          <w:color w:val="auto"/>
        </w:rPr>
      </w:pPr>
      <w:r>
        <w:rPr>
          <w:rFonts w:ascii="Times New Roman" w:cs="Times New Roman" w:eastAsia="Times New Roman" w:hAnsi="Times New Roman"/>
          <w:sz w:val="18"/>
          <w:szCs w:val="18"/>
          <w:color w:val="auto"/>
        </w:rPr>
        <w:t>We use a metric we call Dollar-Based Net Retention to measure the expanding value of our customers subscriptions over time and understand our renewal trends. Our definition of Dollar-Based Net Retention is described in Item 5 of this Annual Report under “Key Business and Financial Metrics.” We may not accurately predict future renewal trends or our Dollar-Based Net Retention Rate given the diversity of our customer base in terms of size, industry and geography. Customer renewals, and our Dollar-Based Net Retention Rate, may decline or fluctuate as a result of a number of factors, including customer satisfaction with our products and our customer support, fluctuation in customer employee headcount, the frequency and severity of product outages, our product uptime or latency, the pricing and value proposition of our offerings compared to those of our competitors, additional new features, integrations, capabilities or other enhancements that we may develop or otherwise introduce from time to time, updates to our products as a result of updates by technology partners, mergers and acquisitions affecting our customer base, and consolidation of affiliates’ multiple into a single account. Customer renewals have been and may in the future also be impacted by general economic conditions, strengths and weaknesses in our customers’ underlying businesses, and other factors, many of which are beyond our control, that reduce customers’ spending levels. In addition, customers may renew for fewer subscriptions, renew for shorter contract lengths if they were previously on multi-year contracts, or switch to lower cost offerings on our platform. These factors may also be exacerbated if our customer base continues to grow to encompass larger enterprises, which generally require more sophisticated and costly sales efforts. If our customers do not expand the value of their subscriptions over time, or if our customers fail to renew their subscriptions or renew on less economically beneficial terms, our revenue may decline or grow less quickly than anticipated and our business, financial condition and results of operations may be harmed.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customers, our business, financial condition and results of operations will be adversely affected.</w:t>
      </w:r>
    </w:p>
    <w:p>
      <w:pPr>
        <w:spacing w:after="0" w:line="243"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To increase our revenue, we must continue to attract new customers. Our success will depend to a substantial extent on the widespread adoption of our platform and products. Many enterprises may view digital adoption platforms and technologies such as ours as new and unproven, and may be reluctant or unwilling to migrate to our Digital Adoption Platform. Further, the adoption of SaaS business software may be slower in industries with heightened data security interests or business practices requiring highly customizable application software. In addition, as our target markets mature, our products evolve, and competitors introduce lower cost or differentiated products that are perceived to compete with our platform and products, our ability to sell subscriptions for our products could be impaired. Similarly, our subscription sales could be adversely affected if customers or users within these organizations perceive that features incorporated into competitive products reduce the need for our products, or if they prefer to purchase other products that are bundled with solutions offered by other companies that operate in adjacent markets and compete with our products. As a result of these and other factors, we may be unable to attract new customers, which may have an adverse effect on our business, financial condition and results of operations.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9" w:name="page20"/>
    <w:bookmarkEnd w:id="19"/>
    <w:p>
      <w:pPr>
        <w:jc w:val="both"/>
        <w:spacing w:after="0" w:line="276" w:lineRule="auto"/>
        <w:rPr>
          <w:sz w:val="20"/>
          <w:szCs w:val="20"/>
          <w:color w:val="auto"/>
        </w:rPr>
      </w:pPr>
      <w:r>
        <w:rPr>
          <w:rFonts w:ascii="Times New Roman" w:cs="Times New Roman" w:eastAsia="Times New Roman" w:hAnsi="Times New Roman"/>
          <w:sz w:val="18"/>
          <w:szCs w:val="18"/>
          <w:b w:val="1"/>
          <w:bCs w:val="1"/>
          <w:i w:val="1"/>
          <w:iCs w:val="1"/>
          <w:color w:val="auto"/>
        </w:rPr>
        <w:t>If we do not maintain the interoperability of our offerings across devices, operating systems and third-party applications that we do not control, and if we are not able to maintain and expand our relationships with third-party technology partners to integrate our offerings with their products and solutions, our business, financial condition and results of operations may be materially adversely affected.</w:t>
      </w:r>
    </w:p>
    <w:p>
      <w:pPr>
        <w:spacing w:after="0" w:line="181" w:lineRule="exact"/>
        <w:rPr>
          <w:sz w:val="20"/>
          <w:szCs w:val="20"/>
          <w:color w:val="auto"/>
        </w:rPr>
      </w:pPr>
    </w:p>
    <w:p>
      <w:pPr>
        <w:jc w:val="both"/>
        <w:ind w:firstLine="441"/>
        <w:spacing w:after="0" w:line="262" w:lineRule="auto"/>
        <w:rPr>
          <w:sz w:val="20"/>
          <w:szCs w:val="20"/>
          <w:color w:val="auto"/>
        </w:rPr>
      </w:pPr>
      <w:r>
        <w:rPr>
          <w:rFonts w:ascii="Times New Roman" w:cs="Times New Roman" w:eastAsia="Times New Roman" w:hAnsi="Times New Roman"/>
          <w:sz w:val="18"/>
          <w:szCs w:val="18"/>
          <w:color w:val="auto"/>
        </w:rPr>
        <w:t>Our success depends in part on our ability to integrate our platform and products with a variety of devices, operating systems and third-party applications that we do not control, and we need to continuously modify and enhance our offerings to adapt to changes in hardware, software, networking, browser and database technologies. Third-party products and services are constantly evolving, and we may not be able to modify our offerings to ensure their compatibility with those of other third parties following development changes. Third-party providers may change the features of their applications and software, restrict our access to their applications and software or alter the terms governing use of their applications and access to those applications and software in an adverse manner. Such changes could functionally limit or eliminate our ability to use these third-party applications and software in conjunction with our products, which could negatively impact customer demand, our competitive position and adversely affect our business. Certain companies with which we currently compete or may in the future compete own, develop, operate or distribute operating systems, cloud hosting services and other software applications, and/or have material business relationships with companies that own, develop, operate or distribute operating systems, application stores, cloud hosting services and other software that our offerings rely on to operate. These companies may be able to disrupt the operation or compatibility of our offerings with their products or services, or exert strong business influence on our ability to, and the terms on which we, operate and distribute our offerings. Moreover, some of these companies may have inherent advantages developing products and services that more tightly integrate with their software and hardware platforms or those of their business partners. Should these or any other third-party providers modify their products or standards in a manner that degrades the functionality of our offerings or gives preferential treatment to competitive products or services, whether to enhance their competitive position or for any other reason, we may not be able to offer the functionality that our customers need, which would negatively impact our ability to generate revenue and adversely affect our business. Furthermore, any losses or shifts in the market position of the providers of these third-party products and services could require us to identify and develop integrations with new third-party technologies. Such changes could consume substantial resources and may not be effective. Any expansion into new geographies may also require us to integrate our offerings with new third-party technologies, products and services and invest in developing new relationships with these providers. If we are unable to respond to changes in a cost-effective manner, our offerings may become less marketable, less competitive, or obsolete, and our business, financial condition and results of operations may be negatively impacted.</w:t>
      </w:r>
    </w:p>
    <w:p>
      <w:pPr>
        <w:spacing w:after="0" w:line="209"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Further, we have created mobile applications and mobile versions of our offerings to respond to the increasing number of people who access the internet and cloud-based software applications through mobile devices, including smartphones and handheld tablets or laptop computers. If these mobile applications do not perform well, our business may suffer. We are also dependent on third-party application stores that we do not control, and that may prevent us from timely updating our offerings, building new features, integrations, capabilities or other enhancements, or charging for access. Should any of these companies stop allowing or supporting access to our offerings, allow access for us only at an unsustainable cost, or make changes to the terms of access in order to make our offerings less desirable or harder to access, whether for competitive reasons or otherwise, it would also have a negative impact on our business.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0" w:name="page21"/>
    <w:bookmarkEnd w:id="20"/>
    <w:p>
      <w:pPr>
        <w:jc w:val="both"/>
        <w:spacing w:after="0" w:line="276" w:lineRule="auto"/>
        <w:rPr>
          <w:sz w:val="20"/>
          <w:szCs w:val="20"/>
          <w:color w:val="auto"/>
        </w:rPr>
      </w:pPr>
      <w:r>
        <w:rPr>
          <w:rFonts w:ascii="Times New Roman" w:cs="Times New Roman" w:eastAsia="Times New Roman" w:hAnsi="Times New Roman"/>
          <w:sz w:val="18"/>
          <w:szCs w:val="18"/>
          <w:b w:val="1"/>
          <w:bCs w:val="1"/>
          <w:i w:val="1"/>
          <w:iCs w:val="1"/>
          <w:color w:val="auto"/>
        </w:rPr>
        <w:t>The markets in which we compete are nascent and highly fragmented, and we may not be able to compete successfully against current and future competitors, some of which may have greater financial, technical, and other resources than we do. If we do not compete successfully our business, financial condition and results of operations could be harmed.</w:t>
      </w:r>
    </w:p>
    <w:p>
      <w:pPr>
        <w:spacing w:after="0" w:line="181" w:lineRule="exact"/>
        <w:rPr>
          <w:sz w:val="20"/>
          <w:szCs w:val="20"/>
          <w:color w:val="auto"/>
        </w:rPr>
      </w:pPr>
    </w:p>
    <w:p>
      <w:pPr>
        <w:jc w:val="both"/>
        <w:ind w:firstLine="441"/>
        <w:spacing w:after="0" w:line="297" w:lineRule="auto"/>
        <w:rPr>
          <w:sz w:val="20"/>
          <w:szCs w:val="20"/>
          <w:color w:val="auto"/>
        </w:rPr>
      </w:pPr>
      <w:r>
        <w:rPr>
          <w:rFonts w:ascii="Times New Roman" w:cs="Times New Roman" w:eastAsia="Times New Roman" w:hAnsi="Times New Roman"/>
          <w:sz w:val="18"/>
          <w:szCs w:val="18"/>
          <w:color w:val="auto"/>
        </w:rPr>
        <w:t>The market for our platform and products is highly fragmented, quickly evolving, and subject to rapid changes in technology. We believe that our ability to compete successfully depends upon many factors both within and beyond our control, including the following:</w:t>
      </w:r>
    </w:p>
    <w:p>
      <w:pPr>
        <w:spacing w:after="0" w:line="163"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of applications and technology integrations supported;</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for cross-application guidance, automation and analytics;</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expertise in third-party application implementations;</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robust analytics and visualization capabilities;</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cross-platform support for workflows including mobile native applications (iOS and Android) and desktop (Windows and macOS);</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implementation and use;</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security, scalability and reliability;</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of customer support;</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cost of ownership; and</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 and reputation.</w:t>
      </w:r>
    </w:p>
    <w:p>
      <w:pPr>
        <w:spacing w:after="0" w:line="2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main sources of competition fall into the following categories:</w:t>
      </w:r>
    </w:p>
    <w:p>
      <w:pPr>
        <w:spacing w:after="0" w:line="239" w:lineRule="exact"/>
        <w:rPr>
          <w:sz w:val="20"/>
          <w:szCs w:val="20"/>
          <w:color w:val="auto"/>
        </w:rPr>
      </w:pPr>
    </w:p>
    <w:p>
      <w:pPr>
        <w:ind w:left="340" w:hanging="332"/>
        <w:spacing w:after="0" w:line="297"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Non-adoption from enterprises maintaining the status quo of offline, internally developed, or non-dynamic, FAQ-centric application guidance and workflow support;</w:t>
      </w:r>
    </w:p>
    <w:p>
      <w:pPr>
        <w:spacing w:after="0" w:line="162" w:lineRule="exact"/>
        <w:rPr>
          <w:rFonts w:ascii="Times New Roman" w:cs="Times New Roman" w:eastAsia="Times New Roman" w:hAnsi="Times New Roman"/>
          <w:sz w:val="18"/>
          <w:szCs w:val="18"/>
          <w:color w:val="auto"/>
        </w:rPr>
      </w:pPr>
    </w:p>
    <w:p>
      <w:pPr>
        <w:ind w:left="340" w:hanging="332"/>
        <w:spacing w:after="0" w:line="297"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Point solutions embedded natively or as an add-on to software provided by diversified enterprise software companies such as SAP, Oracle, Microsoft, and Salesforce; and</w:t>
      </w:r>
    </w:p>
    <w:p>
      <w:pPr>
        <w:spacing w:after="0" w:line="16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Providers of software for specific in-app guidance or analytics use cases for SaaS applications.</w:t>
      </w:r>
    </w:p>
    <w:p>
      <w:pPr>
        <w:spacing w:after="0" w:line="252" w:lineRule="exact"/>
        <w:rPr>
          <w:sz w:val="20"/>
          <w:szCs w:val="20"/>
          <w:color w:val="auto"/>
        </w:rPr>
      </w:pPr>
    </w:p>
    <w:p>
      <w:pPr>
        <w:jc w:val="both"/>
        <w:ind w:firstLine="441"/>
        <w:spacing w:after="0" w:line="264" w:lineRule="auto"/>
        <w:rPr>
          <w:sz w:val="20"/>
          <w:szCs w:val="20"/>
          <w:color w:val="auto"/>
        </w:rPr>
      </w:pPr>
      <w:r>
        <w:rPr>
          <w:rFonts w:ascii="Times New Roman" w:cs="Times New Roman" w:eastAsia="Times New Roman" w:hAnsi="Times New Roman"/>
          <w:sz w:val="18"/>
          <w:szCs w:val="18"/>
          <w:color w:val="auto"/>
        </w:rPr>
        <w:t>Additionally, we compete with home-grown, start-up, and open-source technologies across the categories described above. With the trend toward distributed and remote workforces, the passage of time, the introduction of new technologies and the entrance of new market participants, competition has intensified, and we expect it to continue to intensify in the future. Established companies are also developing their own products that compete with ours, and may continue to do so in the future. Established companies may also acquire or establish product integration, distribution or other cooperative relationships with our current competitors. New competitors or alliances among competitors may emerge from time to time and rapidly acquire significant market share due to various factors such as their greater brand name recognition, larger existing user or customer base, customer preferences for their offerings, a larger or more effective sales organization and greater financial, technical, marketing and other resources and experience. Furthermore, with the recent increase in large merger and acquisition transactions in the technology industry, particularly transactions involving cloud-based technologies, there is a greater likelihood that we will compete with other larger technology companies in the future. Companies resulting from these potential consolidations may create more compelling product offerings and be able to offer more attractive pricing options, making it more difficult for us to compete effectively.</w:t>
      </w:r>
    </w:p>
    <w:p>
      <w:pPr>
        <w:spacing w:after="0" w:line="194" w:lineRule="exact"/>
        <w:rPr>
          <w:sz w:val="20"/>
          <w:szCs w:val="20"/>
          <w:color w:val="auto"/>
        </w:rPr>
      </w:pPr>
    </w:p>
    <w:p>
      <w:pPr>
        <w:jc w:val="both"/>
        <w:ind w:firstLine="441"/>
        <w:spacing w:after="0" w:line="264" w:lineRule="auto"/>
        <w:rPr>
          <w:sz w:val="20"/>
          <w:szCs w:val="20"/>
          <w:color w:val="auto"/>
        </w:rPr>
      </w:pPr>
      <w:r>
        <w:rPr>
          <w:rFonts w:ascii="Times New Roman" w:cs="Times New Roman" w:eastAsia="Times New Roman" w:hAnsi="Times New Roman"/>
          <w:sz w:val="18"/>
          <w:szCs w:val="18"/>
          <w:color w:val="auto"/>
        </w:rPr>
        <w:t>Many of our competitors have, and additional potential competitors may have, greater financial, technical, and other resources, greater brand recognition, larger sales forces and marketing budgets, broader distribution networks, more diverse product and services offerings, larger and more mature intellectual property portfolios, more established relationships in the industry and with customers, lower cost structures and greater customer experience resources. These competitors may be able to respond more quickly and effectively than we can to new or changing opportunities, technologies, standards and customer requirements. They may also be able to leverage these resources to gain business in a manner that discourages customers from purchasing our offerings. Potential customers may also prefer to purchase from companies with which they have an existing relationship rather than a new supplier, regardless of product performance or features. Furthermore, we expect that our industry will continue to attract new companies, including smaller emerging companies, which could introduce new offerings or alternative solutions to the problems we address. We may also expand into new markets and encounter additional competitors in such markets. The numerous and evolving competitive pressures in the markets in which we operate, or our failure to respond effectively to such pressures, may result in price reductions, fewer customers, reduced revenue, gross profit and gross margins, increased net losses and loss of market share, any of which could significantly and adversely affect our business, financial condition and results of operations.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1" w:name="page22"/>
    <w:bookmarkEnd w:id="2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Digital Adoption Platform is at the core of our business, and any decline in demand for our Digital Adoption Platform occasioned by malfunction, inferior performance, increased competition, economic conditions or otherwise, will impact our business, financial condition and results of operations.</w:t>
      </w:r>
    </w:p>
    <w:p>
      <w:pPr>
        <w:spacing w:after="0" w:line="186" w:lineRule="exact"/>
        <w:rPr>
          <w:sz w:val="20"/>
          <w:szCs w:val="20"/>
          <w:color w:val="auto"/>
        </w:rPr>
      </w:pPr>
    </w:p>
    <w:p>
      <w:pPr>
        <w:jc w:val="both"/>
        <w:ind w:firstLine="441"/>
        <w:spacing w:after="0" w:line="264" w:lineRule="auto"/>
        <w:rPr>
          <w:sz w:val="20"/>
          <w:szCs w:val="20"/>
          <w:color w:val="auto"/>
        </w:rPr>
      </w:pPr>
      <w:r>
        <w:rPr>
          <w:rFonts w:ascii="Times New Roman" w:cs="Times New Roman" w:eastAsia="Times New Roman" w:hAnsi="Times New Roman"/>
          <w:sz w:val="18"/>
          <w:szCs w:val="18"/>
          <w:color w:val="auto"/>
        </w:rPr>
        <w:t>Our Digital Adoption Platform is at the core of our business and all of our customer subscriptions. Customer subscriptions to our Digital Adoption Platform accounted for approximately 91% and 90% of our total revenue for the years ended December 31, 2021 and 2022, respectively, with the remainder of our revenue being derived from associated professional services. Accordingly, market acceptance of our Digital Adoption Platform is critical to our success. If demand for our Digital Adoption Platform declines, the demand for the associated professional services will also decline. Demand for our Digital Adoption Platform is affected by a number of factors, many of which are beyond our control, such as continued market acceptance of digital adoption platforms and technologies by customers for existing and new use cases, the timing of development and release of new features and functionality, lower cost alternatives introduced by our competitors, technological changes and developments within the markets we serve, including the potential introduction of native digital adoption solutions within software providers’ existing products, and macroeconomic conditions. If our Digital Adoption Platform fails to compete effectively or demand for our Digital Adoption Platform were to decline, then our business, financial condition and results of operations would be harmed.</w:t>
      </w:r>
    </w:p>
    <w:p>
      <w:pPr>
        <w:spacing w:after="0" w:line="190"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Unfavorable conditions in our industry or the global economy or reductions in information technology spending could limit our ability to grow our business and negatively affect our results of operations.</w:t>
      </w:r>
    </w:p>
    <w:p>
      <w:pPr>
        <w:spacing w:after="0" w:line="158"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Our results of operations may vary based on the impact of changes in our industry or the global economy on us or our customers. Current or future economic uncertainties or downturns could adversely affect our business and results of operations. Negative conditions in the general economy both in the United States and abroad, including conditions resulting from changes in gross domestic product growth, financial, and credit market fluctuations, rising inflation or interest rates, political turmoil, natural catastrophes, any pandemic, epidemic or outbreak of infectious disease, warfare, protests and riots, and terrorist attacks on the United States, Europe, the Middle East, the Asia Pacific region, or elsewhere, could cause a decrease in business investments by our customers and potential customers, including spending on information technology, and negatively affect the growth of our business.</w:t>
      </w:r>
    </w:p>
    <w:p>
      <w:pPr>
        <w:spacing w:after="0" w:line="190" w:lineRule="exact"/>
        <w:rPr>
          <w:sz w:val="20"/>
          <w:szCs w:val="20"/>
          <w:color w:val="auto"/>
        </w:rPr>
      </w:pPr>
    </w:p>
    <w:p>
      <w:pPr>
        <w:jc w:val="both"/>
        <w:ind w:firstLine="602"/>
        <w:spacing w:after="0" w:line="264" w:lineRule="auto"/>
        <w:rPr>
          <w:sz w:val="20"/>
          <w:szCs w:val="20"/>
          <w:color w:val="auto"/>
        </w:rPr>
      </w:pPr>
      <w:r>
        <w:rPr>
          <w:rFonts w:ascii="Times New Roman" w:cs="Times New Roman" w:eastAsia="Times New Roman" w:hAnsi="Times New Roman"/>
          <w:sz w:val="18"/>
          <w:szCs w:val="18"/>
          <w:color w:val="auto"/>
        </w:rPr>
        <w:t>For example, the United States has recently experienced historically high levels of inflation. The annual inflation rate for the United States was approximately 6.5% for the year ended December 31, 2022. In the event inflation persists or continues to increase, we may seek to increase the sales prices of our products and services in order to maintain satisfactory margins. Any attempts to offset cost increases with price increases may result in reduced sales, increase customer dissatisfaction or otherwise harm our reputation. Moreover, rising inflation and other macro conditions may have other adverse effects on the economy which are difficult to predict. For example, we maintain commercial banking relationships with multiple banks, including Silicon Valley Bank, a California corporation (“SVB”). On March 10, 2023, the Federal Deposit Insurance Corporation (the “FDIC”) took control of SVB and created the National Bank of Santa Clara to hold the deposits of SVB after SVB was unable to continue their operations. SVB’s deposits are insured by the FDIC in amount up to $250,000 for any depositor. On March 12, 2023, the U.S. Department of the Treasury, Federal Reserve Bank and FDIC announced that the FDIC will complete its resolution of SVB in a manner that fully protects all depositors. The failure of any bank with which we maintain a commercial relationship could cause us to lose our funds if not protected by insurance or similar regulatory actions.</w:t>
      </w:r>
    </w:p>
    <w:p>
      <w:pPr>
        <w:spacing w:after="0" w:line="207"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Moreover, persistent economic downturns may require us to undertake optimization and cost saving initiatives, including streamlining our organization and adjusting the size and structure of our workforce. For example, throughout 2022, we implemented certain cost reduction efforts to reduce material spend and operating expenses. In January 2023, we also restructured our workforce and eliminated 43 full-time positions, representing 3% of our workforce. Any reduction in force may yield unintended consequences and costs, such as attrition beyond the intended reduction in force, the distraction of employees and reduced employee morale, which could, in turn, adversely impact productivity, including through a loss of continuity, loss of accumulated knowledge or inefficiency during transitional periods. Any of these impacts could also adversely affect our reputation as an employer, make it more difficult for us to hire new employees in the future and increase the risk that we may not achieve the anticipated benefits from the restructuring.</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2" w:name="page23"/>
    <w:bookmarkEnd w:id="22"/>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recognize subscription revenue over the term of the relevant subscription period, and as a result, downturns or upturns in sales are not immediately reflected in full in our results of operations.</w:t>
      </w:r>
    </w:p>
    <w:p>
      <w:pPr>
        <w:spacing w:after="0" w:line="186"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We generate revenue primarily through sales of subscriptions to our Digital Adoption Platform, and we recognize our subscription revenue ratably over the term of the relevant subscription period. As a result, a significant portion of the revenue we report each fiscal quarter is the recognition of deferred revenue from subscription contracts entered into during previous fiscal quarters. Consequently, a decline in new or renewed subscriptions in any one fiscal quarter will not be fully or immediately reflected in revenue in that fiscal quarter and will negatively affect our revenue in future fiscal quarters. Accordingly, the effect of significant downturns in new or renewed sales of our subscriptions is not reflected in full in our results of operations until future periods.</w:t>
      </w:r>
    </w:p>
    <w:p>
      <w:pPr>
        <w:spacing w:after="0" w:line="186"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Our ability to achieve customer renewals and increase sales of our products is dependent on the quality of our customer support, and our failure to offer effective customer support would have an adverse effect on our reputation, business, financial condition and results of operations.</w:t>
      </w:r>
    </w:p>
    <w:p>
      <w:pPr>
        <w:spacing w:after="0" w:line="158"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Our customers depend on our customer support professionals, which we refer to as our customer success team, to resolve issues and realize the full benefits relating to our platform and products. If we do not succeed in helping our customers quickly resolve implementation and/or post-deployment issues or provide effective ongoing support and education, our ability to renew subscriptions with existing customers and to expand the value of those subscriptions would be adversely affected and our reputation with potential customers could also be damaged. In addition, a significant portion of our existing customer base consists of large enterprises, which generally have more complex IT environments and require higher levels of support than smaller customers. If we fail to meet the requirements of these customers, it may be more difficult to grow sales or maintain our relationships with them.</w:t>
      </w:r>
    </w:p>
    <w:p>
      <w:pPr>
        <w:spacing w:after="0" w:line="203"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Moreover, persistent economic downturns may require us to undertake optimization and cost saving initiatives, including streamlining our organization and adjusting the size and structure of our workforce. For example, throughout 2022, we implemented certain cost reduction efforts to reduce material spend and operating expenses. In January 2023, we also restructured our workforce and eliminated 43 full-time positions, representing 3% of our workforce. Any reduction in force may yield unintended consequences and costs, such as attrition beyond the intended reduction in force, the distraction of employees and reduced employee morale, which could, in turn, adversely impact productivity, including through a loss of continuity, loss of accumulated knowledge or inefficiency during transitional periods. Any of these impacts could also adversely affect our reputation as an employer, make it more difficult for us to hire new employees in the future and increase the risk that we may not achieve the anticipated benefits from the restructuring.</w:t>
      </w:r>
    </w:p>
    <w:p>
      <w:pPr>
        <w:spacing w:after="0" w:line="186"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and enhance our brand, our ability to expand our customer base will be impaired and our business, financial condition and results of operations may suffer.</w:t>
      </w:r>
    </w:p>
    <w:p>
      <w:pPr>
        <w:spacing w:after="0" w:line="158" w:lineRule="exact"/>
        <w:rPr>
          <w:sz w:val="20"/>
          <w:szCs w:val="20"/>
          <w:color w:val="auto"/>
        </w:rPr>
      </w:pPr>
    </w:p>
    <w:p>
      <w:pPr>
        <w:jc w:val="both"/>
        <w:ind w:firstLine="441"/>
        <w:spacing w:after="0" w:line="264" w:lineRule="auto"/>
        <w:rPr>
          <w:sz w:val="20"/>
          <w:szCs w:val="20"/>
          <w:color w:val="auto"/>
        </w:rPr>
      </w:pPr>
      <w:r>
        <w:rPr>
          <w:rFonts w:ascii="Times New Roman" w:cs="Times New Roman" w:eastAsia="Times New Roman" w:hAnsi="Times New Roman"/>
          <w:sz w:val="18"/>
          <w:szCs w:val="18"/>
          <w:color w:val="auto"/>
        </w:rPr>
        <w:t>We believe that maintaining and enhancing the WalkMe brand is important to support the marketing and sale of our existing and future products to new customers and to expanding sales of our products to existing customers. We also believe that brand recognition will become increasingly important as competition in our target markets increases. Successfully maintaining and enhancing our brand will depend largely on the effectiveness of our marketing efforts, our ability to provide reliable products that continue to meet the needs of our customers at competitive prices, our ability to maintain our customers’ trust, our ability to continue to develop new functionality and use cases, and our ability to successfully differentiate our products and platform capabilities from those of our competitors. Our brand promotion activities may not generate customer awareness or yield increased revenue, and even if they do, any increased revenue may not offset the marketing expenses we incur in building our brand. If we fail to successfully promote and maintain our brand, we may fail to attract new customers and retain existing customers as necessary to realize a sufficient return on our brand-building efforts, and may fail to achieve the widespread brand awareness that is critical for broad customer adoption of our offerings.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3" w:name="page24"/>
    <w:bookmarkEnd w:id="23"/>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manage our fixed and variable costs or expand the scale of our operations and generate a sufficient amount of revenue to offset the associated fixed and variable costs, our business, financial condition and results of operations may be materially and adversely affected.</w:t>
      </w:r>
    </w:p>
    <w:p>
      <w:pPr>
        <w:spacing w:after="0" w:line="186"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SaaS businesses like ours tend to involve certain fixed costs, and our ability to achieve desired operating margins depends largely on our success in maintaining a scale of operations and generating a sufficient amount of revenue to offset these fixed costs and other variable costs. Our fixed costs typically include compensation of employees, cloud-based computing services, data storage and related expenses and office rental expenses. Our variable costs typically include sales and marketing expenses. These costs can be difficult to manage, particularly as we continue to grow. If we are unable to effectively manage these costs or achieve economies of scale, our operating margin may decrease and our business, financial condition, results of operations and prospects could be materially and adversely affected.</w:t>
      </w:r>
    </w:p>
    <w:p>
      <w:pPr>
        <w:spacing w:after="0" w:line="186"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are likely to fluctuate from quarter to quarter, which could adversely affect our business, financial condition and results of operations.</w:t>
      </w:r>
    </w:p>
    <w:p>
      <w:pPr>
        <w:spacing w:after="0" w:line="158" w:lineRule="exact"/>
        <w:rPr>
          <w:sz w:val="20"/>
          <w:szCs w:val="20"/>
          <w:color w:val="auto"/>
        </w:rPr>
      </w:pPr>
    </w:p>
    <w:p>
      <w:pPr>
        <w:jc w:val="both"/>
        <w:ind w:firstLine="450"/>
        <w:spacing w:after="0" w:line="270" w:lineRule="auto"/>
        <w:rPr>
          <w:sz w:val="20"/>
          <w:szCs w:val="20"/>
          <w:color w:val="auto"/>
        </w:rPr>
      </w:pPr>
      <w:r>
        <w:rPr>
          <w:rFonts w:ascii="Times New Roman" w:cs="Times New Roman" w:eastAsia="Times New Roman" w:hAnsi="Times New Roman"/>
          <w:sz w:val="18"/>
          <w:szCs w:val="18"/>
          <w:color w:val="auto"/>
        </w:rPr>
        <w:t>Our results of operations, including our revenue, cost of revenue, gross margin, operating expenses and cash flow, have fluctuated from quarter to quarter in the past and may continue to vary significantly in the future so that period-to-period comparisons of our results of operations may not be meaningful. Accordingly, our financial results in any one quarter should not be relied upon as indicative of future performance. Our quarterly financial results may fluctuate as a result of a variety of factors, many of which may be difficult to predict, and may or may not fully reflect the underlying performance of our business. Factors that may cause fluctuations in our quarterly financial results include:</w:t>
      </w:r>
    </w:p>
    <w:p>
      <w:pPr>
        <w:spacing w:after="0" w:line="186"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new customers and expand sales within our existing customer base;</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existing customers;</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renewals and the timing of such renewals;</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customer usage of our products from period to period;</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satisfaction with our products and platform capabilities and customer support;</w:t>
      </w:r>
    </w:p>
    <w:p>
      <w:pPr>
        <w:spacing w:after="0" w:line="238" w:lineRule="exact"/>
        <w:rPr>
          <w:rFonts w:ascii="Times New Roman" w:cs="Times New Roman" w:eastAsia="Times New Roman" w:hAnsi="Times New Roman"/>
          <w:sz w:val="18"/>
          <w:szCs w:val="18"/>
          <w:color w:val="auto"/>
        </w:rPr>
      </w:pPr>
    </w:p>
    <w:p>
      <w:pPr>
        <w:ind w:left="340" w:hanging="332"/>
        <w:spacing w:after="0" w:line="297"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and acquisitions or other transactions affecting our customer base, including the consolidation of affiliates’ multiple accounts into a single account;</w:t>
      </w:r>
    </w:p>
    <w:p>
      <w:pPr>
        <w:spacing w:after="0" w:line="16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mix of our revenue between subscription and professional services;</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gain new partners and retain existing partners, and any changes in the economic terms of our agreements with such partners;</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decreases in the number of users or applications in our subscriptions or pricing changes upon any renewals of customer agreements;</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share-based compensation expense;</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potential customers to purchase alternative solutions or develop in-house technologies as alternatives to our products;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4" w:name="page25"/>
    <w:bookmarkEnd w:id="24"/>
    <w:p>
      <w:pPr>
        <w:ind w:left="340" w:hanging="332"/>
        <w:spacing w:after="0" w:line="297"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expenses related to the maintenance and expansion of our business and operations, including investments in research and development, sales and marketing, including the capacity of our sales team, and general and administrative resources;</w:t>
      </w:r>
    </w:p>
    <w:p>
      <w:pPr>
        <w:spacing w:after="0" w:line="16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cloud services infrastructure costs;</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disruptions or network outages;</w:t>
      </w:r>
    </w:p>
    <w:p>
      <w:pPr>
        <w:spacing w:after="0" w:line="238" w:lineRule="exact"/>
        <w:rPr>
          <w:rFonts w:ascii="Times New Roman" w:cs="Times New Roman" w:eastAsia="Times New Roman" w:hAnsi="Times New Roman"/>
          <w:sz w:val="18"/>
          <w:szCs w:val="18"/>
          <w:color w:val="auto"/>
        </w:rPr>
      </w:pPr>
    </w:p>
    <w:p>
      <w:pPr>
        <w:ind w:left="340" w:hanging="332"/>
        <w:spacing w:after="0" w:line="297"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proprietary rights, our platform or products, or third-party intellectual property or proprietary rights;</w:t>
      </w:r>
    </w:p>
    <w:p>
      <w:pPr>
        <w:spacing w:after="0" w:line="162" w:lineRule="exact"/>
        <w:rPr>
          <w:rFonts w:ascii="Times New Roman" w:cs="Times New Roman" w:eastAsia="Times New Roman" w:hAnsi="Times New Roman"/>
          <w:sz w:val="18"/>
          <w:szCs w:val="18"/>
          <w:color w:val="auto"/>
        </w:rPr>
      </w:pPr>
    </w:p>
    <w:p>
      <w:pPr>
        <w:ind w:left="340" w:hanging="332"/>
        <w:spacing w:after="0" w:line="297"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about our Company, our offerings or our partners, including as a result of actual or perceived breaches of, or failures relating to, data privacy, data protection or data security;</w:t>
      </w:r>
    </w:p>
    <w:p>
      <w:pPr>
        <w:spacing w:after="0" w:line="162" w:lineRule="exact"/>
        <w:rPr>
          <w:rFonts w:ascii="Times New Roman" w:cs="Times New Roman" w:eastAsia="Times New Roman" w:hAnsi="Times New Roman"/>
          <w:sz w:val="18"/>
          <w:szCs w:val="18"/>
          <w:color w:val="auto"/>
        </w:rPr>
      </w:pPr>
    </w:p>
    <w:p>
      <w:pPr>
        <w:ind w:left="340" w:right="20" w:hanging="332"/>
        <w:spacing w:after="0" w:line="297"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expenses related to the development or acquisition of technologies or businesses and potential future charges for impairment of goodwill from acquired companies;</w:t>
      </w:r>
    </w:p>
    <w:p>
      <w:pPr>
        <w:spacing w:after="0" w:line="16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w:t>
      </w:r>
    </w:p>
    <w:p>
      <w:pPr>
        <w:spacing w:after="0" w:line="238" w:lineRule="exact"/>
        <w:rPr>
          <w:rFonts w:ascii="Times New Roman" w:cs="Times New Roman" w:eastAsia="Times New Roman" w:hAnsi="Times New Roman"/>
          <w:sz w:val="18"/>
          <w:szCs w:val="18"/>
          <w:color w:val="auto"/>
        </w:rPr>
      </w:pPr>
    </w:p>
    <w:p>
      <w:pPr>
        <w:ind w:left="340" w:hanging="332"/>
        <w:spacing w:after="0" w:line="297"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or any other pandemic, epidemic, outbreak of infectious disease or other global health crises on our business, the businesses of our customers and partners and general economic conditions;</w:t>
      </w:r>
    </w:p>
    <w:p>
      <w:pPr>
        <w:spacing w:after="0" w:line="16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political uncertainty or unrest, including the war in Ukraine and recent political uncertainty in Israel, where our headquarters are located;</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policies or those of our competitors;</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growth rate of the overall markets that our products address;</w:t>
      </w:r>
    </w:p>
    <w:p>
      <w:pPr>
        <w:spacing w:after="0" w:line="238" w:lineRule="exact"/>
        <w:rPr>
          <w:rFonts w:ascii="Times New Roman" w:cs="Times New Roman" w:eastAsia="Times New Roman" w:hAnsi="Times New Roman"/>
          <w:sz w:val="18"/>
          <w:szCs w:val="18"/>
          <w:color w:val="auto"/>
        </w:rPr>
      </w:pPr>
    </w:p>
    <w:p>
      <w:pPr>
        <w:ind w:left="340" w:hanging="332"/>
        <w:spacing w:after="0" w:line="268"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in the underlying businesses of our customers, including budgeting cycles and purchasing practices, and any changes in customer spending patterns;</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strengths or weakness of our customers;</w:t>
      </w:r>
    </w:p>
    <w:p>
      <w:pPr>
        <w:spacing w:after="0" w:line="22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collect timely on invoices or receivables;</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potential outcomes of litigation or other disputes;</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238" w:lineRule="exact"/>
        <w:rPr>
          <w:rFonts w:ascii="Times New Roman" w:cs="Times New Roman" w:eastAsia="Times New Roman" w:hAnsi="Times New Roman"/>
          <w:sz w:val="18"/>
          <w:szCs w:val="18"/>
          <w:color w:val="auto"/>
        </w:rPr>
      </w:pPr>
    </w:p>
    <w:p>
      <w:pPr>
        <w:ind w:left="340" w:hanging="332"/>
        <w:spacing w:after="0" w:line="297"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overall effective tax rate, including impacts caused by any reorganization in our corporate tax structure and any new legislation or regulatory developments;</w:t>
      </w:r>
    </w:p>
    <w:p>
      <w:pPr>
        <w:spacing w:after="0" w:line="16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expand our business in the U.S. and internationally;</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compliance costs in new and existing markets; and</w:t>
      </w:r>
    </w:p>
    <w:p>
      <w:pPr>
        <w:spacing w:after="0" w:line="238" w:lineRule="exact"/>
        <w:rPr>
          <w:rFonts w:ascii="Times New Roman" w:cs="Times New Roman" w:eastAsia="Times New Roman" w:hAnsi="Times New Roman"/>
          <w:sz w:val="18"/>
          <w:szCs w:val="18"/>
          <w:color w:val="auto"/>
        </w:rPr>
      </w:pPr>
    </w:p>
    <w:p>
      <w:pPr>
        <w:ind w:left="340" w:hanging="332"/>
        <w:spacing w:after="0" w:line="297"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new products or product features introduced by us or our competitors or any other change in the competitive dynamics of our industry, including consolidation among competitors, customers or partners.</w:t>
      </w:r>
    </w:p>
    <w:p>
      <w:pPr>
        <w:spacing w:after="0" w:line="163"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impact of one or more of the foregoing or other factors may cause our results of operations to vary significantly. Such fluctuations could cause us to fail to meet the expectations of investors or securities analysts, which could cause the trading price of our ordinary shares to fall substantially, and we could face costly lawsuits, including securities class action suits. Additionally, the rapid growth we have experienced in recent years may have masked the full effects of these seasonal factors on our business to date, and as such, these factors may have a greater effect on our results of operations in future periods.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re-emergence of COVID-19, including new or related strains of the virus, could harm our business, financial condition and results of operations.</w:t>
      </w:r>
    </w:p>
    <w:p>
      <w:pPr>
        <w:spacing w:after="0" w:line="186" w:lineRule="exact"/>
        <w:rPr>
          <w:sz w:val="20"/>
          <w:szCs w:val="20"/>
          <w:color w:val="auto"/>
        </w:rPr>
      </w:pPr>
    </w:p>
    <w:p>
      <w:pPr>
        <w:jc w:val="both"/>
        <w:ind w:firstLine="507"/>
        <w:spacing w:after="0" w:line="264" w:lineRule="auto"/>
        <w:rPr>
          <w:sz w:val="20"/>
          <w:szCs w:val="20"/>
          <w:color w:val="auto"/>
        </w:rPr>
      </w:pPr>
      <w:r>
        <w:rPr>
          <w:rFonts w:ascii="Times New Roman" w:cs="Times New Roman" w:eastAsia="Times New Roman" w:hAnsi="Times New Roman"/>
          <w:sz w:val="18"/>
          <w:szCs w:val="18"/>
          <w:color w:val="auto"/>
        </w:rPr>
        <w:t>The effects of the COVID-19 pandemic on our business and our financial condition could include but are not limited to the following: (i) adverse effects on the productivity and availability of key personnel and other employees necessary to conduct our business, and on third-party service providers who perform critical services for us; (ii) increased data privacy, data protection, data security and fraud risks as a result of our employees working remotely; (iii) a negative impact on our operations and the execution of our business plans; (iv) related global macroeconomic impacts and disruptions, including rising inflation and rapidly increasing interest rates, an overall change in consumer behavior; (v) significant disruption of global financial markets, reducing our ability to access capital, which could in the future negatively affect our liquidity; (vi) significant reductions or volatility in the demand for one or more of our products; (vii) challenge our ability to enter into customer contracts in a timely manner and (viii) create operational or other challenges, any of which could harm our business, financial condition and results of operations. In addition, new pandemics, similar health epidemics and contagious disease outbreaks may emerge in the future that could have similar negative effects and macroeconomic conditions generally and as a result may adversely affect our business, results of operations, cash flows or financial condition.</w:t>
      </w:r>
    </w:p>
    <w:p>
      <w:pPr>
        <w:spacing w:after="0" w:line="190"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Our corporate culture has contributed to our success, and if we cannot maintain this culture as we grow or increasingly deploy remote work business models, we could lose the innovation, creativity, and entrepreneurial spirit we have worked to foster, which could harm our business.</w:t>
      </w:r>
    </w:p>
    <w:p>
      <w:pPr>
        <w:spacing w:after="0" w:line="158"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We believe that our culture has been and will continue to be a key contributor to our success. We expect to continue to hire aggressively to support our strategic priorities, and we will need to maintain our culture among a larger number of employees, dispersed across various geographic regions. Maintaining a strong corporate culture and a productive workforce could be increasingly difficult in distributed work environments where employees work in hybrid or remote workplaces. If we do not continue to maintain our corporate culture, we may be unable to foster the innovation, creativity and entrepreneurial spirit we believe we need to support our business. Any expansion of our business may also result in changes to our corporate culture, which could harm our ability to attract, recruit and retain employees, as well as our business and our prospects for future growth.</w:t>
      </w:r>
    </w:p>
    <w:p>
      <w:pPr>
        <w:spacing w:after="0" w:line="18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typically provide service-level commitments under our subscription agreements. If we fail to meet these contractual commitments, we could be obligated to provide credits for future service, extended subscription terms or refunds of prepaid amounts equivalent to the credits, any of which could lead to subscription termination or a decrease in customer renewals in future periods.</w:t>
      </w:r>
    </w:p>
    <w:p>
      <w:pPr>
        <w:spacing w:after="0" w:line="174" w:lineRule="exact"/>
        <w:rPr>
          <w:sz w:val="20"/>
          <w:szCs w:val="20"/>
          <w:color w:val="auto"/>
        </w:rPr>
      </w:pPr>
    </w:p>
    <w:p>
      <w:pPr>
        <w:jc w:val="both"/>
        <w:ind w:firstLine="441"/>
        <w:spacing w:after="0" w:line="264" w:lineRule="auto"/>
        <w:rPr>
          <w:sz w:val="20"/>
          <w:szCs w:val="20"/>
          <w:color w:val="auto"/>
        </w:rPr>
      </w:pPr>
      <w:r>
        <w:rPr>
          <w:rFonts w:ascii="Times New Roman" w:cs="Times New Roman" w:eastAsia="Times New Roman" w:hAnsi="Times New Roman"/>
          <w:sz w:val="18"/>
          <w:szCs w:val="18"/>
          <w:color w:val="auto"/>
        </w:rPr>
        <w:t>Our subscription agreements typically contain service-level commitments. If we are unable to meet the stated service-level commitments, including failure to meet the uptime and response time requirements under our customer subscription agreements, we may be contractually obligated to provide these customers with credits for future service, extended subscription terms or refunds of prepaid amounts equivalent to the credits, any of which could lead to subscription termination or a decrease in customer renewal. Accordingly, failure to meet our service-level commitments could significantly affect our revenue in the periods in which the failure occurs and the credits are applied or the refunds paid out. In addition, subscription terminations and any reduction in renewals resulting from service-level failures could significantly affect both our current and future revenue. Any service-level failures could also create negative publicity and damage our reputation, which may discourage prospective customers from adopting our offerings. In addition, if we modify the terms of our service-level commitments in future customer agreements in a manner that customers perceive to be unfavorable, demand for our offerings could be reduced. Any of these events could adversely affect our business, financial condition and results of operations.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6" w:name="page27"/>
    <w:bookmarkEnd w:id="2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increasingly target enterprise customers, and sales to these customers involve risks that may not be present or that are present to a lesser extent with sales to smaller entities.</w:t>
      </w:r>
    </w:p>
    <w:p>
      <w:pPr>
        <w:spacing w:after="0" w:line="186"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Our sales and marketing organization is increasingly focused on large enterprise customers. Sales to large customers involve risks that may not be present or that are present to a lesser extent with sales to smaller entities, such as longer sales cycles, more complex customer requirements, substantial upfront sales costs, and less predictability in completing some of our sales. For example, enterprise customers may require considerable time to evaluate and test our solutions and those of our competitors prior to making a purchase decision and placing an order. Moreover, large enterprise customers often begin to deploy our products on a limited basis, but nevertheless demand configuration, integration services and pricing negotiations, which increase our upfront investment in the sales effort with no guarantee that these customers will deploy our products widely enough across their organization to justify our substantial upfront investment.</w:t>
      </w:r>
    </w:p>
    <w:p>
      <w:pPr>
        <w:spacing w:after="0" w:line="186"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The failure to effectively develop and expand our sales and marketing capabilities, including third-party resources, could harm our ability to increase our customer base and achieve broader market acceptance of our offerings.</w:t>
      </w:r>
    </w:p>
    <w:p>
      <w:pPr>
        <w:spacing w:after="0" w:line="158" w:lineRule="exact"/>
        <w:rPr>
          <w:sz w:val="20"/>
          <w:szCs w:val="20"/>
          <w:color w:val="auto"/>
        </w:rPr>
      </w:pPr>
    </w:p>
    <w:p>
      <w:pPr>
        <w:jc w:val="both"/>
        <w:ind w:firstLine="441"/>
        <w:spacing w:after="0" w:line="263" w:lineRule="auto"/>
        <w:rPr>
          <w:sz w:val="20"/>
          <w:szCs w:val="20"/>
          <w:color w:val="auto"/>
        </w:rPr>
      </w:pPr>
      <w:r>
        <w:rPr>
          <w:rFonts w:ascii="Times New Roman" w:cs="Times New Roman" w:eastAsia="Times New Roman" w:hAnsi="Times New Roman"/>
          <w:sz w:val="18"/>
          <w:szCs w:val="18"/>
          <w:color w:val="auto"/>
        </w:rPr>
        <w:t>Our ability to increase our customer base and achieve broader market acceptance of our platform and products will depend to a significant extent on our ability to expand our sales and marketing operations. As part of our strategy, we plan to continue to invest to improve our direct sales force and to align our sales capacity to our strategic priorities. If we are unable to maintain a sufficient number of qualified sales personnel in the near term, our business and growth prospects will be adversely impacted. Identifying and recruiting qualified sales representatives and training them is time-consuming and resource-intensive, and they may not be fully trained and productive for a significant amount of time. We also plan to continue to dedicate significant resources to our marketing programs. All of these efforts will require us to invest significant financial and other resources. Our business will be harmed if our efforts do not generate a correspondingly significant increase in revenue. We will not achieve anticipated revenue growth from expanding our sales force if we are unable to hire, develop, motivate and retain talented sales personnel, if new sales personnel are unable to achieve desired productivity levels in a reasonable period of time, or if our sales and marketing programs are not effective. In addition, because we rely primarily on a direct sales model, our customer acquisition costs are higher than those of organizations that rely primarily on a self-service model, which may limit our ability to cut costs in response to changing economic and competitive conditions.</w:t>
      </w:r>
    </w:p>
    <w:p>
      <w:pPr>
        <w:spacing w:after="0" w:line="205" w:lineRule="exact"/>
        <w:rPr>
          <w:sz w:val="20"/>
          <w:szCs w:val="20"/>
          <w:color w:val="auto"/>
        </w:rPr>
      </w:pPr>
    </w:p>
    <w:p>
      <w:pPr>
        <w:jc w:val="both"/>
        <w:ind w:firstLine="441"/>
        <w:spacing w:after="0" w:line="264" w:lineRule="auto"/>
        <w:rPr>
          <w:sz w:val="20"/>
          <w:szCs w:val="20"/>
          <w:color w:val="auto"/>
        </w:rPr>
      </w:pPr>
      <w:r>
        <w:rPr>
          <w:rFonts w:ascii="Times New Roman" w:cs="Times New Roman" w:eastAsia="Times New Roman" w:hAnsi="Times New Roman"/>
          <w:sz w:val="18"/>
          <w:szCs w:val="18"/>
          <w:color w:val="auto"/>
        </w:rPr>
        <w:t>In addition to our direct sales force, we also leverage reseller and other partner relationships to help market and sell our offerings to customers around the world, particularly in jurisdictions in which we have a limited presence. Though we expect that we will need to maintain and expand our network of partners as we continue to expand our presence in international markets, these relationships subject us to certain risks. Some of our partners, mainly system integrators, offer a wide array of software and services in addition to ours. Because most of their revenue is derived from selling professional services, they may prioritize sales of other more professional- services heavy solutions instead of ours. Moreover, we may face channel conflicts with producers of software that our customers use in addition to ours. If such producers perceive our solutions as a competitive threat to their products, our ability to maintain or establish partnerships with third parties may be adversely affected. In addition, recruiting and retaining qualified partners and training them in our technology and offerings requires significant time and resources. If we decide to further develop and expand our indirect sales channels, we must continue to scale and improve our processes and procedures to support these channels, including investing in systems and training. Many partners may not be willing to invest the time and resources required to train their staff to effectively market and sell our offerings.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sales prices of our products may change, which may reduce our revenue and gross profit and adversely affect our financial results.</w:t>
      </w:r>
    </w:p>
    <w:p>
      <w:pPr>
        <w:spacing w:after="0" w:line="243" w:lineRule="exact"/>
        <w:rPr>
          <w:sz w:val="20"/>
          <w:szCs w:val="20"/>
          <w:color w:val="auto"/>
        </w:rPr>
      </w:pPr>
    </w:p>
    <w:p>
      <w:pPr>
        <w:jc w:val="both"/>
        <w:ind w:firstLine="441"/>
        <w:spacing w:after="0" w:line="263" w:lineRule="auto"/>
        <w:rPr>
          <w:sz w:val="20"/>
          <w:szCs w:val="20"/>
          <w:color w:val="auto"/>
        </w:rPr>
      </w:pPr>
      <w:r>
        <w:rPr>
          <w:rFonts w:ascii="Times New Roman" w:cs="Times New Roman" w:eastAsia="Times New Roman" w:hAnsi="Times New Roman"/>
          <w:sz w:val="18"/>
          <w:szCs w:val="18"/>
          <w:color w:val="auto"/>
        </w:rPr>
        <w:t>The sales prices for our products may be subject to change for a variety of reasons, including competitive pricing pressures, discounts, anticipation of the introduction of new products, general economic conditions, or changes in our marketing, customer acquisition and technology costs and, as a result, we anticipate that we will need to change our pricing model from time to time. In the past, including in connection with the COVID-19 pandemic, we have sometimes adjusted our prices for individual customers in certain situations, and expect to do so from time to time in the future. Moreover, demand for our offerings is price-sensitive. Competition continues to increase in the market segments in which we participate, and we expect competition to further increase in the future, thereby leading to increased pricing pressures. Larger competitors with more diverse offerings may reduce the price of offerings that compete with ours or may bundle them with other offerings and provide them for free. Similarly, certain competitors may use marketing strategies that enable them to acquire users more rapidly or at a lower cost than us, or both, and we may be unable to attract new customers or grow and retain our customer base based on our historical pricing. As we develop and introduce new offerings, as well as features, integrations, capabilities and other enhancements, we may need to, or choose to, revise our pricing. We may also face challenges setting prices for new and existing offerings in any new geographies into which we expand. There can be no assurance that we will not be forced to engage in price-cutting initiatives or to increase our marketing and other expenses to attract customers in response to competitive or other pressures. Any decrease in the sales prices for our products, without a corresponding decrease in costs, increase in volume or increase in revenue from our other offerings, would adversely affect our revenue and gross profit. We cannot assure you that we will be able to maintain our prices and gross profits at levels that will allow us to achieve and maintain profitability.</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7" w:name="page28"/>
    <w:bookmarkEnd w:id="2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length of our sales cycle can be unpredictable, particularly with respect to sales to enterprise customers, and our sales efforts may require considerable time and expense.</w:t>
      </w:r>
    </w:p>
    <w:p>
      <w:pPr>
        <w:spacing w:after="0" w:line="186" w:lineRule="exact"/>
        <w:rPr>
          <w:sz w:val="20"/>
          <w:szCs w:val="20"/>
          <w:color w:val="auto"/>
        </w:rPr>
      </w:pPr>
    </w:p>
    <w:p>
      <w:pPr>
        <w:jc w:val="both"/>
        <w:ind w:firstLine="441"/>
        <w:spacing w:after="0" w:line="264" w:lineRule="auto"/>
        <w:rPr>
          <w:sz w:val="20"/>
          <w:szCs w:val="20"/>
          <w:color w:val="auto"/>
        </w:rPr>
      </w:pPr>
      <w:r>
        <w:rPr>
          <w:rFonts w:ascii="Times New Roman" w:cs="Times New Roman" w:eastAsia="Times New Roman" w:hAnsi="Times New Roman"/>
          <w:sz w:val="18"/>
          <w:szCs w:val="18"/>
          <w:color w:val="auto"/>
        </w:rPr>
        <w:t>Our results of operations may fluctuate, in part, because of the length and variability of the sales cycle of our subscriptions and the difficulty in making short-term adjustments to our operating expenses. Our results of operations depend in large part on sales to new enterprise customers and increasing sales to existing customers. The length of our sales cycle, from initial contact from a prospective customer to contractually committing to one or more of our offerings, can vary substantially from customer to customer based on a number of factors, including deal complexity, implementation time and the need for our customers to satisfy their own internal requirements and processes, as well as whether a sale is made directly by us or by one of our resellers or other partners. It is difficult to predict exactly when, or even if, we will make a sale to a potential customer, or if and when we can increase sales to our existing customers. As a result, large individual sales have, in some cases, occurred in quarters subsequent to those we anticipated, or have not occurred at all. Because a substantial proportion of our expenses are relatively fixed in the short term, our results of operations will suffer if our revenue falls below our expectations in a particular quarter, which could cause the price of our ordinary shares to decline.</w:t>
      </w:r>
    </w:p>
    <w:p>
      <w:pPr>
        <w:spacing w:after="0" w:line="188"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Expansion into markets outside the United States is important to the growth of our business, and if we do not manage the business and economic risks of international expansion effectively, it could materially and adversely affect our business, financial condition and results of operations.</w:t>
      </w:r>
    </w:p>
    <w:p>
      <w:pPr>
        <w:spacing w:after="0" w:line="158" w:lineRule="exact"/>
        <w:rPr>
          <w:sz w:val="20"/>
          <w:szCs w:val="20"/>
          <w:color w:val="auto"/>
        </w:rPr>
      </w:pPr>
    </w:p>
    <w:p>
      <w:pPr>
        <w:jc w:val="both"/>
        <w:ind w:firstLine="441"/>
        <w:spacing w:after="0" w:line="270" w:lineRule="auto"/>
        <w:rPr>
          <w:sz w:val="20"/>
          <w:szCs w:val="20"/>
          <w:color w:val="auto"/>
        </w:rPr>
      </w:pPr>
      <w:r>
        <w:rPr>
          <w:rFonts w:ascii="Times New Roman" w:cs="Times New Roman" w:eastAsia="Times New Roman" w:hAnsi="Times New Roman"/>
          <w:sz w:val="18"/>
          <w:szCs w:val="18"/>
          <w:color w:val="auto"/>
        </w:rPr>
        <w:t>Our future success depends, in part, on our ability to sustain and expand our penetration of the international markets in which we currently operate and to expand into additional international markets. Our ability to expand internationally will depend upon our ability to deliver functionality and other features that reflect the needs and preferences of the international customers that we target and to successfully navigate the risks inherent in operating a business internationally. The continued expansion of our international operations will subject us to new risks and may increase risks that we currently face, including risks associated with:</w:t>
      </w:r>
    </w:p>
    <w:p>
      <w:pPr>
        <w:spacing w:after="0" w:line="186" w:lineRule="exact"/>
        <w:rPr>
          <w:sz w:val="20"/>
          <w:szCs w:val="20"/>
          <w:color w:val="auto"/>
        </w:rPr>
      </w:pPr>
    </w:p>
    <w:p>
      <w:pPr>
        <w:ind w:left="340" w:right="20" w:hanging="332"/>
        <w:spacing w:after="0" w:line="297"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and retaining talented and capable employees outside of Israel and the United States, and maintaining our Company culture across all of our offices;</w:t>
      </w:r>
    </w:p>
    <w:p>
      <w:pPr>
        <w:spacing w:after="0" w:line="162" w:lineRule="exact"/>
        <w:rPr>
          <w:rFonts w:ascii="Times New Roman" w:cs="Times New Roman" w:eastAsia="Times New Roman" w:hAnsi="Times New Roman"/>
          <w:sz w:val="18"/>
          <w:szCs w:val="18"/>
          <w:color w:val="auto"/>
        </w:rPr>
      </w:pPr>
    </w:p>
    <w:p>
      <w:pPr>
        <w:jc w:val="both"/>
        <w:ind w:left="340" w:hanging="332"/>
        <w:spacing w:after="0" w:line="274"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our platform and operating our business across a significant distance, in different languages and among different cultures, including the potential need to modify our platform and features to reflect local languages and to ensure that they are culturally appropriate and relevant in different countries;</w:t>
      </w:r>
    </w:p>
    <w:p>
      <w:pPr>
        <w:spacing w:after="0" w:line="19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anticipated availability and adoption of cloud and technology infrastructures by international businesses;</w:t>
      </w:r>
    </w:p>
    <w:p>
      <w:pPr>
        <w:spacing w:after="0" w:line="238" w:lineRule="exact"/>
        <w:rPr>
          <w:rFonts w:ascii="Times New Roman" w:cs="Times New Roman" w:eastAsia="Times New Roman" w:hAnsi="Times New Roman"/>
          <w:sz w:val="18"/>
          <w:szCs w:val="18"/>
          <w:color w:val="auto"/>
        </w:rPr>
      </w:pPr>
    </w:p>
    <w:p>
      <w:pPr>
        <w:jc w:val="both"/>
        <w:ind w:left="340" w:right="20" w:hanging="332"/>
        <w:spacing w:after="0" w:line="274"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evolving and potentially inconsistent international laws and regulations, including laws and regulations with respect to tariffs, privacy, data protection, data security, consumer protection and unsolicited email, and the risk of penalties to our customers, users and individual members of our executive leadership team or other employees if our practices are deemed to be out of compliance;</w:t>
      </w:r>
    </w:p>
    <w:p>
      <w:pPr>
        <w:spacing w:after="0" w:line="19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 jurisdictions that do not protect intellectual property rights to the same extent as does the United States;</w:t>
      </w:r>
    </w:p>
    <w:p>
      <w:pPr>
        <w:spacing w:after="0" w:line="238" w:lineRule="exact"/>
        <w:rPr>
          <w:rFonts w:ascii="Times New Roman" w:cs="Times New Roman" w:eastAsia="Times New Roman" w:hAnsi="Times New Roman"/>
          <w:sz w:val="18"/>
          <w:szCs w:val="18"/>
          <w:color w:val="auto"/>
        </w:rPr>
      </w:pPr>
    </w:p>
    <w:p>
      <w:pPr>
        <w:jc w:val="both"/>
        <w:ind w:left="340" w:hanging="332"/>
        <w:spacing w:after="0" w:line="274"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rely on local partners including in connection with joint venture or other arrangements like our Japanese subsidiary, WalkMe K.K., to penetrate certain geographic regions, which may make us dependent on such local partners to implement our growth strategy. See Item 5. “Operating and Financial Review and Prospects-Commitments and Contractual Obligations-WalkMe K.K.”;</w:t>
      </w:r>
    </w:p>
    <w:p>
      <w:pPr>
        <w:spacing w:after="0" w:line="195" w:lineRule="exact"/>
        <w:rPr>
          <w:rFonts w:ascii="Times New Roman" w:cs="Times New Roman" w:eastAsia="Times New Roman" w:hAnsi="Times New Roman"/>
          <w:sz w:val="18"/>
          <w:szCs w:val="18"/>
          <w:color w:val="auto"/>
        </w:rPr>
      </w:pPr>
    </w:p>
    <w:p>
      <w:pPr>
        <w:ind w:left="340" w:hanging="332"/>
        <w:spacing w:after="0" w:line="297"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by us and our business partners with anti-corruption laws, import and export control laws, tariffs, trade barriers, economic sanctions and other regulatory limitations on our ability to provide our platform in certain international markets;</w:t>
      </w:r>
    </w:p>
    <w:p>
      <w:pPr>
        <w:spacing w:after="0" w:line="16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political, social and economic instability including instability arising from the war in Ukraine;</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8" w:name="page29"/>
    <w:bookmarkEnd w:id="28"/>
    <w:p>
      <w:pPr>
        <w:jc w:val="both"/>
        <w:ind w:left="340" w:hanging="332"/>
        <w:spacing w:after="0" w:line="274"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double taxation of our international earnings and potentially adverse tax consequences due to changes in the income and other tax laws of Israel, the United States or the international jurisdictions in which we operate, including the complexities of foreign value added tax (or other tax) systems, and restrictions on the repatriation of earnings;</w:t>
      </w:r>
    </w:p>
    <w:p>
      <w:pPr>
        <w:spacing w:after="0" w:line="19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of doing business internationally, including increased accounting, travel, infrastructure and legal compliance costs;</w:t>
      </w:r>
    </w:p>
    <w:p>
      <w:pPr>
        <w:spacing w:after="0" w:line="238" w:lineRule="exact"/>
        <w:rPr>
          <w:rFonts w:ascii="Times New Roman" w:cs="Times New Roman" w:eastAsia="Times New Roman" w:hAnsi="Times New Roman"/>
          <w:sz w:val="18"/>
          <w:szCs w:val="18"/>
          <w:color w:val="auto"/>
        </w:rPr>
      </w:pPr>
    </w:p>
    <w:p>
      <w:pPr>
        <w:ind w:left="340" w:hanging="332"/>
        <w:spacing w:after="0" w:line="297"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labor regulations, especially in the European Union, where labor laws are generally more advantageous to employees as compared to the United States, including deemed hourly wage and overtime regulations in these locations;</w:t>
      </w:r>
    </w:p>
    <w:p>
      <w:pPr>
        <w:spacing w:after="0" w:line="162" w:lineRule="exact"/>
        <w:rPr>
          <w:rFonts w:ascii="Times New Roman" w:cs="Times New Roman" w:eastAsia="Times New Roman" w:hAnsi="Times New Roman"/>
          <w:sz w:val="18"/>
          <w:szCs w:val="18"/>
          <w:color w:val="auto"/>
        </w:rPr>
      </w:pPr>
    </w:p>
    <w:p>
      <w:pPr>
        <w:ind w:left="340" w:hanging="332"/>
        <w:spacing w:after="0" w:line="297"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the COVID-19 pandemic, or any other pandemic, epidemic or outbreak of infectious disease, including uncertainty regarding what measures the United States or foreign governments will take in response;</w:t>
      </w:r>
    </w:p>
    <w:p>
      <w:pPr>
        <w:spacing w:after="0" w:line="162" w:lineRule="exact"/>
        <w:rPr>
          <w:rFonts w:ascii="Times New Roman" w:cs="Times New Roman" w:eastAsia="Times New Roman" w:hAnsi="Times New Roman"/>
          <w:sz w:val="18"/>
          <w:szCs w:val="18"/>
          <w:color w:val="auto"/>
        </w:rPr>
      </w:pPr>
    </w:p>
    <w:p>
      <w:pPr>
        <w:ind w:left="340" w:hanging="332"/>
        <w:spacing w:after="0" w:line="297"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exchange controls, including restrictions promulgated by the United States Department of the Treasury’s Office of Foreign Assets Control (“OFAC”), and other similar trade protection regulations and measures in the United States, Israel or in other jurisdictions;</w:t>
      </w:r>
    </w:p>
    <w:p>
      <w:pPr>
        <w:spacing w:after="0" w:line="16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ability to timely collect amounts owed to us by our customers in countries where our recourse may be more limited;</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reinvest earnings from operations derived from one country to fund the capital needs of our operations in other countries;</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laws, regulations, and costs affecting our United Kingdom (“UK”) operations and personnel due to Brexit;</w:t>
      </w:r>
    </w:p>
    <w:p>
      <w:pPr>
        <w:spacing w:after="0" w:line="238" w:lineRule="exact"/>
        <w:rPr>
          <w:rFonts w:ascii="Times New Roman" w:cs="Times New Roman" w:eastAsia="Times New Roman" w:hAnsi="Times New Roman"/>
          <w:sz w:val="18"/>
          <w:szCs w:val="18"/>
          <w:color w:val="auto"/>
        </w:rPr>
      </w:pPr>
    </w:p>
    <w:p>
      <w:pPr>
        <w:jc w:val="both"/>
        <w:ind w:left="340" w:hanging="332"/>
        <w:spacing w:after="0" w:line="274"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Israeli company, we are subject to Israeli laws concerning governmental access to data and the risk, or perception of risk, of such access may making our platform less attractive to organizations outside Israel, and compliance with such Israeli laws may conflict with legal obligations that we, or other organizations on our platform, may be subject to in other countries; and</w:t>
      </w:r>
    </w:p>
    <w:p>
      <w:pPr>
        <w:spacing w:after="0" w:line="195" w:lineRule="exact"/>
        <w:rPr>
          <w:rFonts w:ascii="Times New Roman" w:cs="Times New Roman" w:eastAsia="Times New Roman" w:hAnsi="Times New Roman"/>
          <w:sz w:val="18"/>
          <w:szCs w:val="18"/>
          <w:color w:val="auto"/>
        </w:rPr>
      </w:pPr>
    </w:p>
    <w:p>
      <w:pPr>
        <w:ind w:left="340" w:hanging="332"/>
        <w:spacing w:after="0" w:line="297"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liabilities under anti-corruption and anti-money laundering laws, including the U.S. Foreign Corrupt Practices Act of 1977, as amended, and similar applicable laws and regulations in other jurisdictions.</w:t>
      </w:r>
    </w:p>
    <w:p>
      <w:pPr>
        <w:spacing w:after="0" w:line="163"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While we have invested, and expect to continue to invest, significant resources in our international operations and expansion, it is possible that returns on such investments will not be achieved in the near future or at all in these less familiar competitive and regulatory environments. Compliance with laws and regulations applicable to our global operations could substantially increase our cost of doing business in international jurisdictions, and any violations could result in enforcement actions, fines, civil and criminal penalties, damages, injunctions, or reputational harm. If we are unable to comply with these laws and regulations or manage the difficulties and challenges described above and any other problems we encounter in connection with our international operations and expansion, our business, financial condition and results of operations could be materially and adversely affected.</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We expect our revenue mix to vary over time, which could harm our gross margin and results of operations.</w:t>
      </w:r>
    </w:p>
    <w:p>
      <w:pPr>
        <w:spacing w:after="0" w:line="243"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Our gross margins and results of operations could be harmed by changes in our revenue mix between subscription and professional services and associated costs resulting from any number of factors, including an increase in the number of partner-assisted sales; entry into new markets or growth in lower margin markets; entry into markets with different pricing and cost structures; pricing discounts; and increased price competition. Any one of these factors or the cumulative effects of certain of these factors may result in significant fluctuations in our gross margin and results of operations. This variability and unpredictability could result in our failure to meet internal expectations or those of securities analysts or investors for a particular period. If we fail to meet or exceed such expectations for these or any other reasons, the market price of our ordinary shares could decline.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Catastrophic events, or man-made problems such as war or terrorism, including the war in Ukraine, may disrupt our business.</w:t>
      </w:r>
    </w:p>
    <w:p>
      <w:pPr>
        <w:spacing w:after="0" w:line="243" w:lineRule="exact"/>
        <w:rPr>
          <w:sz w:val="20"/>
          <w:szCs w:val="20"/>
          <w:color w:val="auto"/>
        </w:rPr>
      </w:pPr>
    </w:p>
    <w:p>
      <w:pPr>
        <w:jc w:val="both"/>
        <w:ind w:firstLine="441"/>
        <w:spacing w:after="0" w:line="263" w:lineRule="auto"/>
        <w:rPr>
          <w:sz w:val="20"/>
          <w:szCs w:val="20"/>
          <w:color w:val="auto"/>
        </w:rPr>
      </w:pPr>
      <w:r>
        <w:rPr>
          <w:rFonts w:ascii="Times New Roman" w:cs="Times New Roman" w:eastAsia="Times New Roman" w:hAnsi="Times New Roman"/>
          <w:sz w:val="18"/>
          <w:szCs w:val="18"/>
          <w:color w:val="auto"/>
        </w:rPr>
        <w:t>A significant natural disaster, such as an earthquake, fire, flood, or significant power outage could have an adverse impact on our business, financial condition and results of operations. Climate change may impact the frequency and/or intensity of such events as well as cause chronic changes, such as changes in temperature or precipitation patterns or sea-level rise, that may also have an adverse impact on our operations. For example, in certain areas, there has been an increase in power shutoffs associated with wildfire prevention. A number of our management team and other employees, as well as our customers and partners, are located in the San Francisco Bay Area, a region known for seismic activity and increasingly, wildfires. In the event our or our customers’ or partners’ operations are hindered by any of the events discussed above, sales could be delayed, resulting in missed financial targets for a particular reporting period. In addition, acts of terrorism, war, such as the ongoing and rapidly escalating conflict in Ukraine, pandemics, such as the COVID-19 pandemic or any other pandemic, epidemic, outbreak of infectious disease or other public health crisis, protests, riots and other geo-political unrest could cause disruptions in our business or the businesses of our customers, partners, or the economy as a whole. For example, we have a small software development team based in Kyiv, Ukraine that has been disrupted by the recent outbreak of war in that country. While we have not experienced a material impact on our product roadmap due to this disruption, the human cost to our employees as well as the potential for broader, adverse impacts of this war, including heightened operating risks in Ukraine and Europe, additional sanctions or counter-sanctions, heightened inflation, cyber-attacks, higher energy costs and higher supply chain costs, as well as broader impact on global and regional economies, is difficult to measure, and the ultimate impact of such events on our business is difficult to predict. Any disruption in the businesses of our customers or partners could have a significant adverse impact on our results. All of the aforementioned risks may be further increased if our disaster recovery plans or those of our customers or partners prove to be inadequate.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currency exchange rates, which could negatively affect our financial condition and results of operations.</w:t>
      </w:r>
    </w:p>
    <w:p>
      <w:pPr>
        <w:spacing w:after="0" w:line="2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functional currency is the U.S. dollar and our revenue and expenses are primarily denominated in U.S. dollars, with the exception of WalkMe</w:t>
      </w:r>
    </w:p>
    <w:p>
      <w:pPr>
        <w:spacing w:after="0" w:line="27" w:lineRule="exact"/>
        <w:rPr>
          <w:sz w:val="20"/>
          <w:szCs w:val="20"/>
          <w:color w:val="auto"/>
        </w:rPr>
      </w:pPr>
    </w:p>
    <w:p>
      <w:pPr>
        <w:jc w:val="both"/>
        <w:ind w:firstLine="8"/>
        <w:spacing w:after="0" w:line="269" w:lineRule="auto"/>
        <w:tabs>
          <w:tab w:leader="none" w:pos="37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Japanese subsidiary, for which the Japanese Yen is the functional currency. However, a significant portion of our headcount related expenses, consisting principally of salaries and related personnel expenses as well as leases and certain other operating expenses, are denominated in New Israeli Shekels (“NIS”). This foreign currency exposure gives rise to market risk associated with exchange rate movements of the U.S. dollar against the NIS. Furthermore, we anticipate that a material portion of our expenses will continue to be denominated in NIS.</w:t>
      </w:r>
    </w:p>
    <w:p>
      <w:pPr>
        <w:spacing w:after="0" w:line="188" w:lineRule="exact"/>
        <w:rPr>
          <w:sz w:val="20"/>
          <w:szCs w:val="20"/>
          <w:color w:val="auto"/>
        </w:rPr>
      </w:pPr>
    </w:p>
    <w:p>
      <w:pPr>
        <w:jc w:val="both"/>
        <w:ind w:firstLine="441"/>
        <w:spacing w:after="0" w:line="269" w:lineRule="auto"/>
        <w:rPr>
          <w:sz w:val="20"/>
          <w:szCs w:val="20"/>
          <w:color w:val="auto"/>
        </w:rPr>
      </w:pPr>
      <w:r>
        <w:rPr>
          <w:rFonts w:ascii="Times New Roman" w:cs="Times New Roman" w:eastAsia="Times New Roman" w:hAnsi="Times New Roman"/>
          <w:sz w:val="18"/>
          <w:szCs w:val="18"/>
          <w:color w:val="auto"/>
        </w:rPr>
        <w:t>In addition, increased international sales have resulted and, in the future, may result in greater foreign currency denominated sales, increasing our foreign currency risk. Moreover, operating expenses incurred outside the United States and denominated in foreign currencies are increasing and are subject to fluctuations due to changes in foreign currency exchange rates. If we are not able to successfully hedge against the risks associated with currency fluctuations, our financial condition and results of operations could be adversely affected. While we may decide to continue to enter into hedging transactions in the future, the availability and effectiveness of these hedging transactions may be limited and we may not be able to successfully hedge our exposure, which could adversely affect our financial condition and results of operations.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30" w:name="page31"/>
    <w:bookmarkEnd w:id="30"/>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raise additional funds to finance our future capital needs, which may dilute the value of our outstanding ordinary shares or, if we are unable to raise sufficient additional funds, may prevent us from growing our business.</w:t>
      </w:r>
    </w:p>
    <w:p>
      <w:pPr>
        <w:spacing w:after="0" w:line="186" w:lineRule="exact"/>
        <w:rPr>
          <w:sz w:val="20"/>
          <w:szCs w:val="20"/>
          <w:color w:val="auto"/>
        </w:rPr>
      </w:pPr>
    </w:p>
    <w:p>
      <w:pPr>
        <w:jc w:val="both"/>
        <w:ind w:firstLine="441"/>
        <w:spacing w:after="0" w:line="263" w:lineRule="auto"/>
        <w:rPr>
          <w:sz w:val="20"/>
          <w:szCs w:val="20"/>
          <w:color w:val="auto"/>
        </w:rPr>
      </w:pPr>
      <w:r>
        <w:rPr>
          <w:rFonts w:ascii="Times New Roman" w:cs="Times New Roman" w:eastAsia="Times New Roman" w:hAnsi="Times New Roman"/>
          <w:sz w:val="18"/>
          <w:szCs w:val="18"/>
          <w:color w:val="auto"/>
        </w:rPr>
        <w:t>Historically, we have funded our operations and capital expenditures primarily through our operating cash flows and the net proceeds we have received from sales of equity securities. Although we believe that our existing cash and cash equivalents, short-term bank deposits and marketable securities, together with cash flow from operations, will be sufficient to support our liquidity and capital requirements for at least the next 12 months, we may need to raise additional funds to finance our existing and future capital needs, including developing new services and technologies, and to fund ongoing operating expenses. If we raise additional funds through the sale of equity securities, these transactions may dilute the value of our outstanding ordinary shares. We may also decide to issue securities, including protected securities, that have rights, preferences and privileges senior to our ordinary shares. We may also incur debt. Any debt financing would increase our level of indebtedness and could negatively affect our liquidity and restrict our operations. We also can provide no assurances that the funds we raise will be sufficient to finance any future capital requirements. In addition, the impact of inflation and rising interest rates could significantly impact the cost of capital available to us. As a result, we may be unable to raise additional funds on terms favorable to us or at all. If we are unable to raise additional capital or generate sufficient cash flows, we may be unable to fund our future expenses. This may prevent us from increasing our market share, capitalizing on new business opportunities or remaining competitive in our industry, which could materially and adversely affect our business, prospects, financial condition and results of operations.</w:t>
      </w:r>
    </w:p>
    <w:p>
      <w:pPr>
        <w:spacing w:after="0" w:line="190"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We depend on our executive leadership team and other key employees, and the loss of one or more of these employees or an inability to attract and retain highly skilled employees could harm our business.</w:t>
      </w:r>
    </w:p>
    <w:p>
      <w:pPr>
        <w:spacing w:after="0" w:line="158"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research and development, sales or customer support, may seriously harm our business, financial condition and results of operations. Although we have entered into employment agreements with our key personnel, some of which include notice periods with which the employee is required to comply prior to terminating their employment with us, their employment is for no specific duration. We are also substantially dependent on the continued service of our existing engineering personnel because of the complexity of our products.</w:t>
      </w:r>
    </w:p>
    <w:p>
      <w:pPr>
        <w:spacing w:after="0" w:line="203"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Our future performance also depends on the continued services and continuing contributions of our executive leadership team, including our co-founder and Chief Executive Officer Dan Adika to execute on our business plan and to identify and pursue new opportunities and product innovations. The loss of services of our executive leadership team, particularly Mr. Adika, could significantly delay or prevent the achievement of our development and strategic objectives, which could adversely affect our business, financial condition and results of operations.</w:t>
      </w:r>
    </w:p>
    <w:p>
      <w:pPr>
        <w:spacing w:after="0" w:line="182"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Our executive leadership team has limited experience managing a public company, and the requirements of being a public company may strain our resources, divert the attention of our executive leadership team, and affect our ability to attract and retain qualified board members.</w:t>
      </w:r>
    </w:p>
    <w:p>
      <w:pPr>
        <w:spacing w:after="0" w:line="158" w:lineRule="exact"/>
        <w:rPr>
          <w:sz w:val="20"/>
          <w:szCs w:val="20"/>
          <w:color w:val="auto"/>
        </w:rPr>
      </w:pPr>
    </w:p>
    <w:p>
      <w:pPr>
        <w:jc w:val="both"/>
        <w:ind w:firstLine="450"/>
        <w:spacing w:after="0" w:line="270" w:lineRule="auto"/>
        <w:rPr>
          <w:sz w:val="20"/>
          <w:szCs w:val="20"/>
          <w:color w:val="auto"/>
        </w:rPr>
      </w:pPr>
      <w:r>
        <w:rPr>
          <w:rFonts w:ascii="Times New Roman" w:cs="Times New Roman" w:eastAsia="Times New Roman" w:hAnsi="Times New Roman"/>
          <w:sz w:val="18"/>
          <w:szCs w:val="18"/>
          <w:color w:val="auto"/>
        </w:rPr>
        <w:t>As a public company listed in the United States, we will incur significant additional legal, accounting, and other expenses. In addition, changing laws, regulations, and standards relating to corporate governance and public disclosure, including regulations implemented by the Securities and Exchange Commission (the “SEC”) and the Nasdaq Stock Market LLC (“Nasdaq”), has and may further to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w:t>
      </w:r>
    </w:p>
    <w:p>
      <w:pPr>
        <w:spacing w:after="0" w:line="186"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Most members of our executive leadership team have limited experience managing a publicly traded company, interacting with public company investors and complying with the increasingly complex laws pertaining to public companies in the United States. Our executive leadership team may not successfully or efficiently manage the Company as a new public company subject to significant regulatory oversight and reporting obligations under the U.S. federal securities laws and the continuous scrutiny of securities analysts and investors. We also intend to continue to invest resources to comply with evolving laws, regulations, and standards, and these new obligations and constituents will continue to require significant attention from our executive leadership team and could divert their attention away from the day-to-day management of our business.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Sales to government entities and highly regulated organizations are subject to a number of challenges and risks.</w:t>
      </w:r>
    </w:p>
    <w:p>
      <w:pPr>
        <w:spacing w:after="0" w:line="243"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We sell to U.S. federal, state, and local, as well as foreign, governmental agency customers, as well as to customers in highly regulated industries such as financial services, telecommunications and healthcare. Sales to such entities are subject to a number of challenges and risks. Selling to such entities can be highly competitive, expensive, and time-consuming, often requiring significant upfront time and expense without any assurance that these efforts will generate a sale. Government contracting requirements may change and in doing so restrict our ability to sell into the government sector until we have attained the revised certification. Government demand and payment for our products are affected by public sector budgetary cycles and funding authorizations, with funding reductions or delays adversely affecting public sector demand for our products. Additionally, any actual or perceived privacy, data protection, or data security incident, or even any perceived defect with regard to our practices or measures in these areas, may negatively impact public sector demand for our products.</w:t>
      </w:r>
    </w:p>
    <w:p>
      <w:pPr>
        <w:spacing w:after="0" w:line="190"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We also often provide technical support services to certain of our government entity customers to resolve any issues relating to our products. If we do not effectively assist our government entity customers in deploying our products, succeed in helping our government entity customers quickly resolve post-deployment issues, or provide effective ongoing support, our ability to sell additional products to new and existing government entity customers would be adversely affected and our reputation could be damaged.</w:t>
      </w:r>
    </w:p>
    <w:p>
      <w:pPr>
        <w:spacing w:after="0" w:line="186"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Further, governmental and highly regulated entities may demand contract terms that differ from our standard arrangements and are less favorable than terms agreed with private sector customers. Such entities may have statutory, contractual, or other legal rights to terminate contracts with us for convenience or due to a default, and any such termination may adversely affect our future results of operations. Governments routinely investigate and audit government contractors’ administrative processes, and any unfavorable audit could result in the government refusing to continue buying our subscriptions, a reduction of revenue, or fines or civil or criminal liability if the audit uncovers improper or illegal activities, which could adversely affect our results of operations in a material way.</w:t>
      </w:r>
    </w:p>
    <w:p>
      <w:pPr>
        <w:spacing w:after="0" w:line="19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222222"/>
        </w:rPr>
        <w:t>We are exposed to credit risk and fluctuations in the market value of our investment portfolio and our investment portfolio may be adversely affected by market conditions and interest rates.</w:t>
      </w:r>
    </w:p>
    <w:p>
      <w:pPr>
        <w:spacing w:after="0" w:line="186" w:lineRule="exact"/>
        <w:rPr>
          <w:sz w:val="20"/>
          <w:szCs w:val="20"/>
          <w:color w:val="auto"/>
        </w:rPr>
      </w:pPr>
    </w:p>
    <w:p>
      <w:pPr>
        <w:jc w:val="both"/>
        <w:ind w:firstLine="486"/>
        <w:spacing w:after="0" w:line="274" w:lineRule="auto"/>
        <w:rPr>
          <w:sz w:val="20"/>
          <w:szCs w:val="20"/>
          <w:color w:val="auto"/>
        </w:rPr>
      </w:pPr>
      <w:r>
        <w:rPr>
          <w:rFonts w:ascii="Times New Roman" w:cs="Times New Roman" w:eastAsia="Times New Roman" w:hAnsi="Times New Roman"/>
          <w:sz w:val="18"/>
          <w:szCs w:val="18"/>
          <w:color w:val="222222"/>
        </w:rPr>
        <w:t>We manage our available cash through various bank institutions and invest large portions of our cash reserves in bank deposits. A bankruptcy of one of the banks in which or through which we hold or invest our cash reserves, might prevent us from accessing all or a portion of that cash for an uncertain period of time if at all.</w:t>
      </w:r>
    </w:p>
    <w:p>
      <w:pPr>
        <w:spacing w:after="0" w:line="18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222222"/>
        </w:rPr>
        <w:t>The majority of our cash, cash equivalents and marketable securities is held in a diversified portfolio of bank deposits, U.S. Treasuries and high-grade money market funds. The performance of the capital markets affects the values of funds that are held in marketable securities. These assets are subject to market fluctuations and various developments, including, without limitation, rating agency downgrades that may impair their value. Our ability to access deposits at individual banking institutions or the credit ratings and pricings of our investments can also be negatively affected by liquidity, credit deterioration, financial results, economic risk, political risk, sovereign risk, exchange control or other factors such as the conditions that led to the closure of SVB. If we do not effectively diversify our bank deposits and investment portfolio, the value and liquidity of our investments may fluctuate substantially which could affect our access to capital and results of operations in a material way.</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Risks Related to Information Technology, Intellectual Property and Data Security and Privacy</w:t>
      </w:r>
    </w:p>
    <w:p>
      <w:pPr>
        <w:spacing w:after="0" w:line="23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b w:val="1"/>
          <w:bCs w:val="1"/>
          <w:i w:val="1"/>
          <w:iCs w:val="1"/>
          <w:color w:val="auto"/>
        </w:rPr>
        <w:t>If we or our third-party service providers experience a security breach or unauthorized parties otherwise obtain access to our customers’ data, our data or our platform, our solution may be perceived as not being secure, our reputation may be harmed, demand for our platform and products may be reduced, and we may incur significant liabilities.</w:t>
      </w:r>
    </w:p>
    <w:p>
      <w:pPr>
        <w:spacing w:after="0" w:line="194"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Our platform and products involve the collection, storage, processing, transmission and other use of data, including certain confidential, sensitive, and personal information. More generally, in the ordinary course of our business, we collect, store, transmit and otherwise process large amounts of sensitive corporate, personal and other information, including intellectual property, proprietary business information, and other confidential information. Any security breach, data loss, or other compromise, including those resulting from a cybersecurity attack, phishing attack, or any unauthorized access, unauthorized usage, virus or similar breach or disruption could result in the loss or destruction of or unauthorized access to, or use, alteration, disclosure, or acquisition of, data, damage to our reputation, loss of intellectual property protection, claims and litigation, fines, regulatory investigations, or other liabilities. We have experienced and expect to continue to experience attempted cyber-attacks of our IT networks, such as through phishing scams and ransomware. Although none of these attempted cyber-attacks has had a material adverse impact on our operations or financial condition, we cannot guarantee that such incidents will not have such an impact in the future. For example, we may become the target of cyber-attacks by third parties seeking unauthorized access to our or our customers’ data or to disrupt our ability to provide our services. These attacks may come from individual hackers, criminal groups, and state-sponsored organizations. Ransomware attacks, including those from organized criminal threat actors, nation-states, and nation-state supported actors, are becoming increasingly prevalent and severe, and can lead to significant interruptions in our operations, loss of data and income, reputational loss, diversion of funds, and may result in fines, litigation and unwanted media attention. Extortion payments may alleviate the negative impact of a ransomware attack, but we may be unwilling or unable to make such payments due to, for example, applicable laws or regulations prohibiting payments. Additionally, companies have, in general, experienced an increase in phishing, social engineering and other attacks from third parties in connection with the COVID-19 pandemic, and the increase in remote working further increases these and other security threats. While we experience cyber-attacks and other security incidents of varying degrees from time to time, none have individually or in the aggregate led to costs or consequences which have materially impacted our operations or business. If our security measures are breached as a result of third-party action, employee error or negligence, a defect or bug in our offerings or those of our third-party service providers, malfeasance or otherwise and, as a result, someone obtains unauthorized access to any data, including our confidential, sensitive, or personal information or the confidential, sensitive, or personal information of our customers, or other persons, or any of these types of information is lost, destroyed, or used, altered, disclosed, or acquired without authorization, or if any of the foregoing is perceived to have occurred, our reputation may be damaged, our business may suffer, and we could incur significant liability, including under applicable data privacy and security laws and regulations. Even the perception of inadequate security may damage our reputation and market position, negatively impacting our ability to win new customers and retain and receive timely payments from existing customers. Further, we could be required to expend significant capital and other resources to protect against and address any data security incident or breach, which may not be covered or fully covered by our insurance and which may involve payments for investigations, forensic analyses, regulatory compliance, breach notification, legal advice, public relations advice, system repair or replacement, or other services. We and our third-party vendors and service providers also may face difficulties or delays in identifying or responding to, and remediating and otherwise responding to, cyberattacks and other security breaches and incidents. We have incurred substantial costs in efforts to protect against and address potential impacts of security breaches and incidents, and anticipate doing so in the future.</w:t>
      </w:r>
    </w:p>
    <w:p>
      <w:pPr>
        <w:spacing w:after="0" w:line="213"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In addition, we do not directly control content that our customers transmit to or with, or store in, our products. If our customers use our products for the transmission or storage of personally identifiable information or other sensitive information and our security measures are or are believed to have been breached as a result of third party action, employee error, malfeasance or otherwise, our reputation could be damaged, our business may suffer, and we could incur significant liability.</w:t>
      </w:r>
    </w:p>
    <w:p>
      <w:pPr>
        <w:spacing w:after="0" w:line="186" w:lineRule="exact"/>
        <w:rPr>
          <w:sz w:val="20"/>
          <w:szCs w:val="20"/>
          <w:color w:val="auto"/>
        </w:rPr>
      </w:pPr>
    </w:p>
    <w:p>
      <w:pPr>
        <w:jc w:val="both"/>
        <w:ind w:firstLine="441"/>
        <w:spacing w:after="0" w:line="270" w:lineRule="auto"/>
        <w:rPr>
          <w:sz w:val="20"/>
          <w:szCs w:val="20"/>
          <w:color w:val="auto"/>
        </w:rPr>
      </w:pPr>
      <w:r>
        <w:rPr>
          <w:rFonts w:ascii="Times New Roman" w:cs="Times New Roman" w:eastAsia="Times New Roman" w:hAnsi="Times New Roman"/>
          <w:sz w:val="18"/>
          <w:szCs w:val="18"/>
          <w:color w:val="auto"/>
        </w:rPr>
        <w:t>We engage third-party vendors and service providers to store and otherwise process some of our and our customers’ data, including personal, confidential, sensitive, and other information about individuals. Our vendors and service providers may also be the targets of cyberattacks, malicious software, phishing schemes, and fraud. Our ability to monitor our vendors and service providers’ data security is limited, and, in any event, third parties may be able to circumvent those security measures, resulting in the unauthorized access to, misuse, acquisition, disclosure, loss, alteration, or destruction of our and our customers’ data, including confidential, sensitive, and other information about individuals.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33" w:name="page34"/>
    <w:bookmarkEnd w:id="33"/>
    <w:p>
      <w:pPr>
        <w:jc w:val="both"/>
        <w:ind w:firstLine="441"/>
        <w:spacing w:after="0" w:line="264" w:lineRule="auto"/>
        <w:rPr>
          <w:sz w:val="20"/>
          <w:szCs w:val="20"/>
          <w:color w:val="auto"/>
        </w:rPr>
      </w:pPr>
      <w:r>
        <w:rPr>
          <w:rFonts w:ascii="Times New Roman" w:cs="Times New Roman" w:eastAsia="Times New Roman" w:hAnsi="Times New Roman"/>
          <w:sz w:val="18"/>
          <w:szCs w:val="18"/>
          <w:color w:val="auto"/>
        </w:rPr>
        <w:t>Where a security incident involves a breach of security leading to the accidental or unlawful destruction, loss, alternation, unauthorized disclosure of, or access to, personal data, this could result in fines of up to EUR 20 million or 4% of annual global turnover under the General Data Protection Regulation 2016/679 (the “GDPR”) or £17.5 million and 4% of total annual revenue in the case of the UK General Data Protection Regulation and the UK Data Protection Act 2018 (together, the “UK GDPR”). We may also be required to notify such breaches to regulators and/or individuals and operate to mitigate damages, which may result in us incurring additional costs. Techniques used to sabotage or obtain unauthorized access to systems or networks are constantly evolving and, in some instances, are not identified until after they have been launched against a target. We and our service providers may be unable to anticipate these techniques, react in a timely manner, or implement adequate preventative and mitigating measures. If we are unable to efficiently and effectively maintain and upgrade our system safeguards, we may incur unexpected costs and certain of our systems may become more vulnerable to unauthorized access or disruption. Any of the foregoing could have a material adverse effect on our business, financial condition, results of operations, market position, and reputation.</w:t>
      </w:r>
    </w:p>
    <w:p>
      <w:pPr>
        <w:spacing w:after="0" w:line="190"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A real or perceived defect, security vulnerability, error, or performance failure in our products could cause us to lose revenue, damage our reputation, and expose us to liability.</w:t>
      </w:r>
    </w:p>
    <w:p>
      <w:pPr>
        <w:spacing w:after="0" w:line="158" w:lineRule="exact"/>
        <w:rPr>
          <w:sz w:val="20"/>
          <w:szCs w:val="20"/>
          <w:color w:val="auto"/>
        </w:rPr>
      </w:pPr>
    </w:p>
    <w:p>
      <w:pPr>
        <w:jc w:val="both"/>
        <w:ind w:firstLine="441"/>
        <w:spacing w:after="0" w:line="263" w:lineRule="auto"/>
        <w:rPr>
          <w:sz w:val="20"/>
          <w:szCs w:val="20"/>
          <w:color w:val="auto"/>
        </w:rPr>
      </w:pPr>
      <w:r>
        <w:rPr>
          <w:rFonts w:ascii="Times New Roman" w:cs="Times New Roman" w:eastAsia="Times New Roman" w:hAnsi="Times New Roman"/>
          <w:sz w:val="18"/>
          <w:szCs w:val="18"/>
          <w:color w:val="auto"/>
        </w:rPr>
        <w:t>Our products are inherently complex and, despite extensive testing and quality control, have in the past and may in the future contain defects or errors, especially when first introduced, or not perform as contemplated. These defects, security vulnerabilities, errors, or performance failures could cause damage to our reputation, loss of customers or revenue, subscription cancellations, service terminations, or lack of market acceptance of our products. As the use of our products among new and existing customers expands, particularly to more sensitive, secure, or mission critical uses, we may be subject to increased scrutiny, potential reputational risk, or potential liability should our products fail to perform as contemplated in such deployments. We have in the past and may in the future need to issue corrective releases of our products to fix these defects, errors or performance failures, which could require us to allocate significant research and development and customer support resources to address these problems. Despite our efforts, such corrections may take longer to develop and release than we or our customers anticipate and expect.</w:t>
      </w:r>
    </w:p>
    <w:p>
      <w:pPr>
        <w:spacing w:after="0" w:line="210" w:lineRule="exact"/>
        <w:rPr>
          <w:sz w:val="20"/>
          <w:szCs w:val="20"/>
          <w:color w:val="auto"/>
        </w:rPr>
      </w:pPr>
    </w:p>
    <w:p>
      <w:pPr>
        <w:jc w:val="both"/>
        <w:ind w:firstLine="441"/>
        <w:spacing w:after="0" w:line="263" w:lineRule="auto"/>
        <w:rPr>
          <w:sz w:val="20"/>
          <w:szCs w:val="20"/>
          <w:color w:val="auto"/>
        </w:rPr>
      </w:pPr>
      <w:r>
        <w:rPr>
          <w:rFonts w:ascii="Times New Roman" w:cs="Times New Roman" w:eastAsia="Times New Roman" w:hAnsi="Times New Roman"/>
          <w:sz w:val="18"/>
          <w:szCs w:val="18"/>
          <w:color w:val="auto"/>
        </w:rPr>
        <w:t>Any limitation of liability provisions that may be contained in our customer, user, third-party vendor, service provider, partner and other agreements may not be enforceable or adequate or effective as a result of existing or future applicable law or unfavorable judicial decisions, and they may not function to limit our liability arising from regulatory enforcement. In addition, some of our customer, user, third-party vendor, service provider, partner and other agreements are not capped or limited, either generally or, in some cases, with respect to certain liabilities. The sale and support of our products entail the risk of liability claims, which could be substantial in light of the use of our products in enterprise-wide environments. In addition, our insurance against any such liability may not be adequate to cover a potential claim, and may be subject to exclusions, or subject us to the risk that the insurer will deny coverage as to any future claim or exclude from our coverage such claims in policy renewals, increase our fees or deductibles or impose co-insurance requirements. Any such bugs, defects, security vulnerabilities, errors, or other performance failures in our platform or products, including as a result of denial of claims by our insurer or the successful assertion of claims by others against us that exceed available insurance coverage, or the occurrence of changes in our insurance policies, including increases or the imposition of large deductible or co-insurance requirements, could have a material adverse effect on our business, financial condition, results of operations and reputation.</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4" w:name="page35"/>
    <w:bookmarkEnd w:id="3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Incorrect use of, or our customers’ failure to update, our products could result in customer dissatisfaction and negatively affect our business, operations, financial results, and growth prospects.</w:t>
      </w:r>
    </w:p>
    <w:p>
      <w:pPr>
        <w:spacing w:after="0" w:line="186"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Our products are often operated in large scale, complex IT environments. Our customers require training and experience in the proper use of, and the benefits that can be derived from, our products to maximize their potential. If users of our products do not implement, use, or update them correctly or as intended, then actual or perceived performance inadequacies and/or security vulnerabilities may result. Because our customers rely on our products to manage a wide range of operations, the incorrect implementation or use of, or our customers’ failure to update, our products, or our failure to train customers on how to use our products, may result in customer dissatisfaction and negative publicity, which may adversely affect our reputation and brand. Our customers’ failure to be effectively trained or implement our products could result in lost opportunities for follow-on sales to these customers and decrease subscriptions by new customers, which would adversely affect our business, financial condition, results of operations and growth prospects.</w:t>
      </w:r>
    </w:p>
    <w:p>
      <w:pPr>
        <w:spacing w:after="0" w:line="186"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Insufficient investment in, or interruptions or performance problems associated with, our technology and infrastructure, and our reliance on technologies from third parties, including third-party cloud providers, may adversely affect our business, financial condition and results of operations.</w:t>
      </w:r>
    </w:p>
    <w:p>
      <w:pPr>
        <w:spacing w:after="0" w:line="158" w:lineRule="exact"/>
        <w:rPr>
          <w:sz w:val="20"/>
          <w:szCs w:val="20"/>
          <w:color w:val="auto"/>
        </w:rPr>
      </w:pPr>
    </w:p>
    <w:p>
      <w:pPr>
        <w:jc w:val="both"/>
        <w:ind w:firstLine="441"/>
        <w:spacing w:after="0" w:line="264" w:lineRule="auto"/>
        <w:rPr>
          <w:sz w:val="20"/>
          <w:szCs w:val="20"/>
          <w:color w:val="auto"/>
        </w:rPr>
      </w:pPr>
      <w:r>
        <w:rPr>
          <w:rFonts w:ascii="Times New Roman" w:cs="Times New Roman" w:eastAsia="Times New Roman" w:hAnsi="Times New Roman"/>
          <w:sz w:val="18"/>
          <w:szCs w:val="18"/>
          <w:color w:val="auto"/>
        </w:rPr>
        <w:t>The success of our business depends in part on the ability of our existing and potential customers to access our platform at any time, within an acceptable timeframe and without interruption or degradation of performance. We have experienced, and may in the future experience, disruptions, outages, and other performance problems, which may be caused by a variety of factors, including infrastructure changes, introductions of new functionality, human or software errors, denial of service attacks, or other security related incidents. If our products and platform capabilities are unavailable or if our customers or other users are unable to access our products and platform capabilities within a reasonable amount of time or at all, we may experience a loss of customers, lost or delayed market acceptance of our platform and products, delays in payment to us by customers, injury to our reputation and brand, legal claims against us, and the diversion of our resources. In addition, to the extent that we do not effectively upgrade our systems as needed and continually develop our technology and network architecture to accommodate actual and anticipated changes in technology, our business, financial condition and results of operations may be adversely affected.</w:t>
      </w:r>
    </w:p>
    <w:p>
      <w:pPr>
        <w:spacing w:after="0" w:line="192" w:lineRule="exact"/>
        <w:rPr>
          <w:sz w:val="20"/>
          <w:szCs w:val="20"/>
          <w:color w:val="auto"/>
        </w:rPr>
      </w:pPr>
    </w:p>
    <w:p>
      <w:pPr>
        <w:jc w:val="both"/>
        <w:ind w:firstLine="441"/>
        <w:spacing w:after="0" w:line="263" w:lineRule="auto"/>
        <w:rPr>
          <w:sz w:val="20"/>
          <w:szCs w:val="20"/>
          <w:color w:val="auto"/>
        </w:rPr>
      </w:pPr>
      <w:r>
        <w:rPr>
          <w:rFonts w:ascii="Times New Roman" w:cs="Times New Roman" w:eastAsia="Times New Roman" w:hAnsi="Times New Roman"/>
          <w:sz w:val="18"/>
          <w:szCs w:val="18"/>
          <w:color w:val="auto"/>
        </w:rPr>
        <w:t>In addition, the operation of our platform depends on third-party cloud providers, hosting services and other third-party service providers. Our cloud providers run their own platforms that we access, and we are therefore vulnerable to their service interruptions and any changes in their product offerings. Any limitation on the capacity of our third-party hosting services could impede our ability to onboard new customers or expand the usage of our existing customers, which could adversely affect our business, financial condition and results of operations. In addition, any incident affecting our third-party cloud providers’ infrastructure, including cyber-attacks, computer viruses, malware, systems failures or other technical malfunctions, natural disasters, fire, flood, severe storm, earthquake, power loss, telecommunications failures, terrorist or other attacks, protests or riots, and other similar events beyond our control, could negatively affect our offerings. It is also possible that our customers and regulators would seek to hold us accountable for any breach of security affecting a third-party cloud provider’s infrastructure and we may incur significant liability in investigating such an incident and responding to any claims, investigations, or proceedings made or initiated by those customers, regulators, and other third parties. We may not be able to recover a material portion of such liabilities from any of our third-party cloud providers. In addition, it may become increasingly difficult to maintain and improve our performance, especially during peak usage times, as our products becomes more complex and the usage of our products increases. Moreover, our insurance may not be adequate to cover such liability and may be subject to exclusions. Any of the above circumstances or events may adversely affect our business, financial condition and results of operations.</w:t>
      </w:r>
    </w:p>
    <w:p>
      <w:pPr>
        <w:spacing w:after="0" w:line="210" w:lineRule="exact"/>
        <w:rPr>
          <w:sz w:val="20"/>
          <w:szCs w:val="20"/>
          <w:color w:val="auto"/>
        </w:rPr>
      </w:pPr>
    </w:p>
    <w:p>
      <w:pPr>
        <w:jc w:val="both"/>
        <w:ind w:firstLine="441"/>
        <w:spacing w:after="0" w:line="264" w:lineRule="auto"/>
        <w:rPr>
          <w:sz w:val="20"/>
          <w:szCs w:val="20"/>
          <w:color w:val="auto"/>
        </w:rPr>
      </w:pPr>
      <w:r>
        <w:rPr>
          <w:rFonts w:ascii="Times New Roman" w:cs="Times New Roman" w:eastAsia="Times New Roman" w:hAnsi="Times New Roman"/>
          <w:sz w:val="18"/>
          <w:szCs w:val="18"/>
          <w:color w:val="auto"/>
        </w:rPr>
        <w:t>Furthermore, our website and internal technology infrastructure may experience performance issues due to a variety of factors, including infrastructure changes, human or software errors, website or third-party hosting disruptions, capacity constraints, technical failures or natural disasters, or fraud, denial-of-service or other security attacks. Our use and distribution of open source software may increase this risk, as open source licensors generally do not provide warranties or other contractual protections regarding infringement claims or the quality of the code, including with respect to security vulnerabilities or bugs. If our website is unavailable or our customers are unable to order subscriptions or services or download our offerings within a reasonable period of time or at all, our business could be adversely affected. We expect to continue to make significant investments to maintain and improve website performance and to enable rapid releases of new features, integrations, capabilities and other enhancements for our offerings. To the extent that we do not effectively upgrade our systems as needed and continually develop our technology to accommodate actual and anticipated changes in technology, our business, financial condition and results of operations may be adversely affected.</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35" w:name="page36"/>
    <w:bookmarkEnd w:id="35"/>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In the event that our service agreements with our third-party hosting services are terminated, or there is a lapse of service, elimination of services or features that we utilize, interruption of internet service provider connectivity or damage to our providers’ facilities, we could experience interruptions in access to our platform as well as significant delays and additional expense in arranging or creating new facilities and services and/or re-architecting our offerings for deployment on a different cloud infrastructure service provider, which could adversely affect our business, financial condition and results of operations. Upon the termination or expiration of such service agreements, we cannot guarantee that adequate third-party hosting services will be available to us from the same or different hosting services providers on commercially acceptable terms or within adequate timelines or at all.</w:t>
      </w:r>
    </w:p>
    <w:p>
      <w:pPr>
        <w:spacing w:after="0" w:line="190"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We also rely on cloud technologies from third parties in order to operate critical functions of our business, including financial management services, relationship management services, and lead generation management services. If these services become unavailable due to extended outages or interruptions or because they are no longer available on commercially reasonable terms or prices, our expenses could increase, our ability to manage our finances could be interrupted, our processes for managing sales of our products and supporting our customers could be impaired, and our ability to generate and manage sales leads could be weakened until equivalent services are identified, obtained, and implemented. Even if such services are available, we may not be able to identify, obtain and implement such services in time to avoid disruption to our business, and such services may only be available on a more costly basis or otherwise less favorable terms. Any of the foregoing could have a material adverse effect on our business, including our financial condition, results of operations and reputation.</w:t>
      </w:r>
    </w:p>
    <w:p>
      <w:pPr>
        <w:spacing w:after="0" w:line="186"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Failure to protect or enforce our rights in our proprietary technology, brand and intellectual property could substantially harm our business and results of operations.</w:t>
      </w:r>
    </w:p>
    <w:p>
      <w:pPr>
        <w:spacing w:after="0" w:line="158"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Our success depends to a significant degree on our ability to protect our rights in our proprietary technology, methodologies, know-how, and brand. We rely on a combination of trademark, copyright, patent, trade secret and other intellectual property laws as well as contractual restrictions and confidentiality procedures to establish and protect our proprietary rights. However, we currently make certain components of our products available under open source licenses and release internal software projects under open source licenses, and anticipate doing so in the future in order to, among other things, encourage and develop a marketplace where third parties can create complementary products that will be able to connect to our Digital Adoption Platform. Because the source code of the components that we distribute under open source licenses is publicly available, our ability to monetize and protect our intellectual property rights with respect to such source code may be limited or, in some cases, lost entirely. Our competitors could access such source code and use it to create software and service offerings that compete with ours.</w:t>
      </w:r>
    </w:p>
    <w:p>
      <w:pPr>
        <w:spacing w:after="0" w:line="190" w:lineRule="exact"/>
        <w:rPr>
          <w:sz w:val="20"/>
          <w:szCs w:val="20"/>
          <w:color w:val="auto"/>
        </w:rPr>
      </w:pPr>
    </w:p>
    <w:p>
      <w:pPr>
        <w:jc w:val="both"/>
        <w:ind w:firstLine="441"/>
        <w:spacing w:after="0" w:line="262" w:lineRule="auto"/>
        <w:rPr>
          <w:sz w:val="20"/>
          <w:szCs w:val="20"/>
          <w:color w:val="auto"/>
        </w:rPr>
      </w:pPr>
      <w:r>
        <w:rPr>
          <w:rFonts w:ascii="Times New Roman" w:cs="Times New Roman" w:eastAsia="Times New Roman" w:hAnsi="Times New Roman"/>
          <w:sz w:val="18"/>
          <w:szCs w:val="18"/>
          <w:color w:val="auto"/>
        </w:rPr>
        <w:t>Further, the steps we take to protect and enforce our intellectual property rights may be inadequate. We may not be able to register our intellectual property rights in all jurisdictions where we conduct or anticipate conducting business, and may experience conflicts with third parties who contest our applications to register our intellectual property. Even if registered or issued, we cannot guarantee that our trademarks, patents, copyrights or other intellectual property or proprietary rights will be of sufficient scope or strength to provide us with any meaningful protection or commercial advantage. Not all of our key intellectual property is eligible for patent protection or can otherwise be registered. We will not be able to protect our intellectual property rights if we are unable to enforce our rights or if we do not detect unauthorized use of our intellectual property rights. Despite our precautions, it may be possible for unauthorized third parties to copy our products and use information that we regard as proprietary to create offerings that compete with ours. If we fail to defend and protect our intellectual property rights adequately, our competitors and other third parties may gain access to our proprietary technology, information and know-how, reverse-engineer our products, and infringe upon or dilute the value of our brand, and our business may be harmed. In addition, obtaining, maintaining, defending, and enforcing our intellectual property rights might entail significant expense. Any patents, trademarks, copyrights, or other intellectual property rights that we have or may obtain may be challenged by others or invalidated through administrative process or litigation. Even if we continue to seek patent protection in the future, we may be unable to obtain further patent protection for our technology. In addition, any patents issued in the future may not provide us with competitive advantages, may be designed around by our competitors, or may be successfully challenged by third parties. Furthermore, legal standards relating to the validity, enforceability, and scope of protection of intellectual property rights are uncertain.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6" w:name="page37"/>
    <w:bookmarkEnd w:id="36"/>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We may be unable to prevent third parties from acquiring domain names or trademarks that are similar to, infringe upon, dilute or diminish the value of our trademarks and other proprietary rights. Additionally, our trademarks may be opposed, otherwise challenged or declared invalid, unenforceable or generic, or determined to be infringing on or dilutive of other marks. We may not be able to protect our rights in these trademarks, which we need in order to build name recognition with customers. If third parties succeed in registering or developing common law rights in such trademarks and we are not successful in challenging such third-party rights, or if our trademark rights are successfully challenged, we may not be able to use our trademarks to commercialize our products in certain relevant jurisdictions.</w:t>
      </w:r>
    </w:p>
    <w:p>
      <w:pPr>
        <w:spacing w:after="0" w:line="190" w:lineRule="exact"/>
        <w:rPr>
          <w:sz w:val="20"/>
          <w:szCs w:val="20"/>
          <w:color w:val="auto"/>
        </w:rPr>
      </w:pPr>
    </w:p>
    <w:p>
      <w:pPr>
        <w:jc w:val="both"/>
        <w:ind w:firstLine="441"/>
        <w:spacing w:after="0" w:line="270" w:lineRule="auto"/>
        <w:rPr>
          <w:sz w:val="20"/>
          <w:szCs w:val="20"/>
          <w:color w:val="auto"/>
        </w:rPr>
      </w:pPr>
      <w:r>
        <w:rPr>
          <w:rFonts w:ascii="Times New Roman" w:cs="Times New Roman" w:eastAsia="Times New Roman" w:hAnsi="Times New Roman"/>
          <w:sz w:val="18"/>
          <w:szCs w:val="18"/>
          <w:color w:val="auto"/>
        </w:rPr>
        <w:t>Effective patent, trademark, copyright, and trade secret protection may not be available to us in every country in which our products are available. The laws of some countries may not be as protective of intellectual property rights as those in the United States, and mechanisms for enforcement of intellectual property rights may be inadequate. As we continue to expand our international activities, our exposure to unauthorized copying and use of our products and proprietary information will likely increase. Accordingly, despite our efforts, we may be unable to prevent third parties from infringing upon, diluting, misappropriating or otherwise violating our intellectual property rights.</w:t>
      </w:r>
    </w:p>
    <w:p>
      <w:pPr>
        <w:spacing w:after="0" w:line="186" w:lineRule="exact"/>
        <w:rPr>
          <w:sz w:val="20"/>
          <w:szCs w:val="20"/>
          <w:color w:val="auto"/>
        </w:rPr>
      </w:pPr>
    </w:p>
    <w:p>
      <w:pPr>
        <w:jc w:val="both"/>
        <w:ind w:firstLine="441"/>
        <w:spacing w:after="0" w:line="270" w:lineRule="auto"/>
        <w:rPr>
          <w:sz w:val="20"/>
          <w:szCs w:val="20"/>
          <w:color w:val="auto"/>
        </w:rPr>
      </w:pPr>
      <w:r>
        <w:rPr>
          <w:rFonts w:ascii="Times New Roman" w:cs="Times New Roman" w:eastAsia="Times New Roman" w:hAnsi="Times New Roman"/>
          <w:sz w:val="18"/>
          <w:szCs w:val="18"/>
          <w:color w:val="auto"/>
        </w:rPr>
        <w:t>We enter into confidential, non-compete, proprietary, and inventions assignment agreements with our employees and consultants and enter into confidentiality agreements with other parties. No assurance can be given that these agreements will grant all necessary rights to any inventions that may have been developed by the employees or consultants party thereto or be effective in controlling access to and distribution of our proprietary information, especially in certain states and countries, including Israel, that are less willing to enforce such agreements in certain cases. Further, these agreements may not prevent our competitors from independently developing technologies that are substantially equivalent or superior to our products.</w:t>
      </w:r>
    </w:p>
    <w:p>
      <w:pPr>
        <w:spacing w:after="0" w:line="186" w:lineRule="exact"/>
        <w:rPr>
          <w:sz w:val="20"/>
          <w:szCs w:val="20"/>
          <w:color w:val="auto"/>
        </w:rPr>
      </w:pPr>
    </w:p>
    <w:p>
      <w:pPr>
        <w:jc w:val="both"/>
        <w:ind w:firstLine="441"/>
        <w:spacing w:after="0" w:line="263" w:lineRule="auto"/>
        <w:rPr>
          <w:sz w:val="20"/>
          <w:szCs w:val="20"/>
          <w:color w:val="auto"/>
        </w:rPr>
      </w:pPr>
      <w:r>
        <w:rPr>
          <w:rFonts w:ascii="Times New Roman" w:cs="Times New Roman" w:eastAsia="Times New Roman" w:hAnsi="Times New Roman"/>
          <w:sz w:val="18"/>
          <w:szCs w:val="18"/>
          <w:color w:val="auto"/>
        </w:rPr>
        <w:t>Policing and defending against unauthorized use of our know-how, technology and intellectual property is difficult, costly, time-consuming and may not be effective. Third parties may knowingly or unknowingly infringe our intellectual property rights. We may be required to spend significant resources to monitor and protect our intellectual property rights. Litigation may be necessary in the future to enforce our intellectual property rights and to protect our trade secrets. For example, we recently filed a lawsuit against a competitor in U.S. federal district court for the district of Delaware alleging that they infringe certain US issued patents held by WalkMe related to our ActionBot technology. Litigation brought to protect and enforce our intellectual property rights or litigation asserted against us could be costly, time-consuming, and distracting to our executive leadership team and other employees, could result in substantial royalties, license fees or other damages, or in the impairment or loss of portions of our intellectual property.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the attention and resources of our executive leadership team or other employees, could delay further sales or the implementation of our products, require us to reengineer or impair the functionality of our products, delay introductions of new products, result in our substituting inferior or more costly technologies into our products, or injure our reputation. Any of the foregoing could materially and adversely affect our business, financial condition, results of operations and growth prospects.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7" w:name="page38"/>
    <w:bookmarkEnd w:id="3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incur substantial costs and other harm to our business and results of operations as a result of any claim of infringement, misappropriation or other violation of another party’s intellectual property rights.</w:t>
      </w:r>
    </w:p>
    <w:p>
      <w:pPr>
        <w:spacing w:after="0" w:line="186" w:lineRule="exact"/>
        <w:rPr>
          <w:sz w:val="20"/>
          <w:szCs w:val="20"/>
          <w:color w:val="auto"/>
        </w:rPr>
      </w:pPr>
    </w:p>
    <w:p>
      <w:pPr>
        <w:jc w:val="both"/>
        <w:ind w:firstLine="441"/>
        <w:spacing w:after="0" w:line="264" w:lineRule="auto"/>
        <w:rPr>
          <w:sz w:val="20"/>
          <w:szCs w:val="20"/>
          <w:color w:val="auto"/>
        </w:rPr>
      </w:pPr>
      <w:r>
        <w:rPr>
          <w:rFonts w:ascii="Times New Roman" w:cs="Times New Roman" w:eastAsia="Times New Roman" w:hAnsi="Times New Roman"/>
          <w:sz w:val="18"/>
          <w:szCs w:val="18"/>
          <w:color w:val="auto"/>
        </w:rPr>
        <w:t>In recent years, there has been significant litigation involving patents and other intellectual property rights in our industry. Compared to many larger, more established companies in our industry, we do not currently have a broad patent portfolio, which could prevent us from deterring patent infringement claims through our own patent portfolio, and our competitors and others may now and in the future have significantly broader and more mature patent portfolios than we have. There is a risk that our operations, platform or individual solutions may infringe or otherwise violate, or be alleged to infringe or otherwise violate, the intellectual property rights of third parties. We could incur substantial costs in defending any intellectual property litigation. If we are sued by a third party that claims that our products infringe, misappropriate or otherwise violate their intellectual property rights, the litigation could be expensive and could divert our attention and resources of our executive leadership team or other employees. In addition, there could be public announcements of the results of hearings, motions or other interim proceedings or developments, and if securities analysts or investors perceive these results to be negative, it could have a material adverse effect on the price of our ordinary shares.</w:t>
      </w:r>
    </w:p>
    <w:p>
      <w:pPr>
        <w:spacing w:after="0" w:line="192" w:lineRule="exact"/>
        <w:rPr>
          <w:sz w:val="20"/>
          <w:szCs w:val="20"/>
          <w:color w:val="auto"/>
        </w:rPr>
      </w:pPr>
    </w:p>
    <w:p>
      <w:pPr>
        <w:jc w:val="both"/>
        <w:ind w:firstLine="441"/>
        <w:spacing w:after="0" w:line="297" w:lineRule="auto"/>
        <w:rPr>
          <w:sz w:val="20"/>
          <w:szCs w:val="20"/>
          <w:color w:val="auto"/>
        </w:rPr>
      </w:pPr>
      <w:r>
        <w:rPr>
          <w:rFonts w:ascii="Times New Roman" w:cs="Times New Roman" w:eastAsia="Times New Roman" w:hAnsi="Times New Roman"/>
          <w:sz w:val="18"/>
          <w:szCs w:val="18"/>
          <w:color w:val="auto"/>
        </w:rPr>
        <w:t>Any intellectual property litigation to which we might become a party, or for which we are required to provide indemnification, regardless of the merit of the claim or our defense, may require us to do one or more of the following:</w:t>
      </w:r>
    </w:p>
    <w:p>
      <w:pPr>
        <w:spacing w:after="0" w:line="163" w:lineRule="exact"/>
        <w:rPr>
          <w:sz w:val="20"/>
          <w:szCs w:val="20"/>
          <w:color w:val="auto"/>
        </w:rPr>
      </w:pPr>
    </w:p>
    <w:p>
      <w:pPr>
        <w:ind w:left="340" w:hanging="332"/>
        <w:spacing w:after="0" w:line="297"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selling or using products or technology that incorporate or cover the intellectual property rights that we allegedly infringe, misappropriate or otherwise violate;</w:t>
      </w:r>
    </w:p>
    <w:p>
      <w:pPr>
        <w:spacing w:after="0" w:line="16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substantial payments for royalty or license fees, legal fees, settlement payments or other costs or damages;</w:t>
      </w:r>
    </w:p>
    <w:p>
      <w:pPr>
        <w:spacing w:after="0" w:line="238" w:lineRule="exact"/>
        <w:rPr>
          <w:rFonts w:ascii="Times New Roman" w:cs="Times New Roman" w:eastAsia="Times New Roman" w:hAnsi="Times New Roman"/>
          <w:sz w:val="18"/>
          <w:szCs w:val="18"/>
          <w:color w:val="auto"/>
        </w:rPr>
      </w:pPr>
    </w:p>
    <w:p>
      <w:pPr>
        <w:ind w:left="340" w:hanging="287"/>
        <w:spacing w:after="0"/>
        <w:tabs>
          <w:tab w:leader="none" w:pos="3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which may not be available on reasonable terms or at all, to sell or use the relevant technology or intellectual property; or</w:t>
      </w:r>
    </w:p>
    <w:p>
      <w:pPr>
        <w:spacing w:after="0" w:line="238" w:lineRule="exact"/>
        <w:rPr>
          <w:rFonts w:ascii="Times New Roman" w:cs="Times New Roman" w:eastAsia="Times New Roman" w:hAnsi="Times New Roman"/>
          <w:sz w:val="18"/>
          <w:szCs w:val="18"/>
          <w:color w:val="auto"/>
        </w:rPr>
      </w:pPr>
    </w:p>
    <w:p>
      <w:pPr>
        <w:ind w:left="340" w:hanging="287"/>
        <w:spacing w:after="0" w:line="297" w:lineRule="auto"/>
        <w:tabs>
          <w:tab w:leader="none" w:pos="3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the allegedly infringing products or technology to avoid infringement, misappropriation or other violation, which could be costly, time-consuming or impossible.</w:t>
      </w:r>
    </w:p>
    <w:p>
      <w:pPr>
        <w:spacing w:after="0" w:line="163"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Moreover, any such litigation could also affect the use of our platform by our customers, partners, affiliates and other third parties, which may result and substantial damages to them and to us (including indemnification obligations). If we are required to make substantial payments or undertake or suffer any of the other actions and consequences noted above as a result of any intellectual property infringement, misappropriation or violation claims against us or any obligation to indemnify our customers for such claims, such payments, actions and consequences could materially and adversely affect our business, financial condition, results of operations and growth prospects.</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Indemnity provisions in various agreements potentially expose us to substantial liability for intellectual property infringement, misappropriation, violation, and other losses.</w:t>
      </w:r>
    </w:p>
    <w:p>
      <w:pPr>
        <w:spacing w:after="0" w:line="186" w:lineRule="exact"/>
        <w:rPr>
          <w:sz w:val="20"/>
          <w:szCs w:val="20"/>
          <w:color w:val="auto"/>
        </w:rPr>
      </w:pPr>
    </w:p>
    <w:p>
      <w:pPr>
        <w:jc w:val="both"/>
        <w:ind w:firstLine="441"/>
        <w:spacing w:after="0" w:line="264" w:lineRule="auto"/>
        <w:rPr>
          <w:sz w:val="20"/>
          <w:szCs w:val="20"/>
          <w:color w:val="auto"/>
        </w:rPr>
      </w:pPr>
      <w:r>
        <w:rPr>
          <w:rFonts w:ascii="Times New Roman" w:cs="Times New Roman" w:eastAsia="Times New Roman" w:hAnsi="Times New Roman"/>
          <w:sz w:val="18"/>
          <w:szCs w:val="18"/>
          <w:color w:val="auto"/>
        </w:rPr>
        <w:t>Our agreements with customers and other third parties may include indemnification provisions under which we agree to indemnify them for losses suffered or incurred as a result of claims of intellectual property infringement, misappropriation or other violation, damages caused by us to property or persons, or other liabilities relating to or arising from our products, services or other contractual obligations. Large indemnity payments could harm our business, financial condition and results of operations. Although we normally seek to contractually limit our liability with respect to such indemnity obligations, we do not and may not in the future have a cap on our liability in certain agreements, which could result in substantial liability, and we may still incur significant liability under agreements that do have such a cap. Moreover, even if contractually capped or limited, such limitations and caps may not always be enforceable. Any dispute with a customer or other third party with respect to such obligations could have adverse effects on our relationship with that customer, other existing customers and new customers, and other parties, and could harm our reputation, business, financial condition and results of operations.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38" w:name="page39"/>
    <w:bookmarkEnd w:id="3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changing laws, regulations, standards, and contractual obligations related to data privacy, data protection, and data security. Our actual or perceived failure to comply with such obligations could result in significant liability or reputational harm to our business.</w:t>
      </w:r>
    </w:p>
    <w:p>
      <w:pPr>
        <w:spacing w:after="0" w:line="186" w:lineRule="exact"/>
        <w:rPr>
          <w:sz w:val="20"/>
          <w:szCs w:val="20"/>
          <w:color w:val="auto"/>
        </w:rPr>
      </w:pPr>
    </w:p>
    <w:p>
      <w:pPr>
        <w:jc w:val="both"/>
        <w:ind w:firstLine="441"/>
        <w:spacing w:after="0" w:line="263" w:lineRule="auto"/>
        <w:rPr>
          <w:sz w:val="20"/>
          <w:szCs w:val="20"/>
          <w:color w:val="auto"/>
        </w:rPr>
      </w:pPr>
      <w:r>
        <w:rPr>
          <w:rFonts w:ascii="Times New Roman" w:cs="Times New Roman" w:eastAsia="Times New Roman" w:hAnsi="Times New Roman"/>
          <w:sz w:val="18"/>
          <w:szCs w:val="18"/>
          <w:color w:val="auto"/>
        </w:rPr>
        <w:t>We are subject to numerous laws, directives and regulations, in multiple jurisdictions and territories, regarding data privacy, data protection, and data security and the collection, storing, sharing, use, processing, transfer, disclosure, and protection of personal information and other data, the scope and extent of which are complex, changing, subject to differing interpretations, and may be inconsistent among jurisdictions or conflict with other legal and regulatory requirements. We are also subject to certain contractual obligations to third parties related to data privacy, data protection and data security, and may comply with, or face asserted or actual obligations to comply with, self-regulatory frameworks and other standards. While we strive to comply with our applicable policies and applicable laws, regulations, contractual obligations, and other actual and alleged legal obligations relating to privacy, data protection, and data security, we may not be successful in complying with the rapidly evolving data privacy, data protection, and data security requirements to which we are subject. Further, any significant change to applicable laws, regulations or industry practices regarding the collection, use, retention, security or disclosure of data, or their interpretation, or any changes regarding the manner in which the consent of users or other data subjects for the collection, use, retention or disclosure of such data must be obtained, could increase our costs and require us to modify our services and features, possibly in a material manner, which we may be unable to complete, and may limit our ability to store and process user data or develop new services and features.</w:t>
      </w:r>
    </w:p>
    <w:p>
      <w:pPr>
        <w:spacing w:after="0" w:line="205" w:lineRule="exact"/>
        <w:rPr>
          <w:sz w:val="20"/>
          <w:szCs w:val="20"/>
          <w:color w:val="auto"/>
        </w:rPr>
      </w:pPr>
    </w:p>
    <w:p>
      <w:pPr>
        <w:jc w:val="both"/>
        <w:ind w:firstLine="441"/>
        <w:spacing w:after="0" w:line="263" w:lineRule="auto"/>
        <w:rPr>
          <w:sz w:val="20"/>
          <w:szCs w:val="20"/>
          <w:color w:val="auto"/>
        </w:rPr>
      </w:pPr>
      <w:r>
        <w:rPr>
          <w:rFonts w:ascii="Times New Roman" w:cs="Times New Roman" w:eastAsia="Times New Roman" w:hAnsi="Times New Roman"/>
          <w:sz w:val="18"/>
          <w:szCs w:val="18"/>
          <w:color w:val="auto"/>
        </w:rPr>
        <w:t>If we were found in violation of any applicable laws or regulations relating to data privacy, data protection, or security, or faced claims or accusations of such violations, our business may be materially and adversely affected and we would likely have to change our business practices and potentially the services and features available through our platform. In addition, these laws and regulations could impose significant costs on us and could constrain our ability to use and process data in manners that may be commercially desirable. In addition, if a breach of data security or security incident were to occur or to be alleged to have occurred, if any violation of laws and regulations relating to data privacy, data protection or data security were to be alleged, or if we had any actual or alleged defect in our safeguards or practices relating to data privacy, data protection, or data security, our solutions may be perceived as less desirable and our business, financial condition, market position, reputation, results of operations and growth prospects could be materially and adversely affected.</w:t>
      </w:r>
    </w:p>
    <w:p>
      <w:pPr>
        <w:spacing w:after="0" w:line="197" w:lineRule="exact"/>
        <w:rPr>
          <w:sz w:val="20"/>
          <w:szCs w:val="20"/>
          <w:color w:val="auto"/>
        </w:rPr>
      </w:pPr>
    </w:p>
    <w:p>
      <w:pPr>
        <w:jc w:val="both"/>
        <w:ind w:firstLine="498"/>
        <w:spacing w:after="0" w:line="262" w:lineRule="auto"/>
        <w:rPr>
          <w:sz w:val="20"/>
          <w:szCs w:val="20"/>
          <w:color w:val="auto"/>
        </w:rPr>
      </w:pPr>
      <w:r>
        <w:rPr>
          <w:rFonts w:ascii="Times New Roman" w:cs="Times New Roman" w:eastAsia="Times New Roman" w:hAnsi="Times New Roman"/>
          <w:sz w:val="18"/>
          <w:szCs w:val="18"/>
          <w:color w:val="auto"/>
        </w:rPr>
        <w:t>We expect that there will continue to be new laws, regulations, and industry standards concerning data privacy, data protection, and data security proposed and enacted in various jurisdictions, and to which we may become subject. For example, the California Consumer Privacy Act (“CCPA”), which came into force in 2020, provides new data privacy rights for California consumers and new operational requirements for covered companies. Specifically, the CCPA mandates that covered companies provide new disclosures to California consumers and afford such consumers new data privacy rights that include, among other things, the right to request a copy from a covered company of the personal information collected about them, the right to request deletion of such personal information, and the right to request to opt-out of certain sales of such personal information. The California Attorney General can enforce the CCPA, including seeking an injunction and civil penalties for violations. The CCPA also provides a private right of action for certain data breaches that is expected to increase data breach litigation. Additionally, a new data privacy law, the California Privacy Rights Act (“CPRA”), was approved by California voters in late 2020. The CPRA took effect on January 1, 2023 and significantly modifies the CCPA, including by expanding consumers’ rights with respect to certain personal information and creating a new state agency to oversee implementation and enforcement efforts. Some observers have noted the CCPA and CPRA could mark the beginning of a trend toward more stringent data privacy legislation in the United States, which could also increase our potential liability and adversely affect our business. In addition, the CCPA has encouraged “copycat” or other similar data privacy laws to be considered and proposed in other states across the country. For example, in March 2021, the Governor of Virginia signed into law the Virginia Consumer Data Protection Act (the “VCDPA”), which took effect on January 1, 2023. The VCDPA creates consumer rights, similar to the CCPA, and imposes corresponding obligations on covered companies, relating to the access to, deletion of, and disclosures of personal data collected by covered businesses about Virginia residents. The VCDPA provides for civil penalties for violations that are enforceable by the Virginia Attorney General. Further, Colorado, Utah, and Connecticut have enacted the Colorado Privacy Act (“COPA”), the Utah Consumer Privacy Act (the “UCPA”), and the Connecticut Data Privacy Act (the "CTDPA"), respectively, which will each go into effect in 2023 and will impose obligations similar to or more stringent than those we may face under other data protection laws. Broad federal data privacy legislation also has been proposed. Recent and new state and federal legislation relating to data privacy may add additional complexity, variation in requirements, restrictions and potential legal risk, require additional to compliance programs, could impact strategies and availability of previously useful data and could result in increased compliance costs and/or changes in business practices and policies.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39" w:name="page40"/>
    <w:bookmarkEnd w:id="39"/>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We are also subject to data privacy and security laws in jurisdictions outside of the United States. We are subject to, among other laws and regulations, the GDPR, and the UK GDPR, which each impose a strict data protection compliance regime in relation to our collection, control, processing, sharing, disclosure and other use of data relating to an identifiable living individual (personal data). The GDPR and UK GDPR also regulate cross-border transfers of personal data out of the European Economic Area (“EEA”) and the UK, respectively.</w:t>
      </w:r>
    </w:p>
    <w:p>
      <w:pPr>
        <w:spacing w:after="0" w:line="186" w:lineRule="exact"/>
        <w:rPr>
          <w:sz w:val="20"/>
          <w:szCs w:val="20"/>
          <w:color w:val="auto"/>
        </w:rPr>
      </w:pPr>
    </w:p>
    <w:p>
      <w:pPr>
        <w:jc w:val="both"/>
        <w:ind w:firstLine="450"/>
        <w:spacing w:after="0" w:line="263" w:lineRule="auto"/>
        <w:rPr>
          <w:sz w:val="20"/>
          <w:szCs w:val="20"/>
          <w:color w:val="auto"/>
        </w:rPr>
      </w:pPr>
      <w:r>
        <w:rPr>
          <w:rFonts w:ascii="Times New Roman" w:cs="Times New Roman" w:eastAsia="Times New Roman" w:hAnsi="Times New Roman"/>
          <w:sz w:val="18"/>
          <w:szCs w:val="18"/>
          <w:color w:val="auto"/>
        </w:rPr>
        <w:t>Recent legal developments in the EU have created complexity and uncertainty regarding such transfers. On July 16, 2020, the Court of Justice of the European Union (the “CJEU”) invalidated the EU-U.S. Privacy Shield Framework (the “Privacy Shield”) under which personal data could be transferred from the EEA to relevant self-certified U.S. entities. The CJEU further noted that reliance on the standard contractual clauses (a standard form of contract approved by the European Commission as an adequate personal data transfer mechanism and potential alternative to the Privacy Shield) alone may not necessarily be sufficient in all circumstances and that transfers must be assessed on a case-by-case basis. We currently rely on the standard contractual clauses to transfer personal information outside the EEA and the UK, including to the United States. European court and regulatory decisions subsequent to the CJEU decision of July 16, 2020 have taken a restrictive approach to international data transfers, including certain decisions that the use of Google Analytics by European website operators involves the unlawful transfer of personal data to the United States. As the enforcement landscape further develops, and supervisory authorities issue further guidance on international data transfers, we could: suffer additional costs, complaints and/or regulatory investigations or fines; we may have to stop using certain tools and vendors and make other operational changes; we have had to and may continue to have to implement revised standard contractual clauses for existing intragroup, customer and vendor arrangements within required time frames; and/or it could otherwise affect the manner in which we provide our services and could adversely affect our business, operations and financial condition.</w:t>
      </w:r>
    </w:p>
    <w:p>
      <w:pPr>
        <w:spacing w:after="0" w:line="194" w:lineRule="exact"/>
        <w:rPr>
          <w:sz w:val="20"/>
          <w:szCs w:val="20"/>
          <w:color w:val="auto"/>
        </w:rPr>
      </w:pPr>
    </w:p>
    <w:p>
      <w:pPr>
        <w:jc w:val="both"/>
        <w:ind w:firstLine="450"/>
        <w:spacing w:after="0" w:line="271" w:lineRule="auto"/>
        <w:rPr>
          <w:sz w:val="20"/>
          <w:szCs w:val="20"/>
          <w:color w:val="auto"/>
        </w:rPr>
      </w:pPr>
      <w:r>
        <w:rPr>
          <w:rFonts w:ascii="Times New Roman" w:cs="Times New Roman" w:eastAsia="Times New Roman" w:hAnsi="Times New Roman"/>
          <w:sz w:val="18"/>
          <w:szCs w:val="18"/>
          <w:color w:val="auto"/>
        </w:rPr>
        <w:t>Failure to comply with the GDPR and/ or the UK GDPR could result in penalties for noncompliance (including possible fines of up to the greater of €20 million/ £17.5 million or 4% of our global annual turnover for the preceding financial year for the most serious violations). In addition to the foregoing, a breach of the GDPR or UK GDPR could result in regulatory investigations, reputational damage, orders to cease/change our processing of our data, enforcement notices and/or assessment notices (for a compulsory audit), and/or civil claims (including class actions) for compensation or damages.</w:t>
      </w:r>
    </w:p>
    <w:p>
      <w:pPr>
        <w:spacing w:after="0" w:line="199" w:lineRule="exact"/>
        <w:rPr>
          <w:sz w:val="20"/>
          <w:szCs w:val="20"/>
          <w:color w:val="auto"/>
        </w:rPr>
      </w:pPr>
    </w:p>
    <w:p>
      <w:pPr>
        <w:jc w:val="both"/>
        <w:ind w:firstLine="450"/>
        <w:spacing w:after="0" w:line="263" w:lineRule="auto"/>
        <w:rPr>
          <w:sz w:val="20"/>
          <w:szCs w:val="20"/>
          <w:color w:val="auto"/>
        </w:rPr>
      </w:pPr>
      <w:r>
        <w:rPr>
          <w:rFonts w:ascii="Times New Roman" w:cs="Times New Roman" w:eastAsia="Times New Roman" w:hAnsi="Times New Roman"/>
          <w:sz w:val="18"/>
          <w:szCs w:val="18"/>
          <w:color w:val="auto"/>
        </w:rPr>
        <w:t>We are also subject to evolving EU and UK data privacy laws on cookies, tracking technologies and e-marketing. Recent European court and regulatory decisions are driving increased attention to cookies and tracking technologies. If the trend of increasing enforcement by regulators of the strict approach to opt-in consent for all but essential use cases in recent guidance and decisions continues, this could lead to substantial costs, require significant systems changes, limit the effectiveness of our marketing activities, divert the attention of our technology personnel, adversely affect our margins, increase costs and subject us to additional liabilities. In light of the complex and evolving nature of EEA, EEA Member State and UK data privacy laws on cookies and tracking technologies, there can be no assurances that we will be successful in our efforts to comply with such laws; violations of such laws could result in regulatory investigations, fines, orders to cease/change our use of such technologies, as well as civil claims including class action type litigation, and reputational damage.</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0" w:name="page41"/>
    <w:bookmarkEnd w:id="40"/>
    <w:p>
      <w:pPr>
        <w:jc w:val="both"/>
        <w:ind w:firstLine="441"/>
        <w:spacing w:after="0" w:line="263" w:lineRule="auto"/>
        <w:rPr>
          <w:sz w:val="20"/>
          <w:szCs w:val="20"/>
          <w:color w:val="auto"/>
        </w:rPr>
      </w:pPr>
      <w:r>
        <w:rPr>
          <w:rFonts w:ascii="Times New Roman" w:cs="Times New Roman" w:eastAsia="Times New Roman" w:hAnsi="Times New Roman"/>
          <w:sz w:val="18"/>
          <w:szCs w:val="18"/>
          <w:color w:val="auto"/>
        </w:rPr>
        <w:t>In addition, we are subject to the Israeli Privacy Protection Law 5741-1981 (the “PPL”), and its regulations, including the Israeli Privacy Protection Regulations (Data Security) 2017 (“Data Security Regulations”), which impose obligations with respect to the manner personal data is processed, maintained, transferred, disclosed, accessed and secured, as well as the guidelines of the Israeli Privacy Protection Authority and Amendment No. 40 to the Communications Law (Telecommunications and Broadcasting), 5742-1982. The Data Security Regulations may require us to adjust our data protection and data security practices, information security measures, certain organizational procedures, applicable positions (such as an information security manager) and other technical and organizational security measures. Failure to comply with the PPL, its regulations and guidelines issued by the Israeli Privacy Protection Authority may expose us to administrative fines, civil claims (including class actions) and in certain cases criminal liability. Current pending legislation may result in a change of the current enforcement measures and sanctions. The Israeli Privacy Protection Authority may initiate administrative inspection proceedings, from time to time, without any suspicion of any particular breach of the PPL, as it has done in the past with respect to dozens of Israeli companies in various business sectors. In addition, to the extent that any administrative supervision procedure is initiated by the Israeli Privacy Protection Authority and reveals certain irregularities with respect to our compliance with the PPL, in addition to our exposure to administrative fines, civil claims (including class actions) and in certain cases criminal liability, we may also need to take certain remedial actions to rectify such irregularities, which may increase our costs.</w:t>
      </w:r>
    </w:p>
    <w:p>
      <w:pPr>
        <w:spacing w:after="0" w:line="197" w:lineRule="exact"/>
        <w:rPr>
          <w:sz w:val="20"/>
          <w:szCs w:val="20"/>
          <w:color w:val="auto"/>
        </w:rPr>
      </w:pPr>
    </w:p>
    <w:p>
      <w:pPr>
        <w:jc w:val="both"/>
        <w:ind w:firstLine="441"/>
        <w:spacing w:after="0" w:line="263" w:lineRule="auto"/>
        <w:rPr>
          <w:sz w:val="20"/>
          <w:szCs w:val="20"/>
          <w:color w:val="auto"/>
        </w:rPr>
      </w:pPr>
      <w:r>
        <w:rPr>
          <w:rFonts w:ascii="Times New Roman" w:cs="Times New Roman" w:eastAsia="Times New Roman" w:hAnsi="Times New Roman"/>
          <w:sz w:val="18"/>
          <w:szCs w:val="18"/>
          <w:color w:val="auto"/>
        </w:rPr>
        <w:t>Any failure or perceived failure by us to comply with our posted privacy policies, our privacy-related obligations to users or other third parties, or any other legal obligations or regulatory requirements relating to privacy, data protection, or data security, may result in governmental investigations or enforcement actions, litigation, claims, or public statements against us by consumer advocacy groups or others and could result in significant liability, cause our users to lose trust in us, and otherwise materially and adversely affect our reputation and business. Furthermore, the costs of compliance with, and other burdens imposed by, the laws, regulations, other obligations, and policies that are applicable to the businesses of our customers and other users may limit the adoption and use of, and reduce the overall demand for, our platform. Additionally, if third parties we work with violate applicable laws, regulations or contractual obligations, such violations may put our users’ data at risk, could result in governmental investigations or enforcement actions, fines, litigation, claims, or public statements against us by consumer advocacy groups or others and could result in significant liability, cause our users to lose trust in us, and otherwise materially and adversely affect our reputation and business. Further, public scrutiny of, or complaints about, technology companies or their data handling or data protection practices, even if unrelated to our business, industry or operations, may lead to increased scrutiny of technology companies, including us, and may cause government agencies to enact additional regulatory requirements, or to modify their enforcement or investigation activities, which may increase our costs and risks. Any of the foregoing could materially and adversely affect our business, financial condition and results of operations.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open source software could negatively affect our ability to sell our products and subject us to possible litigation.</w:t>
      </w:r>
    </w:p>
    <w:p>
      <w:pPr>
        <w:spacing w:after="0" w:line="243" w:lineRule="exact"/>
        <w:rPr>
          <w:sz w:val="20"/>
          <w:szCs w:val="20"/>
          <w:color w:val="auto"/>
        </w:rPr>
      </w:pPr>
    </w:p>
    <w:p>
      <w:pPr>
        <w:jc w:val="both"/>
        <w:ind w:firstLine="441"/>
        <w:spacing w:after="0" w:line="263" w:lineRule="auto"/>
        <w:rPr>
          <w:sz w:val="20"/>
          <w:szCs w:val="20"/>
          <w:color w:val="auto"/>
        </w:rPr>
      </w:pPr>
      <w:r>
        <w:rPr>
          <w:rFonts w:ascii="Times New Roman" w:cs="Times New Roman" w:eastAsia="Times New Roman" w:hAnsi="Times New Roman"/>
          <w:sz w:val="18"/>
          <w:szCs w:val="18"/>
          <w:color w:val="auto"/>
        </w:rPr>
        <w:t>We use “open source” software in connection with the development and deployment of our products, including in our products, and we expect to continue to use open source software in the future. Few of the licenses applicable to certain open source software that we use have been interpreted by courts, and there is a risk that these licenses could be construed in a manner that could impose unanticipated conditions or restrictions on our ability to commercialize our products. For example, some open source licenses may subject us to requirements that we make available, in certain cases and if the component subject of the open source license is used in a particular manner, the source code for modifications or derivative works we create based upon, incorporating, linking to or using the open source software (which could include valuable proprietary code), and that we license such modifications or derivative works under the terms of applicable open source licenses. 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the sale of our products that contain the open source software and required to comply with onerous conditions or restrictions on these products, which could disrupt the distribution and sale of these products. In addition, there have been claims challenging the ownership rights in open source software against companies that incorporate open source software into their products, and the licensors of such open source software provide no warranties or indemnities with respect to such claims. In any of these events, we and our customers could be required to seek licenses from third parties in order to continue offering our products, and to re-engineer our products or discontinue the sale of our products in the event re-engineering cannot be accomplished on a timely basis or at all. We and our customers may also be subject to suits by parties claiming infringement, misappropriation or other violation of third-party intellectual property rights due to the reliance by our solutions on certain open source software, and such litigation could be costly for us to defend and subject us to an injunction, payments for damages and other liabilities and obligations.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1" w:name="page42"/>
    <w:bookmarkEnd w:id="41"/>
    <w:p>
      <w:pPr>
        <w:jc w:val="both"/>
        <w:ind w:firstLine="441"/>
        <w:spacing w:after="0" w:line="264" w:lineRule="auto"/>
        <w:rPr>
          <w:sz w:val="20"/>
          <w:szCs w:val="20"/>
          <w:color w:val="auto"/>
        </w:rPr>
      </w:pPr>
      <w:r>
        <w:rPr>
          <w:rFonts w:ascii="Times New Roman" w:cs="Times New Roman" w:eastAsia="Times New Roman" w:hAnsi="Times New Roman"/>
          <w:sz w:val="18"/>
          <w:szCs w:val="18"/>
          <w:color w:val="auto"/>
        </w:rPr>
        <w:t>Further, in addition to risks related to license requirements, use of certain open source software carries greater technical and legal risks than does the use of third-party commercial software. For example, open source software is generally provided without any support or warranties or other contractual protections regarding infringement or the quality of the code, including the existence of security vulnerabilities. Some open source projects provided on an “as is” basis have known or unknown vulnerabilities and architectural instabilities which, if not properly addressed, could negatively affect the performance of any product incorporating the relevant software. To the extent that our platform depends upon the successful operation of open source software, any undetected errors or defects in open source software that we use could prevent the deployment or impair the functionality of our systems and injure our reputation. In addition, the public availability of such software may make it easier for others to compromise our platform. Any of the foregoing could result in lost revenue, require us to devote additional research and development resources to re-engineer our solutions, cause us to incur additional costs and expenses, and result in customer dissatisfaction, any of which could adversely affect our business, financial condition and results of operations.</w:t>
      </w:r>
    </w:p>
    <w:p>
      <w:pPr>
        <w:spacing w:after="0" w:line="188"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We rely on software and services licensed from other parties. The loss of software or services from third parties could increase our costs and limit the features available in our platform and products.</w:t>
      </w:r>
    </w:p>
    <w:p>
      <w:pPr>
        <w:spacing w:after="0" w:line="158"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Components of our offerings include various types of software and services licensed from unaffiliated parties. If any of the software or services we license from others or functional equivalents thereof were either no longer available to us or no longer offered on commercially reasonable terms, we would be required to either redesign the offerings that include such software or services to function with software or services available from other parties or develop these components ourselves, which we may not be able to do without incurring increased costs, experiencing delays in our product launches and the release of new offerings. Furthermore, we might be forced to temporarily limit the features available in our current or future products. If we fail to maintain or renegotiate any of these software or service licenses, we could face delays and diversion of resources in attempting to license and integrate functional equivalents.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Other Legal, Regulatory and Tax Matters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a variety of laws and regulations, both in the United States and internationally, many of which are evolving.</w:t>
      </w:r>
    </w:p>
    <w:p>
      <w:pPr>
        <w:spacing w:after="0" w:line="243" w:lineRule="exact"/>
        <w:rPr>
          <w:sz w:val="20"/>
          <w:szCs w:val="20"/>
          <w:color w:val="auto"/>
        </w:rPr>
      </w:pPr>
    </w:p>
    <w:p>
      <w:pPr>
        <w:jc w:val="both"/>
        <w:ind w:firstLine="441"/>
        <w:spacing w:after="0" w:line="264" w:lineRule="auto"/>
        <w:rPr>
          <w:sz w:val="20"/>
          <w:szCs w:val="20"/>
          <w:color w:val="auto"/>
        </w:rPr>
      </w:pPr>
      <w:r>
        <w:rPr>
          <w:rFonts w:ascii="Times New Roman" w:cs="Times New Roman" w:eastAsia="Times New Roman" w:hAnsi="Times New Roman"/>
          <w:sz w:val="18"/>
          <w:szCs w:val="18"/>
          <w:color w:val="auto"/>
        </w:rPr>
        <w:t>We are subject to a wide variety of laws and regulations. Laws, regulations and standards governing issues such as worker classification, employment, payments, worker confidentiality obligations, intellectual property, consumer protection, taxation, data privacy, data protection and data security are often complex and subject to varying interpretations, in many cases due to their lack of specificity and, as a result, their application in practice may change or develop over time through judicial decisions or as new guidance or interpretations are provided by regulatory and governing bodies, such as federal and state administrative agencies. Many of these laws were adopted prior to the advent of the internet and mobile and related technologies and, as a result, do not contemplate or address the unique issues of the internet and related technologies. Other laws and regulations may be adopted in response to internet, mobile and related technologies. New and existing laws and regulations (or changes in interpretation of existing laws and regulations) may also be adopted, implemented, or interpreted to apply to us and other technology companies. As the geographic scope of our business expands, regulatory agencies or courts may claim that we, or our customers or users, are subject to additional requirements, or that we are prohibited from conducting our business in or with certain jurisdictions.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2" w:name="page43"/>
    <w:bookmarkEnd w:id="42"/>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In addition, recent financial, political and other events may increase the level of regulatory scrutiny on technology companies generally. Regulatory agencies may enact new laws or promulgate new regulations that are adverse to our business, or they may view matters or interpret laws and regulations differently than they have in the past or in a manner adverse to our business. Such regulatory scrutiny or action may create or further exacerbate different or conflicting obligations on us from one jurisdiction to another.</w:t>
      </w:r>
    </w:p>
    <w:p>
      <w:pPr>
        <w:spacing w:after="0" w:line="186" w:lineRule="exact"/>
        <w:rPr>
          <w:sz w:val="20"/>
          <w:szCs w:val="20"/>
          <w:color w:val="auto"/>
        </w:rPr>
      </w:pPr>
    </w:p>
    <w:p>
      <w:pPr>
        <w:jc w:val="both"/>
        <w:ind w:right="20" w:firstLine="441"/>
        <w:spacing w:after="0" w:line="297" w:lineRule="auto"/>
        <w:rPr>
          <w:sz w:val="20"/>
          <w:szCs w:val="20"/>
          <w:color w:val="auto"/>
        </w:rPr>
      </w:pPr>
      <w:r>
        <w:rPr>
          <w:rFonts w:ascii="Times New Roman" w:cs="Times New Roman" w:eastAsia="Times New Roman" w:hAnsi="Times New Roman"/>
          <w:sz w:val="18"/>
          <w:szCs w:val="18"/>
          <w:color w:val="auto"/>
        </w:rPr>
        <w:t>As a result of the foregoing, we may incur increased costs, be exposed to increased risk of liability and face additional challenges expanding our business operations, any of which would adversely affect our business, financial condition, results of operations and growth prospects.</w:t>
      </w:r>
    </w:p>
    <w:p>
      <w:pPr>
        <w:spacing w:after="0" w:line="159"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various governmental export control, trade sanctions, and import laws and regulations that could impair our ability to compete in international markets or subject us to liability if we violate these controls.</w:t>
      </w:r>
    </w:p>
    <w:p>
      <w:pPr>
        <w:spacing w:after="0" w:line="158"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In some cases, our products are subject to export control laws and regulations, including the Export Administration Regulations administered by the U.S. Department of Commerce, and the Israeli Control of Products and Services Decree (Engagement in Encryption), 5735-1974, and our activities may be subject to trade and economic sanctions, including those administered or governed by OFAC, the Israeli Trade with the Enemy Ordinance, 1939 and sanction laws of the European Union and other applicable jurisdictions (collectively, “Trade Controls”). As such, a license may be required to export or re-export our products, or provide related services, to certain countries, customers and other users, as well as for certain end uses. Further, our products that incorporate encryption functionality may be subject to special controls applying to encryption items and/or certain reporting requirements.</w:t>
      </w:r>
    </w:p>
    <w:p>
      <w:pPr>
        <w:spacing w:after="0" w:line="190" w:lineRule="exact"/>
        <w:rPr>
          <w:sz w:val="20"/>
          <w:szCs w:val="20"/>
          <w:color w:val="auto"/>
        </w:rPr>
      </w:pPr>
    </w:p>
    <w:p>
      <w:pPr>
        <w:jc w:val="both"/>
        <w:ind w:firstLine="441"/>
        <w:spacing w:after="0" w:line="263" w:lineRule="auto"/>
        <w:rPr>
          <w:sz w:val="20"/>
          <w:szCs w:val="20"/>
          <w:color w:val="auto"/>
        </w:rPr>
      </w:pPr>
      <w:r>
        <w:rPr>
          <w:rFonts w:ascii="Times New Roman" w:cs="Times New Roman" w:eastAsia="Times New Roman" w:hAnsi="Times New Roman"/>
          <w:sz w:val="18"/>
          <w:szCs w:val="18"/>
          <w:color w:val="auto"/>
        </w:rPr>
        <w:t>Despite the policies and processes that we have in place, we cannot guarantee that we have not made accessible, or will not make accessible, inadvertently our services to persons in violation of Trade Controls, or that our customers have not permitted or will not in the future permit our services to be used by parties in countries or territories subject to Trade Controls. For example, we implemented geo-location blocking in 2021 through a third party to prevent content created by our customers using our tools from being accessed by users of our customers from IP addresses potentially linked to countries subject to Trade Controls, but we cannot be certain that this technique will work in all circumstances. Further, the outbreak of war in Ukraine has prompted the U.S. and other governments to impose new Trade Controls on Russia, among other countries, and related parties. Additional Trade Controls by the U.S. and other governments enacted due to geopolitics or otherwise, and any counter-sanctions enacted in response, could restrict our ability to operate, generate or collect revenue in certain other countries, which could adversely affect our business. The failure to comply with Trade Controls could subject us to both civil and criminal penalties, including substantial fines, possible incarceration of responsible individuals for willful violations, possible loss of our export or import privileges, and reputational harm. Further, the process for obtaining necessary licenses may be time-consuming or unsuccessful, potentially causing delays in sales or losses of sales opportunities. Trade Controls are complex and dynamic regimes, and monitoring and ensuring compliance can be challenging, particularly given that our products are widely distributed throughout the world and are available for download without registration. Any failure by us or our partners to comply with applicable laws and regulations would have negative consequences for us, including reputational harm, government investigations, and penalties.</w:t>
      </w:r>
    </w:p>
    <w:p>
      <w:pPr>
        <w:spacing w:after="0" w:line="200" w:lineRule="exact"/>
        <w:rPr>
          <w:sz w:val="20"/>
          <w:szCs w:val="20"/>
          <w:color w:val="auto"/>
        </w:rPr>
      </w:pPr>
    </w:p>
    <w:p>
      <w:pPr>
        <w:jc w:val="both"/>
        <w:ind w:firstLine="441"/>
        <w:spacing w:after="0" w:line="264" w:lineRule="auto"/>
        <w:rPr>
          <w:sz w:val="20"/>
          <w:szCs w:val="20"/>
          <w:color w:val="auto"/>
        </w:rPr>
      </w:pPr>
      <w:r>
        <w:rPr>
          <w:rFonts w:ascii="Times New Roman" w:cs="Times New Roman" w:eastAsia="Times New Roman" w:hAnsi="Times New Roman"/>
          <w:sz w:val="18"/>
          <w:szCs w:val="18"/>
          <w:color w:val="auto"/>
        </w:rPr>
        <w:t>In addition, various countries regulate the import of certain encryption technology, including through import permit and license requirements, and have enacted laws that could limit our ability to distribute our offerings or the ability of our customers or their employees or end customers to implement our offerings in those countries. Changes in our offerings or changes in export and import regulations in such countries may create delays in the introduction of our offerings into international markets, prevent our end-customers with international operations from deploying our offerings globally or, in some cases, prevent or delay the export or import of our offerings to certain countries, governments, or persons altogether. Any change in export or import laws or regulations, economic sanctions or related legislation, shift in the enforcement or scope of existing export, import or sanctions laws or regulations, or change in the countries, governments, persons, or technologies targeted by such export, import or sanctions laws or regulations, could result in decreased use of our offerings by, or in our decreased ability to export or sell our offerings to, existing or potential customers with international operations. Any decreased use of our offerings or limitation on our ability to export to or sell our offerings in international markets could adversely affect our business, financial condition and results of operations, and our ability to execute our growth strategy.</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3" w:name="page44"/>
    <w:bookmarkEnd w:id="43"/>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and regulations related to the internet, changes in the internet infrastructure itself, or increases in the cost of internet connectivity and network access may diminish the demand for our offerings and could harm our business.</w:t>
      </w:r>
    </w:p>
    <w:p>
      <w:pPr>
        <w:spacing w:after="0" w:line="186" w:lineRule="exact"/>
        <w:rPr>
          <w:sz w:val="20"/>
          <w:szCs w:val="20"/>
          <w:color w:val="auto"/>
        </w:rPr>
      </w:pPr>
    </w:p>
    <w:p>
      <w:pPr>
        <w:jc w:val="both"/>
        <w:ind w:firstLine="441"/>
        <w:spacing w:after="0" w:line="263" w:lineRule="auto"/>
        <w:rPr>
          <w:sz w:val="20"/>
          <w:szCs w:val="20"/>
          <w:color w:val="auto"/>
        </w:rPr>
      </w:pPr>
      <w:r>
        <w:rPr>
          <w:rFonts w:ascii="Times New Roman" w:cs="Times New Roman" w:eastAsia="Times New Roman" w:hAnsi="Times New Roman"/>
          <w:sz w:val="18"/>
          <w:szCs w:val="18"/>
          <w:color w:val="auto"/>
        </w:rPr>
        <w:t>The future success of our business depends upon the continued use of the internet as a primary medium for commerce, communication, and business applications. Federal, state, or foreign governmental bodies or agencies have in the past adopted, and may in the future adopt, laws or regulations affecting the use of the internet as a commercial medium. The adoption of any laws or regulations that could reduce the growth, popularity, or use of the internet, including laws or practices limiting internet neutrality, could decrease the demand for our offerings, increase our cost of doing business, and adversely affect our results of operations. Changes in these laws or regulations could require us to modify our offerings, or certain aspects of our offerings, in order to comply with these changes. In addition, government agencies or private organizations have imposed and may impose additional taxes, fees, or other charges for accessing the internet or commerce conducted via the internet. These laws or charges could limit the growth of internet-related commerce or communications generally or result in reductions in the demand for internet-based products such as ours. In addition, the use of the internet as a business tool could be harmed due to delays in the development or adoption of new standards and protocols to handle increased demands of internet activity, security, reliability, cost, ease-of-use, accessibility, and quality of service. Further, our platform depends on the quality of our customers’ and other users’ access to the internet.</w:t>
      </w:r>
    </w:p>
    <w:p>
      <w:pPr>
        <w:spacing w:after="0" w:line="205" w:lineRule="exact"/>
        <w:rPr>
          <w:sz w:val="20"/>
          <w:szCs w:val="20"/>
          <w:color w:val="auto"/>
        </w:rPr>
      </w:pPr>
    </w:p>
    <w:p>
      <w:pPr>
        <w:jc w:val="both"/>
        <w:ind w:firstLine="441"/>
        <w:spacing w:after="0" w:line="264" w:lineRule="auto"/>
        <w:rPr>
          <w:sz w:val="20"/>
          <w:szCs w:val="20"/>
          <w:color w:val="auto"/>
        </w:rPr>
      </w:pPr>
      <w:r>
        <w:rPr>
          <w:rFonts w:ascii="Times New Roman" w:cs="Times New Roman" w:eastAsia="Times New Roman" w:hAnsi="Times New Roman"/>
          <w:sz w:val="18"/>
          <w:szCs w:val="18"/>
          <w:color w:val="auto"/>
        </w:rPr>
        <w:t>On June 11, 2018, the repeal of the Federal Communications Commission’s (the “FCC”), “net neutrality” rules took effect and returned to a “light-touch” regulatory framework. The prior rules were designed to ensure that all online content is treated the same by internet service providers and other companies that provide broadband services. Additionally, on September 30, 2018, California enacted the California internet Consumer Protection and Net Neutrality Act of 2018, making California the fourth state to enact a state-level net neutrality law since the FCC repealed its nationwide regulations, mandating that all broadband services in California must be provided in accordance with state net neutrality requirements. The U.S. Department of Justice has sued to block the law going into effect, and California has agreed to delay enforcement until the resolution of the FCC’s repeal of the federal rules. A number of other states are considering legislation or executive actions that would regulate the conduct of broadband providers. We cannot predict whether the FCC order or state initiatives will be modified, overturned, or vacated by legal action of the court, federal legislation or the FCC. With the repeal of net neutrality rules in effect, we could incur greater operating expenses, which could harm our results of operations.</w:t>
      </w:r>
    </w:p>
    <w:p>
      <w:pPr>
        <w:spacing w:after="0" w:line="192"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As the internet continues to experience growth in the number of users, frequency of use, and amount of data transmitted, the internet infrastructure that we and our customers and other users rely on may be unable to support the demands placed upon it. The failure of the internet infrastructure that we or our customers and other users rely on, even for a short period of time, could adversely affect our business, financial condition and results of operations. In addition, the performance of the internet and its acceptance as a business tool has been harmed by “viruses,” “worms” and similar malicious programs and the internet has experienced a variety of outages and other delays as a result of damage to portions of its infrastructure. If the use of the internet is adversely affected by these issues, demand for our offerings could decline.</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44" w:name="page45"/>
    <w:bookmarkEnd w:id="44"/>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Internet access is frequently provided by companies that have significant market power and the ability to take actions that degrade, disrupt, or increase the cost of customers’ access to our offerings. As demand for online media increases, there can be no assurance that internet and network service providers will continue to price their network access services on reasonable terms. We could incur greater operating expenses and our customer acquisition and retention could be negatively impacted if network operators:</w:t>
      </w:r>
    </w:p>
    <w:p>
      <w:pPr>
        <w:spacing w:after="0" w:line="186"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usage-based pricing;</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pricing for competitive products;</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materially change their pricing rates or schemes;</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 us to deliver our traffic at certain levels or at all;</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throttle traffic based on its source or type;</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bandwidth caps or other usage restrictions; or</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try to monetize or control access to their networks.</w:t>
      </w:r>
    </w:p>
    <w:p>
      <w:pPr>
        <w:spacing w:after="0" w:line="252"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We have limited or no control over the extent to which any of these circumstances may occur, and if network access or distribution prices rise, our business, financial condition and results of operations would likely be adversely affected.</w:t>
      </w:r>
    </w:p>
    <w:p>
      <w:pPr>
        <w:spacing w:after="0" w:line="18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anti-bribery, anti-corruption, anti-money laundering laws, and similar laws, could subject us to penalties and other adverse consequences.</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We are subject to the U.S. Foreign Corrupt Practices Act of 1977, as amended (the “FCPA”), the U.S. domestic bribery statute contained in 18 U.S.C.</w:t>
      </w:r>
    </w:p>
    <w:p>
      <w:pPr>
        <w:spacing w:after="0" w:line="39" w:lineRule="exact"/>
        <w:rPr>
          <w:sz w:val="20"/>
          <w:szCs w:val="20"/>
          <w:color w:val="auto"/>
        </w:rPr>
      </w:pPr>
    </w:p>
    <w:p>
      <w:pPr>
        <w:jc w:val="both"/>
        <w:ind w:firstLine="8"/>
        <w:spacing w:after="0" w:line="262" w:lineRule="auto"/>
        <w:tabs>
          <w:tab w:leader="none" w:pos="14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 the U.S. Travel Act, the USA PATRIOT Act, the United Kingdom Bribery Act 2010, the Proceeds of Crime Act 2002, Chapter 9 (sub-chapter 5) of the Israeli Penal Law, 5737-1977, the Israeli Prohibition on Money Laundering Law, 5760-2000 and additional anti-bribery or anti-corruption laws, regulations, or rules of the countries in which we operate. These laws generally prohibit companies and their employees and third-party partners, representatives, and agents from engaging in corruption and bribery, including by offering, promising, giving, or authorizing the provision of anything of value, either directly or indirectly, to a government official or commercial party to influence official action, direct business to any person, gain any improper advantage, or obtain or retain business. Anti-corruption and anti-bribery laws have been enforced aggressively in recent years and are interpreted broadly.</w:t>
      </w:r>
    </w:p>
    <w:p>
      <w:pPr>
        <w:spacing w:after="0" w:line="195" w:lineRule="exact"/>
        <w:rPr>
          <w:sz w:val="20"/>
          <w:szCs w:val="20"/>
          <w:color w:val="auto"/>
        </w:rPr>
      </w:pPr>
    </w:p>
    <w:p>
      <w:pPr>
        <w:jc w:val="both"/>
        <w:ind w:firstLine="441"/>
        <w:spacing w:after="0" w:line="269" w:lineRule="auto"/>
        <w:rPr>
          <w:sz w:val="20"/>
          <w:szCs w:val="20"/>
          <w:color w:val="auto"/>
        </w:rPr>
      </w:pPr>
      <w:r>
        <w:rPr>
          <w:rFonts w:ascii="Times New Roman" w:cs="Times New Roman" w:eastAsia="Times New Roman" w:hAnsi="Times New Roman"/>
          <w:sz w:val="18"/>
          <w:szCs w:val="18"/>
          <w:color w:val="auto"/>
        </w:rPr>
        <w:t>We sometimes leverage third parties to sell our products and conduct certain aspects of our business abroad. We and our third-party partners may have direct or indirect interactions with officials and employees of government agencies or state-owned or affiliated entities and may be held liable for inaccurate or incomplete accounting records, internal accounting controls deemed inadequate by applicable regulatory authorities, and corrupt or other illegal activities of our employees, affiliates, third-party partners, representatives, and agents, even if we do not explicitly authorize such activities. We cannot assure you that our employees and other agents, or those of our partners, will not take actions in violation of applicable law, for which we may be ultimately held responsible. As we increase our international sales and business operations, our risks under these laws are likely to increase.</w:t>
      </w:r>
    </w:p>
    <w:p>
      <w:pPr>
        <w:spacing w:after="0" w:line="188"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Any actual or alleged violation of the FCPA or other applicable anti-bribery, anti-corruption or anti-money laundering laws could result in whistleblower complaints, sanctions, settlements, prosecution, enforcement actions, fines, damages, adverse media coverage, investigations, loss of export privileges, severe criminal or civil sanctions, or suspension or debarment from U.S. government contracts, all of which may have an adverse effect on our reputation, business, financial condition, results of operations, and prospects. Responding to any investigation or action will likely result in a materially significant diversion of the attention and resources of our executive leadership team and other employees and cause us to incur significant defense costs and other professional fees. In addition, the U.S. government may seek to hold us liable for FCPA violations committed by companies that we invest in or acquire.</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5" w:name="page46"/>
    <w:bookmarkEnd w:id="45"/>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activities subject us to litigation risk that could materially and adversely affect us by subjecting us to significant money damages and other remedies, causing unfavorable publicity or increasing our litigation expense.</w:t>
      </w:r>
    </w:p>
    <w:p>
      <w:pPr>
        <w:spacing w:after="0" w:line="186"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We are, from time to time, the subject of complaints or litigation, including user claims, contract claims, employee allegations of improper termination and discrimination and claims related to violations of applicable government laws regarding religious freedom, advertising and intellectual property. The number and significance of these potential claims and disputes may increase as our business expands. Any such claim could be expensive to defend and, regardless of its merit, may divert time, money, management’s attention and other valuable resources away from our operations, harm our reputation, and, thereby, adversely affect our business. Further, our insurance may not cover all potential claims made against us or be sufficient to indemnify us for all liability that may be imposed. Additionally, a substantial judgment against us could materially and adversely affect our business, financial condition, results of operations and prospects.</w:t>
      </w:r>
    </w:p>
    <w:p>
      <w:pPr>
        <w:spacing w:after="0" w:line="190" w:lineRule="exact"/>
        <w:rPr>
          <w:sz w:val="20"/>
          <w:szCs w:val="20"/>
          <w:color w:val="auto"/>
        </w:rPr>
      </w:pPr>
    </w:p>
    <w:p>
      <w:pPr>
        <w:jc w:val="both"/>
        <w:ind w:firstLine="458"/>
        <w:spacing w:after="0" w:line="263" w:lineRule="auto"/>
        <w:rPr>
          <w:sz w:val="20"/>
          <w:szCs w:val="20"/>
          <w:color w:val="auto"/>
        </w:rPr>
      </w:pPr>
      <w:r>
        <w:rPr>
          <w:rFonts w:ascii="Times New Roman" w:cs="Times New Roman" w:eastAsia="Times New Roman" w:hAnsi="Times New Roman"/>
          <w:sz w:val="18"/>
          <w:szCs w:val="18"/>
          <w:color w:val="auto"/>
        </w:rPr>
        <w:t>For example, we have been, and may continue to be, subject to class and individual claims regarding our classification of certain employees. These include a putative class action in the Superior Court for the City and County of San Francisco on October 21, 2022 by a former employee based on claims that she was misclassified as an exempt employee and that the Company failed to properly reimburse for business expenses, failed to pay the proper rate of pay for paid sick leave, and other claims related to the payment of commissions and derivative of the misclassification claim. On December 16, 2022, the plaintiff filed a First Amended Complaint, adding a cause of action for civil penalties under California’s Private Attorneys General Act (California Labor Code Section 2698, et. seq.) seeking to recover civil penalties on behalf of herself, other WalkMe employees, and the State of California, for alleged violations of California’s Labor Code violations. The suit seeks monetary and non-monetary damages, including punitive damages, as well as disgorgement of profits, penalties, interest, and attorneys’ fees on behalf of plaintiff and others similarly situated. The Company filed its Answer on January 19, 2023. This proceeding is at preliminary stages and the Company intends to vigorously contest these claims. Nevertheless, the outcome of any complex legal proceeding is inherently unpredictable and subject to significant uncertainties and there can be no guarantee that it will not have a material adverse effect on the Company’s financial condition, cash flows, or results of operations.</w:t>
      </w:r>
    </w:p>
    <w:p>
      <w:pPr>
        <w:spacing w:after="0" w:line="20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Unanticipated changes in effective tax rates or adverse outcomes resulting from examination of our income or other tax returns could expose us to greater than anticipated tax liabilities.</w:t>
      </w:r>
    </w:p>
    <w:p>
      <w:pPr>
        <w:spacing w:after="0" w:line="186" w:lineRule="exact"/>
        <w:rPr>
          <w:sz w:val="20"/>
          <w:szCs w:val="20"/>
          <w:color w:val="auto"/>
        </w:rPr>
      </w:pPr>
    </w:p>
    <w:p>
      <w:pPr>
        <w:jc w:val="both"/>
        <w:ind w:firstLine="441"/>
        <w:spacing w:after="0" w:line="264" w:lineRule="auto"/>
        <w:rPr>
          <w:sz w:val="20"/>
          <w:szCs w:val="20"/>
          <w:color w:val="auto"/>
        </w:rPr>
      </w:pPr>
      <w:r>
        <w:rPr>
          <w:rFonts w:ascii="Times New Roman" w:cs="Times New Roman" w:eastAsia="Times New Roman" w:hAnsi="Times New Roman"/>
          <w:sz w:val="18"/>
          <w:szCs w:val="18"/>
          <w:color w:val="auto"/>
        </w:rPr>
        <w:t>The tax laws applicable to our business, including the laws of Israel, the United States, and other jurisdictions, are subject to interpretation and certain jurisdictions may aggressively interpret their laws in an effort to raise additional tax revenue. The taxing authorities of the jurisdictions in which we operate may challenge our methodologies for valuing developed technology or intercompany arrangements or our revenue recognition policies, which could increase our worldwide effective tax rate and harm our financial position and results of operations. It is possible that tax authorities may disagree with certain positions we have taken and any adverse outcome of such a review or audit could have a negative effect on our financial position and results of operations. Further, the determination of our worldwide provision for income taxes and other tax liabilities requires significant judgment by management, and there are transactions where the ultimate tax determination is uncertain. Although we believe that our estimates are reasonable, the ultimate tax outcome may differ from the amounts recorded in our consolidated financial statements and may materially affect our financial results in the period or periods for which such determination is made.</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46" w:name="page47"/>
    <w:bookmarkEnd w:id="4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corporate structure and intercompany arrangements are subject to the tax laws of various jurisdictions, and we could be obligated to pay additional taxes, which would harm our results of operations.</w:t>
      </w:r>
    </w:p>
    <w:p>
      <w:pPr>
        <w:spacing w:after="0" w:line="186" w:lineRule="exact"/>
        <w:rPr>
          <w:sz w:val="20"/>
          <w:szCs w:val="20"/>
          <w:color w:val="auto"/>
        </w:rPr>
      </w:pPr>
    </w:p>
    <w:p>
      <w:pPr>
        <w:jc w:val="both"/>
        <w:ind w:firstLine="441"/>
        <w:spacing w:after="0" w:line="263" w:lineRule="auto"/>
        <w:rPr>
          <w:sz w:val="20"/>
          <w:szCs w:val="20"/>
          <w:color w:val="auto"/>
        </w:rPr>
      </w:pPr>
      <w:r>
        <w:rPr>
          <w:rFonts w:ascii="Times New Roman" w:cs="Times New Roman" w:eastAsia="Times New Roman" w:hAnsi="Times New Roman"/>
          <w:sz w:val="18"/>
          <w:szCs w:val="18"/>
          <w:color w:val="auto"/>
        </w:rPr>
        <w:t>Based on our current corporate structure, we are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For example, the recent Inflation Reduction Act enacted in the United States introduced, among other changes, a 1% excise tax on certain stock redemptions by United States corporations which the U.S. Treasury indicated may also apply to certain stock redemptions by a foreign corporation funded (or deemed funded) by certain United States affiliates. The authorities in these jurisdictions could review our tax returns or require us to file tax returns in jurisdictions in which we are not currently filing, and could impose additional tax, interest, and penalties. These authorities could also claim that various withholding requirements apply to us or our subsidiaries, assert that benefits of tax treaties are not available to us or our subsidiaries, or challenge our methodologies for valuing developed technology or intercompany arrangements, including our transfer pricing. The relevant taxing authorities may determine that the manner in which we operate our business does not achieve the intended tax consequences. If such a disagreement was to occur, and our position was not sustained, we could be required to pay additional taxes, interest, and penalties. Such authorities could claim that various withholding requirements apply to us or our subsidiaries or assert that benefits of tax treaties are not available to us or our subsidiaries. Any increase in the amount of taxes we pay or that are imposed on us could increase our worldwide effective tax rate and harm our business, financial condition and results of operations.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 relating to multinational corporations could adversely affect our tax position.</w:t>
      </w:r>
    </w:p>
    <w:p>
      <w:pPr>
        <w:spacing w:after="0" w:line="243" w:lineRule="exact"/>
        <w:rPr>
          <w:sz w:val="20"/>
          <w:szCs w:val="20"/>
          <w:color w:val="auto"/>
        </w:rPr>
      </w:pPr>
    </w:p>
    <w:p>
      <w:pPr>
        <w:jc w:val="both"/>
        <w:ind w:firstLine="441"/>
        <w:spacing w:after="0" w:line="263" w:lineRule="auto"/>
        <w:rPr>
          <w:sz w:val="20"/>
          <w:szCs w:val="20"/>
          <w:color w:val="auto"/>
        </w:rPr>
      </w:pPr>
      <w:r>
        <w:rPr>
          <w:rFonts w:ascii="Times New Roman" w:cs="Times New Roman" w:eastAsia="Times New Roman" w:hAnsi="Times New Roman"/>
          <w:sz w:val="18"/>
          <w:szCs w:val="18"/>
          <w:color w:val="auto"/>
        </w:rPr>
        <w:t>The member countries of the Organization for Economic Co-operation and Development (“OECD”), with the support of the G20, initiated the base erosion and profit shifting (“BEPS”) project in 2013 in response to concerns that changes were needed to international tax laws. In November 2015, the G20 finance ministers adopted final BEPS reports designed to prevent, among other things, the artificial shifting of income to low-tax jurisdictions, and legislation to adopt and implement the standards set forth in such reports has been enacted or is currently under consideration in a number of jurisdictions. In May 2019, the OECD published a “Programme of Work,” which was divided into two pillars. Pillar One focused on the allocation of group profits among taxing jurisdictions based on a market-based concept rather than the historical “permanent establishment” concept. Pillar Two, among other things, introduced a global minimum tax. On October 10, 2021, 137 member jurisdictions of the G20/OECD Inclusive Framework on BEPS (including Israel) joined the “Statement on a Two-Pillar Solution to Address the Tax Challenges Arising from the Digitalisation of the Economy” which sets forth the key terms of such two-pillar solution, including a reallocation of taxing rights among market jurisdictions under Pillar One and a global minimum tax rate of 15% under Pillar Two. The agreement reached by 137 of the 140 members of the OECD’s Inclusive Framework on BEPS calls for law enactment by OECD and G20 members in 2022 to take effect in 2023 and 2024. On December 20, 2021, the OECD published model rules to implement the Pillar Two rules and released commentary to the Pillar Two model rules in March 2022. The model rules and commentary allow the OECD’s Inclusive Framework members to begin implementing the Pillar Two rules in accordance with the agreement reached in October 2021. As the Two Pillar solution is subject to implementation by each member country, the timing and ultimate impact of any such changes on our tax obligations is uncertain. These changes, when enacted, by various countries in which we do business may increase our taxes in these countries. The foregoing tax changes and other possible future tax changes may have an adverse impact on us.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47" w:name="page48"/>
    <w:bookmarkEnd w:id="47"/>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required to collect additional sales, use, value added, digital services or other similar taxes or be subject to other liabilities that may increase the costs our clients would have to pay for our products and adversely affect our results of operations.</w:t>
      </w:r>
    </w:p>
    <w:p>
      <w:pPr>
        <w:spacing w:after="0" w:line="186" w:lineRule="exact"/>
        <w:rPr>
          <w:sz w:val="20"/>
          <w:szCs w:val="20"/>
          <w:color w:val="auto"/>
        </w:rPr>
      </w:pPr>
    </w:p>
    <w:p>
      <w:pPr>
        <w:jc w:val="both"/>
        <w:ind w:firstLine="441"/>
        <w:spacing w:after="0" w:line="262" w:lineRule="auto"/>
        <w:rPr>
          <w:sz w:val="20"/>
          <w:szCs w:val="20"/>
          <w:color w:val="auto"/>
        </w:rPr>
      </w:pPr>
      <w:r>
        <w:rPr>
          <w:rFonts w:ascii="Times New Roman" w:cs="Times New Roman" w:eastAsia="Times New Roman" w:hAnsi="Times New Roman"/>
          <w:sz w:val="18"/>
          <w:szCs w:val="18"/>
          <w:color w:val="auto"/>
        </w:rPr>
        <w:t>We collect sales, value added and other similar taxes in a number of jurisdictions. One or more U.S. states or countries may seek to impose incremental or new sales, use, value added, digital services, or other tax collection obligations on us. Further, an increasing number of U.S. states have considered or adopted laws that attempt to impose tax collection obligations on out-of-state companies. Additionally, the Supreme Court of the United States has ruled that online sellers can be required to collect sales and use tax despite not having a physical presence in the state of the customer, thus permitting a wider enforcement of such sales and use tax collection requirements against non-U.S. companies that have historically not been responsible for state or local tax collection unless they had physical presence in the U.S. customer’s state. As a result, U.S. states and local governments may adopt, or begin to enforce, laws requiring us to calculate, collect, and remit taxes on sales in their jurisdictions, even if we have no physical presence in that jurisdiction. A successful assertion by one or more U.S. states requiring us to collect taxes where we presently do not do so, or to collect more taxes in a jurisdiction in which we currently do collect some taxes, could result in substantial liabilities, including taxes on past sales, as well as interest and penalties. Furthermore, certain jurisdictions, such as the United Kingdom and France, have recently introduced a digital services tax, which is generally a tax on gross revenue generated from users or customers located in those jurisdictions, and other jurisdictions have enacted or are considering enacting similar laws. A successful assertion by a U.S. state or local government, or other country or jurisdiction that we should have been or should be collecting additional sales, use, value added, digital services or other similar taxes could, among other things, result in substantial tax payments, create significant administrative burdens for us, discourage potential customers from subscribing to our platform due to the incremental cost of any such sales or other related taxes, or otherwise harm our business.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to offset future taxable income may be subject to certain limitations.</w:t>
      </w:r>
    </w:p>
    <w:p>
      <w:pPr>
        <w:spacing w:after="0" w:line="243" w:lineRule="exact"/>
        <w:rPr>
          <w:sz w:val="20"/>
          <w:szCs w:val="20"/>
          <w:color w:val="auto"/>
        </w:rPr>
      </w:pPr>
    </w:p>
    <w:p>
      <w:pPr>
        <w:jc w:val="both"/>
        <w:ind w:firstLine="441"/>
        <w:spacing w:after="0" w:line="264" w:lineRule="auto"/>
        <w:rPr>
          <w:sz w:val="20"/>
          <w:szCs w:val="20"/>
          <w:color w:val="auto"/>
        </w:rPr>
      </w:pPr>
      <w:r>
        <w:rPr>
          <w:rFonts w:ascii="Times New Roman" w:cs="Times New Roman" w:eastAsia="Times New Roman" w:hAnsi="Times New Roman"/>
          <w:sz w:val="18"/>
          <w:szCs w:val="18"/>
          <w:color w:val="auto"/>
        </w:rPr>
        <w:t>As of December 31, 2022, we had net operating loss carryforwards of $320.9 million in Israel and federal net operating loss carryforwards of $14.5 million in the United States, which may be utilized against future income taxes. Limitations imposed by the applicable jurisdictions on our ability to utilize net operating loss carryforwards, including with respect to the net operating loss carryforwards of companies that we have acquired or may acquire in the future, could cause income taxes to be paid earlier than would be paid if such limitations were not in effect and could cause such net operating loss carryforwards to expire unused, in each case reducing or eliminating the benefit of such net operating loss carryforwards. Furthermore, we may not be able to generate sufficient taxable income to utilize our net operating loss carryforwards before they expire. If any of these events occur, we may not derive some or all of the expected benefits from our net operating loss carryforwards. Also, any available net operating loss carryforwards would have value only to the extent there is income in the future against which such net operating loss carryforwards may be offset. For these reasons, we may not be able to realize a tax benefit from the use of our net operating loss carryforwards, whether or not we attain profitability. We have recorded a full valuation allowance related to our carryforwards due to the uncertainty of the ultimate realization of the future benefits of those assets.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reported financial results may be adversely affected by changes in accounting principles generally accepted in the United States.</w:t>
      </w:r>
    </w:p>
    <w:p>
      <w:pPr>
        <w:spacing w:after="0" w:line="243" w:lineRule="exact"/>
        <w:rPr>
          <w:sz w:val="20"/>
          <w:szCs w:val="20"/>
          <w:color w:val="auto"/>
        </w:rPr>
      </w:pPr>
    </w:p>
    <w:p>
      <w:pPr>
        <w:jc w:val="both"/>
        <w:ind w:firstLine="441"/>
        <w:spacing w:after="0" w:line="270" w:lineRule="auto"/>
        <w:rPr>
          <w:sz w:val="20"/>
          <w:szCs w:val="20"/>
          <w:color w:val="auto"/>
        </w:rPr>
      </w:pPr>
      <w:r>
        <w:rPr>
          <w:rFonts w:ascii="Times New Roman" w:cs="Times New Roman" w:eastAsia="Times New Roman" w:hAnsi="Times New Roman"/>
          <w:sz w:val="18"/>
          <w:szCs w:val="18"/>
          <w:color w:val="auto"/>
        </w:rPr>
        <w:t>The accounting rules and regulations that we must comply with are complex and subject to interpretation by the Financial Accounting Standards Board (“FASB”), the SEC and various bodies formed to promulgate and interpret appropriate accounting principles. Recent actions and public comments from the FASB and the SEC have focused on the integrity of financial reporting and internal controls. In addition, many companies’ accounting policies are being subject to heightened scrutiny by regulators and the public. Further, the accounting rules and regulations are continually changing in ways that could materially impact our financial statements.</w:t>
      </w:r>
    </w:p>
    <w:p>
      <w:pPr>
        <w:spacing w:after="0" w:line="186" w:lineRule="exact"/>
        <w:rPr>
          <w:sz w:val="20"/>
          <w:szCs w:val="20"/>
          <w:color w:val="auto"/>
        </w:rPr>
      </w:pPr>
    </w:p>
    <w:p>
      <w:pPr>
        <w:jc w:val="both"/>
        <w:ind w:firstLine="441"/>
        <w:spacing w:after="0" w:line="274" w:lineRule="auto"/>
        <w:rPr>
          <w:sz w:val="20"/>
          <w:szCs w:val="20"/>
          <w:color w:val="auto"/>
        </w:rPr>
      </w:pPr>
      <w:r>
        <w:rPr>
          <w:rFonts w:ascii="Times New Roman" w:cs="Times New Roman" w:eastAsia="Times New Roman" w:hAnsi="Times New Roman"/>
          <w:sz w:val="18"/>
          <w:szCs w:val="18"/>
          <w:color w:val="auto"/>
        </w:rPr>
        <w:t>Though we cannot predict the impact of future changes to accounting principles or our accounting policies on our financial statements going forward, any such change in these principles or how they are interpreted could have a significant effect on our reported results of operations and could affect the reporting of transactions already completed before the announcement of a change.</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48" w:name="page49"/>
    <w:bookmarkEnd w:id="48"/>
    <w:p>
      <w:pPr>
        <w:jc w:val="both"/>
        <w:spacing w:after="0" w:line="276" w:lineRule="auto"/>
        <w:rPr>
          <w:sz w:val="20"/>
          <w:szCs w:val="20"/>
          <w:color w:val="auto"/>
        </w:rPr>
      </w:pPr>
      <w:r>
        <w:rPr>
          <w:rFonts w:ascii="Times New Roman" w:cs="Times New Roman" w:eastAsia="Times New Roman" w:hAnsi="Times New Roman"/>
          <w:sz w:val="18"/>
          <w:szCs w:val="18"/>
          <w:b w:val="1"/>
          <w:bCs w:val="1"/>
          <w:i w:val="1"/>
          <w:iCs w:val="1"/>
          <w:color w:val="auto"/>
        </w:rPr>
        <w:t>We are not, and do not intend to become, regulated as an “investment company” under the Investment Company Act of 1940, as amended (“Investment Company Act”), and if we were deemed an “investment company” under the Investment Company Act, applicable restrictions could make it impractical for us to continue our business as contemplated and could have a material adverse effect on our business.</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 entity generally will be deemed to be an “investment company” for purposes of the Investment Company Act if:</w:t>
      </w:r>
    </w:p>
    <w:p>
      <w:pPr>
        <w:spacing w:after="0" w:line="252" w:lineRule="exact"/>
        <w:rPr>
          <w:sz w:val="20"/>
          <w:szCs w:val="20"/>
          <w:color w:val="auto"/>
        </w:rPr>
      </w:pPr>
    </w:p>
    <w:p>
      <w:pPr>
        <w:ind w:left="34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an “orthodox” investment company because it is or holds itself out as being engaged primarily, or proposes to engage primarily, in the business of investing, reinvesting or trading in securities; or</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71"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an inadvertent investment company because, absent an applicable exemption, (i) it owns or proposes to acquire investment securities having a value exceeding 40% of the value of its total assets (exclusive of U.S. government securities and cash items) on an unconsolidated basis, or (ii) it owns or proposes to acquire investment securities having a value exceeding 45% of the value of its total assets (exclusive of U.S. government securities and cash items) and/or more than 45% of its income is derived from investment securities on a consolidated basis with its wholly owned subsidiaries.</w:t>
      </w:r>
    </w:p>
    <w:p>
      <w:pPr>
        <w:spacing w:after="0" w:line="186"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We are engaged primarily in the business of providing clients with our cloud-based Digital Adoption Platform, which enables organizations to better realize the value of their software investments. We hold ourselves out as a cloud-based technology company and do not propose to engage primarily in the business of investing, reinvesting or trading in securities. Accordingly, we do not believe that we are an “orthodox” investment company as defined in Section 3(a)(1)(A) of the Investment Company Act and described in the first bullet point above. Furthermore, we believe that on a consolidated basis less than 45% of our total assets (exclusive of U.S. government securities and cash items) are composed of, and less than 45% of our income is derived from, assets that could be considered investment securities. Accordingly, we do not believe that we are an inadvertent investment company by virtue of the 45% tests in Rule 3a-1 of the Investment Company Act as described in the second bullet point above. In addition, we believe that we are not an investment company under Section 3(b)(1) of the Investment Company Act because we are primarily engaged in a noninvestment company business.</w:t>
      </w:r>
    </w:p>
    <w:p>
      <w:pPr>
        <w:spacing w:after="0" w:line="190" w:lineRule="exact"/>
        <w:rPr>
          <w:sz w:val="20"/>
          <w:szCs w:val="20"/>
          <w:color w:val="auto"/>
        </w:rPr>
      </w:pPr>
    </w:p>
    <w:p>
      <w:pPr>
        <w:jc w:val="both"/>
        <w:ind w:firstLine="441"/>
        <w:spacing w:after="0" w:line="263" w:lineRule="auto"/>
        <w:rPr>
          <w:sz w:val="20"/>
          <w:szCs w:val="20"/>
          <w:color w:val="auto"/>
        </w:rPr>
      </w:pPr>
      <w:r>
        <w:rPr>
          <w:rFonts w:ascii="Times New Roman" w:cs="Times New Roman" w:eastAsia="Times New Roman" w:hAnsi="Times New Roman"/>
          <w:sz w:val="18"/>
          <w:szCs w:val="18"/>
          <w:color w:val="auto"/>
        </w:rPr>
        <w:t>The Investment Company Act and the rules thereunder contain detailed parameters for the organization and operation of investment companies. Among other things, the Investment Company Act and the rules thereunder limit or prohibit transactions with affiliates, impose limitations on the issuance of debt and equity securities, generally prohibit the issuance of options and impose certain governance requirements. We intend to conduct our operations so that we will not be deemed to be an investment company under the Investment Company Act or otherwise conduct our business in a manner that does not subject us to the registration and other requirements of the Investment Company Act. In order to ensure that we are not deemed to be an investment company, we may be limited in the assets that we may continue to own and, further, may need to dispose of or acquire certain assets at such times or on such terms as may be less favorable to us than in the absence of such requirement. In particular, as is common in Israel, much of our marketable securities and some of our cash is held in the form of time-based depositary accounts, which may be considered securities under the Investment Company Act, and we could be required to invest our cash into accounts that yield a lower return in order to avoid becoming an investment company. If anything were to happen which would cause us to be deemed to be an investment company under the Investment Company Act, the requirements imposed by the Investment Company Act could make it impractical for us to continue our business as currently conducted, which would materially adversely affect our business, financial condition and results of operations. In addition, if we were to become inadvertently subject to the Investment Company Act, any violation of the Investment Company Act could subject us to material adverse consequences, including potentially significant regulatory penalties.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Ordinary Shares and Reporting Obligations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share price has been and may continue to be volatile, and you may lose all or part of your investment.</w:t>
      </w:r>
    </w:p>
    <w:p>
      <w:pPr>
        <w:spacing w:after="0" w:line="243" w:lineRule="exact"/>
        <w:rPr>
          <w:sz w:val="20"/>
          <w:szCs w:val="20"/>
          <w:color w:val="auto"/>
        </w:rPr>
      </w:pPr>
    </w:p>
    <w:p>
      <w:pPr>
        <w:jc w:val="both"/>
        <w:ind w:firstLine="441"/>
        <w:spacing w:after="0" w:line="297" w:lineRule="auto"/>
        <w:rPr>
          <w:sz w:val="20"/>
          <w:szCs w:val="20"/>
          <w:color w:val="auto"/>
        </w:rPr>
      </w:pPr>
      <w:r>
        <w:rPr>
          <w:rFonts w:ascii="Times New Roman" w:cs="Times New Roman" w:eastAsia="Times New Roman" w:hAnsi="Times New Roman"/>
          <w:sz w:val="18"/>
          <w:szCs w:val="18"/>
          <w:color w:val="auto"/>
        </w:rPr>
        <w:t>The market price of our ordinary shares has experienced significant price and volume volatility and may continue to fluctuate in the future, substantially as a result of many factors, including:</w:t>
      </w:r>
    </w:p>
    <w:p>
      <w:pPr>
        <w:spacing w:after="0" w:line="163"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or fluctuations in our results of operations;</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guidance we may provide to the public, and any changes in, or our failure to perform in line with, such guidance;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49" w:name="page50"/>
    <w:bookmarkEnd w:id="49"/>
    <w:p>
      <w:pPr>
        <w:ind w:left="340" w:hanging="332"/>
        <w:spacing w:after="0" w:line="297"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business developments, new offerings or new or terminated significant contracts, commercial relationships or capital commitments;</w:t>
      </w:r>
    </w:p>
    <w:p>
      <w:pPr>
        <w:spacing w:after="0" w:line="16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or financial analyst or investor reaction to our press releases, other public announcements, and filings with the SEC;</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us or other companies in our industry;</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or expected future sales of our ordinary shares;</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perceptions of us and the industries and markets in which we operate;</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technology companies generally, or those in our industry in particular;</w:t>
      </w:r>
    </w:p>
    <w:p>
      <w:pPr>
        <w:spacing w:after="0" w:line="238" w:lineRule="exact"/>
        <w:rPr>
          <w:rFonts w:ascii="Times New Roman" w:cs="Times New Roman" w:eastAsia="Times New Roman" w:hAnsi="Times New Roman"/>
          <w:sz w:val="18"/>
          <w:szCs w:val="18"/>
          <w:color w:val="auto"/>
        </w:rPr>
      </w:pPr>
    </w:p>
    <w:p>
      <w:pPr>
        <w:ind w:left="340" w:hanging="332"/>
        <w:spacing w:after="0" w:line="297"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industry or financial analysts to maintain coverage of us, changes in financial estimates by any analysts who follow our Company, or our failure to meet these estimates or the expectations of investors;</w:t>
      </w:r>
    </w:p>
    <w:p>
      <w:pPr>
        <w:spacing w:after="0" w:line="16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our business or our competitors’ businesses or the competitive landscape generally;</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us, our industry or both, or investigations by regulators into our operations or those of our competitors;</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rights or our solutions, or third-party proprietary rights;</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or technologies by us or our competitors;</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breaches of, or failures relating to, privacy, data protection or data security;</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our business;</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executive leadership team or our board of directors;</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such as inflation, higher interest rates and slow or negative growth of our target markets; and</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pandemics, war, incidents of terrorism or responses to these events.</w:t>
      </w:r>
    </w:p>
    <w:p>
      <w:pPr>
        <w:spacing w:after="0" w:line="252"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In addition, the stock markets have recently experienced extreme price and volume fluctuations. Broad market and industry factors may materially harm the market price of our ordinary shares, regardless of our operating performance, which may limit or prevent investors from readily selling their shares and may otherwise negatively affect the liquidity of our ordinary shares. In the past, following periods of volatility in the market price of a company’s securities, securities class action litigation has often been instituted against that company. If we were involved in any similar litigation we could incur substantial costs and our attention and resources of our executive leadership team and other employees could be diverted.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ordinary shares may not be sustained to provide adequate liquidity.</w:t>
      </w:r>
    </w:p>
    <w:p>
      <w:pPr>
        <w:spacing w:after="0" w:line="243" w:lineRule="exact"/>
        <w:rPr>
          <w:sz w:val="20"/>
          <w:szCs w:val="20"/>
          <w:color w:val="auto"/>
        </w:rPr>
      </w:pPr>
    </w:p>
    <w:p>
      <w:pPr>
        <w:jc w:val="both"/>
        <w:ind w:firstLine="441"/>
        <w:spacing w:after="0" w:line="274" w:lineRule="auto"/>
        <w:rPr>
          <w:sz w:val="20"/>
          <w:szCs w:val="20"/>
          <w:color w:val="auto"/>
        </w:rPr>
      </w:pPr>
      <w:r>
        <w:rPr>
          <w:rFonts w:ascii="Times New Roman" w:cs="Times New Roman" w:eastAsia="Times New Roman" w:hAnsi="Times New Roman"/>
          <w:sz w:val="18"/>
          <w:szCs w:val="18"/>
          <w:color w:val="auto"/>
        </w:rPr>
        <w:t>An active trading market may not be sustained for our ordinary shares. The lack of an active market may impair your ability to sell your shares at the time you wish to sell them or at a price that you consider reasonable. An inactive market may also impair our ability to raise capital by selling ordinary shares and may impair our ability to acquire other companies by using our shares as consideration.</w:t>
      </w:r>
    </w:p>
    <w:p>
      <w:pPr>
        <w:spacing w:after="0" w:line="1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meet the expectations of equity research analysts, if they do not publish research or reports about our business or if they issue unfavorable commentary or downgrade our ordinary shares, the price of our ordinary shares could decline.</w:t>
      </w:r>
    </w:p>
    <w:p>
      <w:pPr>
        <w:spacing w:after="0" w:line="186"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 xml:space="preserve">The trading market for our ordinary shares relies in part on the research and reports that securities analysts publish about us and our business. The analysts’ estimates are based upon their own opinions and are often different from our estimates or expectations. If our revenues, our results of operations, or our financial condition are </w:t>
      </w:r>
      <w:r>
        <w:rPr>
          <w:rFonts w:ascii="Times New Roman" w:cs="Times New Roman" w:eastAsia="Times New Roman" w:hAnsi="Times New Roman"/>
          <w:sz w:val="18"/>
          <w:szCs w:val="18"/>
          <w:i w:val="1"/>
          <w:iCs w:val="1"/>
          <w:color w:val="auto"/>
        </w:rPr>
        <w:t>below</w:t>
      </w:r>
      <w:r>
        <w:rPr>
          <w:rFonts w:ascii="Times New Roman" w:cs="Times New Roman" w:eastAsia="Times New Roman" w:hAnsi="Times New Roman"/>
          <w:sz w:val="18"/>
          <w:szCs w:val="18"/>
          <w:color w:val="auto"/>
        </w:rPr>
        <w:t xml:space="preserve"> the estimates or expectations of public market analysts and investors, the price of our ordinary shares could decline. Moreover, the price of our ordinary shares could decline if one or more securities analysts issue unfavorable commentary or cease publishing reports about us or our business.</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as defined in the JOBS Act, and we cannot be certain if the reduced disclosure requirements applicable to emerging growth companies will make our ordinary shares less attractive to investors.</w:t>
      </w:r>
    </w:p>
    <w:p>
      <w:pPr>
        <w:spacing w:after="0" w:line="172"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are eligible to take advantage of specified reduced disclosure and other requirements that are applicable to public companies that are not emerging growth companies. These provisions include, among others, not being required to comply with the auditor attestation requirements of Section 404 of the Sarbanes-Oxley Act of 2002 (“Section 404”) and not being required to comply with any requirement that may be adopted by the PCAOB regarding mandatory audit firm rotation or a supplement to the auditor’s report providing additional information about the audit and the financial statements. In addition, while we remain an emerging growth company we can take advantage of an extended transition period for complying with new or revised accounting standards. This allows us to delay the adoption of certain accounting standards until those standards would otherwise apply to private companies. We have elected to take advantage of this extended transition period and, as a result, our operating results and financial statements may not be comparable to the operating results and financial statements of companies who have adopted the new or revised accounting standards.</w:t>
      </w:r>
    </w:p>
    <w:p>
      <w:pPr>
        <w:spacing w:after="0" w:line="190" w:lineRule="exact"/>
        <w:rPr>
          <w:sz w:val="20"/>
          <w:szCs w:val="20"/>
          <w:color w:val="auto"/>
        </w:rPr>
      </w:pPr>
    </w:p>
    <w:p>
      <w:pPr>
        <w:jc w:val="both"/>
        <w:ind w:firstLine="441"/>
        <w:spacing w:after="0" w:line="270" w:lineRule="auto"/>
        <w:rPr>
          <w:sz w:val="20"/>
          <w:szCs w:val="20"/>
          <w:color w:val="auto"/>
        </w:rPr>
      </w:pPr>
      <w:r>
        <w:rPr>
          <w:rFonts w:ascii="Times New Roman" w:cs="Times New Roman" w:eastAsia="Times New Roman" w:hAnsi="Times New Roman"/>
          <w:sz w:val="18"/>
          <w:szCs w:val="18"/>
          <w:color w:val="auto"/>
        </w:rPr>
        <w:t>We may remain an emerging growth company until the earliest to occur of: (i) the last day of the first fiscal year in which our annual gross revenue equals or exceeds $1.235 billion; (ii) the date that we become a “large accelerated filer,” as defined in Rule 12b-2 under the Exchange Act, which will occur if the market value of our common equity securities held by non-affiliates is at least $700 million as of the last business day of our most recently completed second fiscal quarter; (iii) the date on which we have issued, during the preceding three-year period, more than $1.0 billion in non-convertible debt securities; and (iv) December 31, 2026, which is the last day of the fiscal year ending after the fifth anniversary of our initial public offering (“IPO”).</w:t>
      </w:r>
    </w:p>
    <w:p>
      <w:pPr>
        <w:spacing w:after="0" w:line="186" w:lineRule="exact"/>
        <w:rPr>
          <w:sz w:val="20"/>
          <w:szCs w:val="20"/>
          <w:color w:val="auto"/>
        </w:rPr>
      </w:pPr>
    </w:p>
    <w:p>
      <w:pPr>
        <w:jc w:val="both"/>
        <w:ind w:firstLine="441"/>
        <w:spacing w:after="0" w:line="274" w:lineRule="auto"/>
        <w:rPr>
          <w:sz w:val="20"/>
          <w:szCs w:val="20"/>
          <w:color w:val="auto"/>
        </w:rPr>
      </w:pPr>
      <w:r>
        <w:rPr>
          <w:rFonts w:ascii="Times New Roman" w:cs="Times New Roman" w:eastAsia="Times New Roman" w:hAnsi="Times New Roman"/>
          <w:sz w:val="18"/>
          <w:szCs w:val="18"/>
          <w:color w:val="auto"/>
        </w:rPr>
        <w:t>Investors may find our ordinary shares less attractive to the extent we rely on the exemptions and relief granted by the JOBS Act. If some investors find our ordinary shares less attractive as a result, there may be a less active trading market for our ordinary shares and the price of our ordinary shares may decline or become more volatile.</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51" w:name="page52"/>
    <w:bookmarkEnd w:id="5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and, as a result, we are not subject to U.S. proxy rules and will be subject to Exchange Act reporting obligations that, to some extent, are more lenient and less frequent than those of a U.S. domestic public company.</w:t>
      </w:r>
    </w:p>
    <w:p>
      <w:pPr>
        <w:spacing w:after="0" w:line="186"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We report under the Exchange Act as a non-U.S. company with foreign private issuer status. Because we qualify as a foreign private issuer, we take advantage of certain provisions under the Nasdaq corporate governance rules that allow us to follow Israeli law for certain corporate governance matters. As long as we qualify as a foreign private issuer under the Exchange Act, we are exempt from certain provisions of the Exchange Act that are applicable to U.S. domestic public companies, including among others:</w:t>
      </w:r>
    </w:p>
    <w:p>
      <w:pPr>
        <w:spacing w:after="0" w:line="186" w:lineRule="exact"/>
        <w:rPr>
          <w:sz w:val="20"/>
          <w:szCs w:val="20"/>
          <w:color w:val="auto"/>
        </w:rPr>
      </w:pPr>
    </w:p>
    <w:p>
      <w:pPr>
        <w:ind w:left="340" w:hanging="332"/>
        <w:spacing w:after="0" w:line="297"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162" w:lineRule="exact"/>
        <w:rPr>
          <w:rFonts w:ascii="Times New Roman" w:cs="Times New Roman" w:eastAsia="Times New Roman" w:hAnsi="Times New Roman"/>
          <w:sz w:val="18"/>
          <w:szCs w:val="18"/>
          <w:color w:val="auto"/>
        </w:rPr>
      </w:pPr>
    </w:p>
    <w:p>
      <w:pPr>
        <w:ind w:left="340" w:hanging="332"/>
        <w:spacing w:after="0" w:line="297"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share ownership and trading activities and liability for insiders who profit from trades made in a short period of time;</w:t>
      </w:r>
    </w:p>
    <w:p>
      <w:pPr>
        <w:spacing w:after="0" w:line="162" w:lineRule="exact"/>
        <w:rPr>
          <w:rFonts w:ascii="Times New Roman" w:cs="Times New Roman" w:eastAsia="Times New Roman" w:hAnsi="Times New Roman"/>
          <w:sz w:val="18"/>
          <w:szCs w:val="18"/>
          <w:color w:val="auto"/>
        </w:rPr>
      </w:pPr>
    </w:p>
    <w:p>
      <w:pPr>
        <w:ind w:left="340" w:right="20" w:hanging="332"/>
        <w:spacing w:after="0" w:line="297"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containing unaudited financial and other specified information, or current reports on Form 8-K, upon the occurrence of specified significant events; and</w:t>
      </w:r>
    </w:p>
    <w:p>
      <w:pPr>
        <w:spacing w:after="0" w:line="16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 Fair Disclosure (“Regulation FD”), which regulates selective disclosures of material information by issuers.</w:t>
      </w:r>
    </w:p>
    <w:p>
      <w:pPr>
        <w:spacing w:after="0" w:line="252"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In addition, foreign private issuers are not required to file their annual report on Form 20-F until four months after the end of each fiscal year, while U.S. domestic issuers that are accelerated filers are required to file their annual report on Form 10-K within 75 days after the end of each fiscal year and U.S. domestic issuers that are large accelerated filers are required to file their annual report on Form 10-K within 60 days after the end of each fiscal year. Foreign private issuers, like emerging growth companies, also are exempt from certain more stringent executive compensation disclosure rules. As a result of all of the above, you may not have the same protections afforded to shareholders of a company that is not a foreign private issuer.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lose our foreign private issuer status in the future, which could result in significant additional costs and expenses.</w:t>
      </w:r>
    </w:p>
    <w:p>
      <w:pPr>
        <w:spacing w:after="0" w:line="243" w:lineRule="exact"/>
        <w:rPr>
          <w:sz w:val="20"/>
          <w:szCs w:val="20"/>
          <w:color w:val="auto"/>
        </w:rPr>
      </w:pPr>
    </w:p>
    <w:p>
      <w:pPr>
        <w:jc w:val="both"/>
        <w:ind w:firstLine="441"/>
        <w:spacing w:after="0" w:line="263" w:lineRule="auto"/>
        <w:rPr>
          <w:sz w:val="20"/>
          <w:szCs w:val="20"/>
          <w:color w:val="auto"/>
        </w:rPr>
      </w:pPr>
      <w:r>
        <w:rPr>
          <w:rFonts w:ascii="Times New Roman" w:cs="Times New Roman" w:eastAsia="Times New Roman" w:hAnsi="Times New Roman"/>
          <w:sz w:val="18"/>
          <w:szCs w:val="18"/>
          <w:color w:val="auto"/>
        </w:rPr>
        <w:t>As discussed above, we are a foreign private issuer, and therefore, we are not required to comply with all of the periodic disclosure and current reporting requirements of the Exchange Act that are applicable to U.S. domestic public companies. The determination of foreign private issuer status is made annually on the last business day of an issuer’s most recently completed second fiscal quarter, and, accordingly, the next determination will be made with respect to us on June 30, 2023. In the future, we would lose our foreign private issuer status if more than 50% of our outstanding voting securities are owned by U.S. residents and any of the following three circumstances applies: (1) the majority of our directors or executive officers are U.S. citizens or residents, (2) more than 50% of our assets are located in the United States, or (3) our business is administered principally in the United States. If we lose our foreign private issuer status, we will be required to file with the SEC periodic reports and registration statements on U.S. domestic issuer forms, which are more detailed and extensive than the forms available to a foreign private issuer. We will also have to mandatorily comply with U.S. federal proxy requirements, and our officers, directors and principal shareholders will become subject to the short-swing profit disclosure and recovery provisions of Section 16 of the Exchange Act. In addition, we will lose our ability to rely upon exemptions from certain corporate governance requirements under the Nasdaq listing rules. As a U.S. listed public company that is not a foreign private issuer, we will incur significant additional legal, accounting and other expenses that we will not incur as a foreign private issuer.</w:t>
      </w:r>
    </w:p>
    <w:p>
      <w:pPr>
        <w:spacing w:after="0" w:line="190"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As we are a foreign private issuer and intend to follow certain home country corporate governance practices, our shareholders may not have the same protections afforded to shareholders of companies that are subject to all corporate governance requirements.</w:t>
      </w:r>
    </w:p>
    <w:p>
      <w:pPr>
        <w:spacing w:after="0" w:line="158" w:lineRule="exact"/>
        <w:rPr>
          <w:sz w:val="20"/>
          <w:szCs w:val="20"/>
          <w:color w:val="auto"/>
        </w:rPr>
      </w:pPr>
    </w:p>
    <w:p>
      <w:pPr>
        <w:jc w:val="both"/>
        <w:ind w:firstLine="441"/>
        <w:spacing w:after="0" w:line="270" w:lineRule="auto"/>
        <w:rPr>
          <w:sz w:val="20"/>
          <w:szCs w:val="20"/>
          <w:color w:val="auto"/>
        </w:rPr>
      </w:pPr>
      <w:r>
        <w:rPr>
          <w:rFonts w:ascii="Times New Roman" w:cs="Times New Roman" w:eastAsia="Times New Roman" w:hAnsi="Times New Roman"/>
          <w:sz w:val="18"/>
          <w:szCs w:val="18"/>
          <w:color w:val="auto"/>
        </w:rPr>
        <w:t>As a foreign private issuer, we have the option to follow certain home country corporate governance practices rather than the Nasdaq corporate governance rules, provided that we disclose and describe the requirements we are not following and the Israeli practices we are following. We intend to rely on this “foreign private issuer exemption” with respect to the quorum requirement for shareholder meetings, and may in the future elect to follow home country practices with regard to other matters. As a result, our shareholders may not have the same protections afforded to shareholders of companies that are subject to all Nasdaq corporate governance requirements.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ordinary shares could be negatively affected by future issuances and sales of our ordinary shares.</w:t>
      </w:r>
    </w:p>
    <w:p>
      <w:pPr>
        <w:spacing w:after="0" w:line="243" w:lineRule="exact"/>
        <w:rPr>
          <w:sz w:val="20"/>
          <w:szCs w:val="20"/>
          <w:color w:val="auto"/>
        </w:rPr>
      </w:pPr>
    </w:p>
    <w:p>
      <w:pPr>
        <w:jc w:val="both"/>
        <w:ind w:firstLine="441"/>
        <w:spacing w:after="0" w:line="274" w:lineRule="auto"/>
        <w:rPr>
          <w:sz w:val="20"/>
          <w:szCs w:val="20"/>
          <w:color w:val="auto"/>
        </w:rPr>
      </w:pPr>
      <w:r>
        <w:rPr>
          <w:rFonts w:ascii="Times New Roman" w:cs="Times New Roman" w:eastAsia="Times New Roman" w:hAnsi="Times New Roman"/>
          <w:sz w:val="18"/>
          <w:szCs w:val="18"/>
          <w:color w:val="auto"/>
        </w:rPr>
        <w:t>Sales by us or our shareholders of a substantial number of ordinary shares in the public market, or the perception that these sales might occur, could cause the market price of our ordinary shares to decline or could impair our ability to raise capital through a future sale of, or pay for acquisitions using, our equity securities.</w:t>
      </w:r>
    </w:p>
    <w:p>
      <w:pPr>
        <w:spacing w:after="0" w:line="196"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As of December 31, 2022, we are authorized to issue up to 900,000,000 ordinary shares. Subject to compliance with applicable rules and regulations, we may issue ordinary shares or securities convertible into ordinary shares from time to time in connection with a financing, acquisition, investment, our share incentive plans or otherwise. Any such issuance could result in substantial dilution to our existing shareholders and cause the market price of our ordinary shares to decline.</w:t>
      </w:r>
    </w:p>
    <w:p>
      <w:pPr>
        <w:spacing w:after="0" w:line="182"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We may be classified as a passive foreign investment company, which could result in adverse U.S. federal income tax consequences to U.S. Holders of our ordinary shares.</w:t>
      </w:r>
    </w:p>
    <w:p>
      <w:pPr>
        <w:spacing w:after="0" w:line="158" w:lineRule="exact"/>
        <w:rPr>
          <w:sz w:val="20"/>
          <w:szCs w:val="20"/>
          <w:color w:val="auto"/>
        </w:rPr>
      </w:pPr>
    </w:p>
    <w:p>
      <w:pPr>
        <w:jc w:val="both"/>
        <w:ind w:firstLine="441"/>
        <w:spacing w:after="0" w:line="262" w:lineRule="auto"/>
        <w:rPr>
          <w:sz w:val="20"/>
          <w:szCs w:val="20"/>
          <w:color w:val="auto"/>
        </w:rPr>
      </w:pPr>
      <w:r>
        <w:rPr>
          <w:rFonts w:ascii="Times New Roman" w:cs="Times New Roman" w:eastAsia="Times New Roman" w:hAnsi="Times New Roman"/>
          <w:sz w:val="18"/>
          <w:szCs w:val="18"/>
          <w:color w:val="auto"/>
        </w:rPr>
        <w:t>We would be classified as a passive foreign investment company (“PFIC”) for any taxable year if, after the application of certain look-through rules, either: (i) 75% or more of our gross income for such year is “passive income” (as defined in the relevant provisions of the Internal Revenue Code of 1986, as amended), or (ii) 50% or more of the value of our gross assets (determined on the basis of a quarterly average) during such year is attributable to assets that produce or are held for the production of passive income (the “asset test”). For these purposes, cash and other assets readily convertible into cash are categorized as passive assets, and the company’s goodwill and other unbooked intangibles are generally taken into account. Passive income generally includes, among other things, rents, dividends, interest, royalties, gains from the disposition of passive assets and gains from commodities and securities transactions. For purposes of this test, we will be treated as owning a proportionate share of the assets and earning a proportionate share of the income of any other corporation of which we own, directly or indirectly, more than 25% (by value) of the stock. Based on the composition of our income, assets and operations, we do not believe that we were a PFIC for the taxable year ended December 31, 2022. However, our status as a PFIC requires a factual determination that depends on, among other things, our income, assets and operations in each year. Fluctuations in the market price of our ordinary shares may cause our classification as a PFIC for the current or future taxable years to change because the value of our assets for purposes of the asset test, including the value of our goodwill and unbooked intangibles, may be determined by reference to the market price of our shares from time to time (which may be volatile). Among other matters, if our market capitalization subsequently declines, it may make our classification as a PFIC more likely for the current or future taxable years. The composition of our income and assets may also be affected by how, and how quickly, we use our liquid assets. Therefore, there can be no assurance that we will not be treated as a PFIC for our current taxable year or any future taxable year.</w:t>
      </w:r>
    </w:p>
    <w:p>
      <w:pPr>
        <w:spacing w:after="0" w:line="202"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Certain adverse U.S. federal income tax consequences could apply to a U.S. Holder (as defined in Item 10.E. “Tax Considerations - U.S. Federal Income Tax Considerations”) if we are treated as a PFIC for any taxable year during which such U.S. Holder holds our ordinary shares. U.S. Holders should consult their tax advisors regarding the application of PFIC rules to an investment in our ordinary shares. For further discussion, see Item 10.E. “Tax Considerations - Material United States Tax Considerations.”</w:t>
      </w:r>
    </w:p>
    <w:p>
      <w:pPr>
        <w:spacing w:after="0" w:line="1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 United States person is treated as owning at least 10% of our ordinary shares, such holder may be subject to adverse U.S. federal income tax consequences.</w:t>
      </w:r>
    </w:p>
    <w:p>
      <w:pPr>
        <w:spacing w:after="0" w:line="186" w:lineRule="exact"/>
        <w:rPr>
          <w:sz w:val="20"/>
          <w:szCs w:val="20"/>
          <w:color w:val="auto"/>
        </w:rPr>
      </w:pPr>
    </w:p>
    <w:p>
      <w:pPr>
        <w:jc w:val="both"/>
        <w:ind w:firstLine="441"/>
        <w:spacing w:after="0" w:line="262" w:lineRule="auto"/>
        <w:rPr>
          <w:sz w:val="20"/>
          <w:szCs w:val="20"/>
          <w:color w:val="auto"/>
        </w:rPr>
      </w:pPr>
      <w:r>
        <w:rPr>
          <w:rFonts w:ascii="Times New Roman" w:cs="Times New Roman" w:eastAsia="Times New Roman" w:hAnsi="Times New Roman"/>
          <w:sz w:val="18"/>
          <w:szCs w:val="18"/>
          <w:color w:val="auto"/>
        </w:rPr>
        <w:t>If a United States person is treated as owning (directly, indirectly, or constructively) at least 10% of the value or voting power of our ordinary shares, such person may be treated as a “United States shareholder” with respect to each “controlled foreign corporation” (“CFC”) in our group (if any). Because our group includes a U.S. subsidiary, certain of our non-U.S. subsidiaries will be treated as CFCs (regardless of whether or not we are treated as a CFC). A United States shareholder of a CFC may be required to report annually and include in its U.S. taxable income its pro rata share of “Subpart F income,” “global intangible low-taxed income,” and investments in U.S. property by CFC, regardless of whether we make any distributions. An individual that is a United States shareholder with respect to a CFC generally would not be allowed certain tax deductions or foreign tax credits that would be allowed to a United States shareholder that is a U.S. corporation. Failure to comply with these reporting obligations may subject a United States shareholder to significant monetary penalties and may prevent the statute of limitations with respect to such shareholder’s U.S. federal income tax return for the year for which reporting was due from starting. We cannot provide any assurances that we will assist investors in determining whether we are or any of our non-U.S. subsidiaries is treated as a CFC or whether any investor is treated as a United States shareholder with respect to any such CFC or furnish to any United States shareholders information that may be necessary to comply with the aforementioned reporting and tax paying obligations. The United States Internal Revenue Service has provided limited guidance on situations in which investors may rely on publicly available information to comply with their reporting and taxpaying obligations with respect to foreign-controlled CFCs. A United States investor should consult its advisors regarding the potential application of these rules to an investment in our ordinary shares.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53" w:name="page54"/>
    <w:bookmarkEnd w:id="53"/>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Israeli law and our Articles of Association may delay, prevent or make undesirable an acquisition of all or a significant portion of our shares or assets.</w:t>
      </w:r>
    </w:p>
    <w:p>
      <w:pPr>
        <w:spacing w:after="0" w:line="186"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Provisions of Israeli law, including the Israeli Companies Law, 5759-1999 (the “Companies Law”), and our amended and restated Articles of Association could have the effect of delaying or preventing a change in control and may make it more difficult for a third-party to acquire us or our shareholders to elect different individuals to our board of directors, even if doing so would be considered to be beneficial by some of our shareholders, and may limit the price that investors may be willing to pay in the future for our ordinary shares. Among other things:</w:t>
      </w:r>
    </w:p>
    <w:p>
      <w:pPr>
        <w:spacing w:after="0" w:line="186" w:lineRule="exact"/>
        <w:rPr>
          <w:sz w:val="20"/>
          <w:szCs w:val="20"/>
          <w:color w:val="auto"/>
        </w:rPr>
      </w:pPr>
    </w:p>
    <w:p>
      <w:pPr>
        <w:ind w:left="340" w:hanging="332"/>
        <w:spacing w:after="0" w:line="297"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Law regulates mergers and requires that a tender offer be effected when more than a specified percentage of shares in a company are purchased;</w:t>
      </w:r>
    </w:p>
    <w:p>
      <w:pPr>
        <w:spacing w:after="0" w:line="162" w:lineRule="exact"/>
        <w:rPr>
          <w:rFonts w:ascii="Times New Roman" w:cs="Times New Roman" w:eastAsia="Times New Roman" w:hAnsi="Times New Roman"/>
          <w:sz w:val="18"/>
          <w:szCs w:val="18"/>
          <w:color w:val="auto"/>
        </w:rPr>
      </w:pPr>
    </w:p>
    <w:p>
      <w:pPr>
        <w:ind w:left="340" w:hanging="332"/>
        <w:spacing w:after="0" w:line="297"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Law requires special approvals for certain transactions involving directors, officers or certain significant shareholders and regulates other matters that may be relevant to these types of transactions;</w:t>
      </w:r>
    </w:p>
    <w:p>
      <w:pPr>
        <w:spacing w:after="0" w:line="162" w:lineRule="exact"/>
        <w:rPr>
          <w:rFonts w:ascii="Times New Roman" w:cs="Times New Roman" w:eastAsia="Times New Roman" w:hAnsi="Times New Roman"/>
          <w:sz w:val="18"/>
          <w:szCs w:val="18"/>
          <w:color w:val="auto"/>
        </w:rPr>
      </w:pPr>
    </w:p>
    <w:p>
      <w:pPr>
        <w:ind w:left="340" w:hanging="332"/>
        <w:spacing w:after="0" w:line="297"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Law does not provide for shareholder action by written consent for public companies, thereby requiring all shareholder actions to be taken at a general meeting of shareholders;</w:t>
      </w:r>
    </w:p>
    <w:p>
      <w:pPr>
        <w:spacing w:after="0" w:line="162" w:lineRule="exact"/>
        <w:rPr>
          <w:rFonts w:ascii="Times New Roman" w:cs="Times New Roman" w:eastAsia="Times New Roman" w:hAnsi="Times New Roman"/>
          <w:sz w:val="18"/>
          <w:szCs w:val="18"/>
          <w:color w:val="auto"/>
        </w:rPr>
      </w:pPr>
    </w:p>
    <w:p>
      <w:pPr>
        <w:jc w:val="both"/>
        <w:ind w:left="340" w:hanging="332"/>
        <w:spacing w:after="0" w:line="274"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amended and restates Articles of Association divide our directors into three classes, each of which is elected once every three years, and accordingly, each of our directors serves until the third annual general meeting following his or her election or re-election or until he or she is removed;</w:t>
      </w:r>
    </w:p>
    <w:p>
      <w:pPr>
        <w:spacing w:after="0" w:line="195" w:lineRule="exact"/>
        <w:rPr>
          <w:rFonts w:ascii="Times New Roman" w:cs="Times New Roman" w:eastAsia="Times New Roman" w:hAnsi="Times New Roman"/>
          <w:sz w:val="18"/>
          <w:szCs w:val="18"/>
          <w:color w:val="auto"/>
        </w:rPr>
      </w:pPr>
    </w:p>
    <w:p>
      <w:pPr>
        <w:jc w:val="both"/>
        <w:ind w:left="340" w:hanging="332"/>
        <w:spacing w:after="0" w:line="271"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to our amended and restates Articles of Association will generally require, in addition to the approval of our board of directors, a vote of the holders of a majority of our outstanding ordinary shares entitled to vote and present and voting on the matter at a general meeting of shareholders (referred to as simple majority), and the amendment of a limited number of provisions, such as the provision dividing our directors into three classes, requires a vote of the holders of at least 65% of the total voting power of our shareholders;</w:t>
      </w:r>
    </w:p>
    <w:p>
      <w:pPr>
        <w:spacing w:after="0" w:line="185" w:lineRule="exact"/>
        <w:rPr>
          <w:rFonts w:ascii="Times New Roman" w:cs="Times New Roman" w:eastAsia="Times New Roman" w:hAnsi="Times New Roman"/>
          <w:sz w:val="18"/>
          <w:szCs w:val="18"/>
          <w:color w:val="auto"/>
        </w:rPr>
      </w:pPr>
    </w:p>
    <w:p>
      <w:pPr>
        <w:jc w:val="both"/>
        <w:ind w:left="340" w:hanging="332"/>
        <w:spacing w:after="0" w:line="274"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amended and restates Articles of Association do not permit a director to be removed except by a vote of the holders of at least 65% of the total voting power of our shareholders and any amendment to such provision shall require the approval of at least 65% of the total voting power of our shareholders; and</w:t>
      </w:r>
    </w:p>
    <w:p>
      <w:pPr>
        <w:spacing w:after="0" w:line="19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amended and restates Articles of Association provide that director vacancies may be filled by our board of directors.</w:t>
      </w:r>
    </w:p>
    <w:p>
      <w:pPr>
        <w:spacing w:after="0" w:line="252"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Israeli tax considerations may also make potential transactions undesirable to us or to some of our shareholders whose country of residence does not have a tax treaty with Israel granting tax relief to such shareholders from Israeli tax. With respect to mergers, Israeli tax law allows for tax deferral in certain circumstances but makes the deferral contingent on the fulfillment of numerous conditions, including a holding period of up to two years from the date of the transaction during which certain sales and dispositions of shares of the participating companies are restricted. Moreover, with respect to certain share swap transactions, the tax deferral is limited in time, and when such time expires, the tax becomes payable even if no disposition of the shares has occurred.</w:t>
      </w:r>
    </w:p>
    <w:p>
      <w:pPr>
        <w:spacing w:after="0" w:line="190"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Furthermore, under the Encouragement of Research, Development and Technological Innovation in the Industry Law, 5744-1984, and the regulations, guidelines, rules, procedures, and benefit tracks thereunder (collectively, the “Innovation Law”), to which we are subject due to our receipt of grants from the Israeli National Authority for Technological Innovation, or the Israeli Innovation Authority (the “IIA”), a recipient of IIA grants such as our Company must report to the IIA regarding any change in the holding of means of control of our Company which transforms any non-Israeli citizen or resident into an “interested party,” as defined in the Israeli Securities Law, 5728-1968 (the “Israeli Securities Law”), and such non-Israeli citizen or resident shall execute an undertaking in favor of IIA, in a form prescribed by IIA.</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in the foreseeable future.</w:t>
      </w:r>
    </w:p>
    <w:p>
      <w:pPr>
        <w:spacing w:after="0" w:line="243" w:lineRule="exact"/>
        <w:rPr>
          <w:sz w:val="20"/>
          <w:szCs w:val="20"/>
          <w:color w:val="auto"/>
        </w:rPr>
      </w:pPr>
    </w:p>
    <w:p>
      <w:pPr>
        <w:jc w:val="both"/>
        <w:ind w:firstLine="416"/>
        <w:spacing w:after="0" w:line="271" w:lineRule="auto"/>
        <w:rPr>
          <w:sz w:val="20"/>
          <w:szCs w:val="20"/>
          <w:color w:val="auto"/>
        </w:rPr>
      </w:pPr>
      <w:r>
        <w:rPr>
          <w:rFonts w:ascii="Times New Roman" w:cs="Times New Roman" w:eastAsia="Times New Roman" w:hAnsi="Times New Roman"/>
          <w:sz w:val="18"/>
          <w:szCs w:val="18"/>
          <w:color w:val="auto"/>
        </w:rPr>
        <w:t>We have never declared or paid any cash dividends on our ordinary shares. We currently intend to retain all available funds and any future earnings to finance the operation and expansion of our business and do not anticipate paying any dividends on our ordinary shares in the foreseeable future. Consequently, investors who purchase ordinary shares may be unable to realize a gain on their investment except by selling such shares after price appreciation, which may never occur.</w:t>
      </w:r>
    </w:p>
    <w:p>
      <w:pPr>
        <w:spacing w:after="0" w:line="186" w:lineRule="exact"/>
        <w:rPr>
          <w:sz w:val="20"/>
          <w:szCs w:val="20"/>
          <w:color w:val="auto"/>
        </w:rPr>
      </w:pPr>
    </w:p>
    <w:p>
      <w:pPr>
        <w:jc w:val="both"/>
        <w:ind w:firstLine="441"/>
        <w:spacing w:after="0" w:line="281" w:lineRule="auto"/>
        <w:rPr>
          <w:sz w:val="20"/>
          <w:szCs w:val="20"/>
          <w:color w:val="auto"/>
        </w:rPr>
      </w:pPr>
      <w:r>
        <w:rPr>
          <w:rFonts w:ascii="Times New Roman" w:cs="Times New Roman" w:eastAsia="Times New Roman" w:hAnsi="Times New Roman"/>
          <w:sz w:val="18"/>
          <w:szCs w:val="18"/>
          <w:color w:val="auto"/>
        </w:rPr>
        <w:t>Our board of directors has sole discretion regarding whether to pay dividends. If our board of directors decides to pay dividends, the form, frequency and amount will depend upon our future operations and earnings, capital requirements and surplus, general financial condition, contractual restrictions and other factors that our directors may deem relevant. The Companies Law imposes restrictions on our ability to declare and pay dividends.</w:t>
      </w:r>
    </w:p>
    <w:p>
      <w:pPr>
        <w:spacing w:after="0" w:line="173"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increased costs as a result of operating as a public company, and our executive leadership team and other employees are required to devote substantial time to new compliance initiatives and corporate governance practices.</w:t>
      </w:r>
    </w:p>
    <w:p>
      <w:pPr>
        <w:spacing w:after="0" w:line="158" w:lineRule="exact"/>
        <w:rPr>
          <w:sz w:val="20"/>
          <w:szCs w:val="20"/>
          <w:color w:val="auto"/>
        </w:rPr>
      </w:pPr>
    </w:p>
    <w:p>
      <w:pPr>
        <w:jc w:val="both"/>
        <w:ind w:firstLine="441"/>
        <w:spacing w:after="0" w:line="263" w:lineRule="auto"/>
        <w:rPr>
          <w:sz w:val="20"/>
          <w:szCs w:val="20"/>
          <w:color w:val="auto"/>
        </w:rPr>
      </w:pPr>
      <w:r>
        <w:rPr>
          <w:rFonts w:ascii="Times New Roman" w:cs="Times New Roman" w:eastAsia="Times New Roman" w:hAnsi="Times New Roman"/>
          <w:sz w:val="18"/>
          <w:szCs w:val="18"/>
          <w:color w:val="auto"/>
        </w:rPr>
        <w:t>As a public company we have, and particularly after we are no longer an emerging growth company, we will continue to incur significant legal, accounting and other expenses that we did not incur as a private company. The Sarbanes-Oxley Act, the Dodd-Frank Wall Street Reform and Consumer Protection Act, the listing requirements of the Nasdaq and other applicable rules and regulations impose various requirements on public companies, including the establishment and maintenance of effective disclosure and financial controls and corporate governance practices. Our executive leadership team and other personnel continue to devote a substantial amount of time to these compliance initiatives. Moreover, these rules and regulations will continue to increase our legal and financial compliance costs and will make some activities more time-consuming and costly. For example, we expect that these rules and regulations may make it more difficult and more expensive for us to obtain director and officer liability insurance, and could also make it more difficult for us to attract and retain qualified members of our board.</w:t>
      </w:r>
    </w:p>
    <w:p>
      <w:pPr>
        <w:spacing w:after="0" w:line="210"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We continue to evaluate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82"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58" w:lineRule="exact"/>
        <w:rPr>
          <w:sz w:val="20"/>
          <w:szCs w:val="20"/>
          <w:color w:val="auto"/>
        </w:rPr>
      </w:pPr>
    </w:p>
    <w:p>
      <w:pPr>
        <w:jc w:val="both"/>
        <w:ind w:firstLine="441"/>
        <w:spacing w:after="0" w:line="264"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believe that any disclosure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05"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If any of these new or improved controls and systems do not perform as expected, we may experience material weaknesses in our controls.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55" w:name="page56"/>
    <w:bookmarkEnd w:id="55"/>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In addition to our results determined in accordance with U.S. GAAP, we believe certain non-GAAP measures and key metrics may be useful in evaluating our operating performance. We present certain non-GAAP financial measures and key performance metrics in this Annual Report and intend to continue to present certain non-GAAP financial measures and key performance metrics in future filings with the SEC and other public statements. Any failure to accurately report and present our non-GAAP financial measures and key performance metrics could cause investors to lose confidence in our reported financial and other information, which would likely have a negative effect on the trading price of our ordinary shares.</w:t>
      </w:r>
    </w:p>
    <w:p>
      <w:pPr>
        <w:spacing w:after="0" w:line="203" w:lineRule="exact"/>
        <w:rPr>
          <w:sz w:val="20"/>
          <w:szCs w:val="20"/>
          <w:color w:val="auto"/>
        </w:rPr>
      </w:pPr>
    </w:p>
    <w:p>
      <w:pPr>
        <w:jc w:val="both"/>
        <w:ind w:firstLine="441"/>
        <w:spacing w:after="0" w:line="263" w:lineRule="auto"/>
        <w:rPr>
          <w:sz w:val="20"/>
          <w:szCs w:val="20"/>
          <w:color w:val="auto"/>
        </w:rPr>
      </w:pPr>
      <w:r>
        <w:rPr>
          <w:rFonts w:ascii="Times New Roman" w:cs="Times New Roman" w:eastAsia="Times New Roman" w:hAnsi="Times New Roman"/>
          <w:sz w:val="18"/>
          <w:szCs w:val="18"/>
          <w:color w:val="auto"/>
        </w:rPr>
        <w:t>Our current controls and any new controls that we develop may become inadequate because of changes in conditions in our business, as a result of our growth and expansion, changes to or additions of new products or otherwise. Further, weaknesses in our disclosure controls and internal control over financial reporting may be discovered in the future. Any failure to develop or maintain effective controls or any difficulties encountered in their implementation or improvement could harm our business, financial condition, and results of operations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that we are required to file with the SEC and annual independent registered public accounting firm attestation reports regarding the effectiveness of our internal control over financial reporting that we will be required to include in our annual reports after we lose our status as an “emerging growth company.” Ineffective disclosure controls and procedures and internal control over financial reporting could also cause investors to lose confidence in our reported financial and other information, which would likely have a negative effect on the trading price of our ordinary shares. In addition, if we are unable to continue to meet these requirements, we may not be able to remain listed on Nasdaq.</w:t>
      </w:r>
    </w:p>
    <w:p>
      <w:pPr>
        <w:spacing w:after="0" w:line="191" w:lineRule="exact"/>
        <w:rPr>
          <w:sz w:val="20"/>
          <w:szCs w:val="20"/>
          <w:color w:val="auto"/>
        </w:rPr>
      </w:pPr>
    </w:p>
    <w:p>
      <w:pPr>
        <w:jc w:val="both"/>
        <w:ind w:firstLine="450"/>
        <w:spacing w:after="0" w:line="263" w:lineRule="auto"/>
        <w:rPr>
          <w:sz w:val="20"/>
          <w:szCs w:val="20"/>
          <w:color w:val="auto"/>
        </w:rPr>
      </w:pPr>
      <w:r>
        <w:rPr>
          <w:rFonts w:ascii="Times New Roman" w:cs="Times New Roman" w:eastAsia="Times New Roman" w:hAnsi="Times New Roman"/>
          <w:sz w:val="18"/>
          <w:szCs w:val="18"/>
          <w:color w:val="auto"/>
        </w:rPr>
        <w:t>We are required to furnish a report by management on, among other things, the effectiveness of our internal control over financial reporting pursuant to Section 404(a). This assessment needs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our management’s attention from other matters that are important to our business. Additionally, when we are no longer an “emerging growth company,” our independent registered public accounting firm will be required to formally attest to the effectiveness of our internal control over financial reporting pursuant to Section 404(b). At such time, our independent registered public accounting firm may issue a report that is adverse in the event it is not satisfied with the level at which our internal control over financial reporting is documented, designed or operating. To comply with Section 404, we continuously document and evaluate our internal control over financial reporting, which is both costly and challenging. In this regard, we need to continue to dedicate internal resources, potentially engage outside consultants, and continue undertaking steps to improve control processes as appropriate. Despite our efforts, there is a risk that we will not be able to conclude that our internal control over financial reporting is effective as required by Section 404. If we identify one or more material weaknesses, it could result in an adverse reaction in the financial markets due to a loss of confidence in the reliability of our financial statements. As a result, the market price of our ordinary shares could be negatively affected, and we could become subject to investigations by the SEC or other regulatory authorities, which could require additional financial and management resources.</w:t>
      </w:r>
    </w:p>
    <w:p>
      <w:pPr>
        <w:spacing w:after="0" w:line="200" w:lineRule="exact"/>
        <w:rPr>
          <w:sz w:val="20"/>
          <w:szCs w:val="20"/>
          <w:color w:val="auto"/>
        </w:rPr>
      </w:pPr>
    </w:p>
    <w:p>
      <w:pPr>
        <w:jc w:val="both"/>
        <w:ind w:right="20" w:firstLine="441"/>
        <w:spacing w:after="0" w:line="297" w:lineRule="auto"/>
        <w:rPr>
          <w:sz w:val="20"/>
          <w:szCs w:val="20"/>
          <w:color w:val="auto"/>
        </w:rPr>
      </w:pPr>
      <w:r>
        <w:rPr>
          <w:rFonts w:ascii="Times New Roman" w:cs="Times New Roman" w:eastAsia="Times New Roman" w:hAnsi="Times New Roman"/>
          <w:sz w:val="18"/>
          <w:szCs w:val="18"/>
          <w:color w:val="auto"/>
        </w:rPr>
        <w:t>Any failure to maintain effective disclosure controls and internal control over financial reporting could adversely affect our business, financial condition, and results of operations and could cause a decline in the price of our ordinary shares.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6" w:name="page57"/>
    <w:bookmarkEnd w:id="5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Articles of Association designate the federal district courts of the United States as the sole and exclusive forum for certain types of actions and proceedings that may be initiated by our shareholders.</w:t>
      </w:r>
    </w:p>
    <w:p>
      <w:pPr>
        <w:spacing w:after="0" w:line="186" w:lineRule="exact"/>
        <w:rPr>
          <w:sz w:val="20"/>
          <w:szCs w:val="20"/>
          <w:color w:val="auto"/>
        </w:rPr>
      </w:pPr>
    </w:p>
    <w:p>
      <w:pPr>
        <w:jc w:val="both"/>
        <w:ind w:firstLine="441"/>
        <w:spacing w:after="0" w:line="263" w:lineRule="auto"/>
        <w:rPr>
          <w:sz w:val="20"/>
          <w:szCs w:val="20"/>
          <w:color w:val="auto"/>
        </w:rPr>
      </w:pPr>
      <w:r>
        <w:rPr>
          <w:rFonts w:ascii="Times New Roman" w:cs="Times New Roman" w:eastAsia="Times New Roman" w:hAnsi="Times New Roman"/>
          <w:sz w:val="18"/>
          <w:szCs w:val="18"/>
          <w:color w:val="auto"/>
        </w:rPr>
        <w:t>Our Articles of Association provide that, unless we consent in writing to the selection of an alternative forum, the U.S. federal district courts shall be the sole and exclusive forum for any claim asserting a cause of action arising under the Securities Act. Section 22 of the Securities Act creates concurrent jurisdiction for federal and state courts over all such Securities Act actions. Accordingly, both state and federal courts have jurisdiction to entertain such claims. We note that investors cannot waive compliance with U.S. federal securities laws and the rules and regulations thereunder. This choice of forum provision may limit a shareholder’s ability to bring a claim in a judicial forum that it finds favorable for disputes with us or our directors, officers or other employees and may increase the costs associated with such lawsuits, which may discourage such lawsuits against us and our directors, officers and employees. Alternatively, if a court were to find these provisions of our amended and restates Articles of Association inapplicable to, or unenforceable in respect of, one or more of the specified types of actions or proceedings, we may incur additional costs associated with resolving such matters in other jurisdictions, which could adversely affect our business and financial condition. Any person or entity purchasing or otherwise acquiring any interest in our share capital shall be deemed to have notice of and to have consented to the choice of forum provisions of our Articles of Association described above. This provision would not apply to suits brought to enforce a duty or liability created by the Exchange Act or any other claim for which the U.S. federal courts have exclusive jurisdiction.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Incorporation and Location in Israel</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Conditions in Israel could materially and adversely affect our business.</w:t>
      </w:r>
    </w:p>
    <w:p>
      <w:pPr>
        <w:spacing w:after="0" w:line="256" w:lineRule="exact"/>
        <w:rPr>
          <w:sz w:val="20"/>
          <w:szCs w:val="20"/>
          <w:color w:val="auto"/>
        </w:rPr>
      </w:pPr>
    </w:p>
    <w:p>
      <w:pPr>
        <w:jc w:val="both"/>
        <w:ind w:firstLine="441"/>
        <w:spacing w:after="0" w:line="263" w:lineRule="auto"/>
        <w:rPr>
          <w:sz w:val="20"/>
          <w:szCs w:val="20"/>
          <w:color w:val="auto"/>
        </w:rPr>
      </w:pPr>
      <w:r>
        <w:rPr>
          <w:rFonts w:ascii="Times New Roman" w:cs="Times New Roman" w:eastAsia="Times New Roman" w:hAnsi="Times New Roman"/>
          <w:sz w:val="18"/>
          <w:szCs w:val="18"/>
          <w:color w:val="auto"/>
        </w:rPr>
        <w:t>Many of our employees, including certain members of our executive leadership team, operate from our offices that are located in Tel Aviv, Israel. In addition, a number of our officers and directors are residents of Israel. Accordingly, political, economic, and military conditions in Israel and the surrounding region may directly affect our business and operations. In recent years, Israel has been engaged in sporadic armed conflicts with Hamas, an Islamist terrorist group that controls the Gaza Strip, with Hezbollah, an Islamist terrorist group that controls large portions of southern Lebanon, and with Iranian-backed military forces in Syria. In addition, Iran has threatened to attack Israel. Some of these hostilities were accompanied by missiles being fired from the Gaza Strip against civilian targets in various parts of Israel, including areas in which some employees and consultants are located, and negatively affected business conditions in Israel. Any hostilities involving Israel or the interruption or curtailment of trade between Israel and its trading partners could adversely affect our operations and results of operations.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57" w:name="page58"/>
    <w:bookmarkEnd w:id="57"/>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Our commercial insurance does not cover losses that may occur as a result of events associated with war and terrorism. Although the Israeli government currently covers the reinstatement value of direct damages that are caused by terrorist attacks or acts of war, we cannot assure you that this government coverage will be maintained or that it will sufficiently cover our potential damages. Any losses or damages incurred by us could have a material adverse effect on our business. Any armed conflicts or political instability in the region would likely negatively affect business conditions and could harm our results of operations.</w:t>
      </w:r>
    </w:p>
    <w:p>
      <w:pPr>
        <w:spacing w:after="0" w:line="203"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Further the State of Israel and Israeli companies have been from time to time subjected to economic boycotts. Several countries still restrict business with the State of Israel and with Israeli companies. These restrictive laws and policies may have an adverse impact on our operating results, financial condition or the expansion of our business. A campaign of boycotts, divestment and sanctions has been undertaken against Israel, which could also adversely impact our business.</w:t>
      </w:r>
    </w:p>
    <w:p>
      <w:pPr>
        <w:spacing w:after="0" w:line="186" w:lineRule="exact"/>
        <w:rPr>
          <w:sz w:val="20"/>
          <w:szCs w:val="20"/>
          <w:color w:val="auto"/>
        </w:rPr>
      </w:pPr>
    </w:p>
    <w:p>
      <w:pPr>
        <w:jc w:val="both"/>
        <w:ind w:firstLine="441"/>
        <w:spacing w:after="0" w:line="270" w:lineRule="auto"/>
        <w:rPr>
          <w:sz w:val="20"/>
          <w:szCs w:val="20"/>
          <w:color w:val="auto"/>
        </w:rPr>
      </w:pPr>
      <w:r>
        <w:rPr>
          <w:rFonts w:ascii="Times New Roman" w:cs="Times New Roman" w:eastAsia="Times New Roman" w:hAnsi="Times New Roman"/>
          <w:sz w:val="18"/>
          <w:szCs w:val="18"/>
          <w:color w:val="auto"/>
        </w:rPr>
        <w:t>In addition, many Israeli citizens are obligated to perform several days, and in some cases more, of annual military reserve duty each year until they reach the age of 40 (or older, for reservists who are military officers or who have certain occupations) and, in the event of a military conflict, may be called to active duty. In response to increases in terrorist activity, there have been periods of significant call-ups of military reservists. It is possible that there will be military reserve duty call-ups in the future. Our operations could be disrupted by such call-ups. Such disruption could materially adversely affect our business, prospects, financial condition and results of operations.</w:t>
      </w:r>
    </w:p>
    <w:p>
      <w:pPr>
        <w:spacing w:after="0" w:line="186"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Furthermore, the Israeli government is currently pursuing extensive changes to Israel’s judicial system. In response to the foregoing developments, many individuals, organizations and institutions, both within and outside of Israel, have voiced concerns that the proposed changes may negatively impact the business environment in Israel including due to reluctance of foreign investors to invest or transact business in Israel as well as to increased currency fluctuations, downgrades in credit rating, increased interest rates, increased volatility in security markets, and other changes in macroeconomic conditions. To the extent that any of these negative developments do occur, they may have an adverse effect on our business, our results of operations and our ability to raise additional funds, if deemed necessary by our management and board of directors.</w:t>
      </w:r>
    </w:p>
    <w:p>
      <w:pPr>
        <w:spacing w:after="0" w:line="186"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It may be difficult to enforce a U.S. judgment against us, and our officers and directors named in this Annual Report, in Israel or the United States, or to assert U.S. securities laws claims in Israel or serve process on our officers and directors.</w:t>
      </w:r>
    </w:p>
    <w:p>
      <w:pPr>
        <w:spacing w:after="0" w:line="158" w:lineRule="exact"/>
        <w:rPr>
          <w:sz w:val="20"/>
          <w:szCs w:val="20"/>
          <w:color w:val="auto"/>
        </w:rPr>
      </w:pPr>
    </w:p>
    <w:p>
      <w:pPr>
        <w:jc w:val="both"/>
        <w:ind w:firstLine="441"/>
        <w:spacing w:after="0" w:line="264" w:lineRule="auto"/>
        <w:rPr>
          <w:sz w:val="20"/>
          <w:szCs w:val="20"/>
          <w:color w:val="auto"/>
        </w:rPr>
      </w:pPr>
      <w:r>
        <w:rPr>
          <w:rFonts w:ascii="Times New Roman" w:cs="Times New Roman" w:eastAsia="Times New Roman" w:hAnsi="Times New Roman"/>
          <w:sz w:val="18"/>
          <w:szCs w:val="18"/>
          <w:color w:val="auto"/>
        </w:rPr>
        <w:t>Not all of our directors or officers are residents of the United States and most of their and our assets are located outside the United States. Service of process upon us or our non-U.S. resident directors and officers and enforcement of judgments obtained in the United States against us or our non-U.S. our directors and executive officers may be difficult to obtain within the United States. We have been informed by our legal counsel in Israel that it may be difficult to assert claims under U.S. securities laws in original actions instituted in Israel or obtain a judgment based on the civil liability provisions of U.S. federal securities laws. Israeli courts may refuse to hear a claim based on a violation of U.S. securities laws against us or our non-U.S. officers and directors because Israel may not be the most appropriate forum to bring such a claim. In addition, even if an Israeli court agrees to hear a claim, it may determine that Israeli law and not U.S. law is applicable to the claim. If U.S. law is found to be applicable, the content of applicable U.S. law must be proved as a fact, which can be a time-consuming and costly process. Certain matters of procedure will also be governed by Israeli law. There is little binding case law in Israel addressing the matters described above. Under certain circumstances, Israeli courts might not enforce judgments rendered outside Israel, which may make it difficult to collect on judgments rendered against us or our non-U.S. officers and directors.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8" w:name="page59"/>
    <w:bookmarkEnd w:id="5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Your rights and responsibilities as our shareholder will be governed by Israeli law, which differ in some respects from the rights and responsibilities of shareholders of U.S. corporations.</w:t>
      </w:r>
    </w:p>
    <w:p>
      <w:pPr>
        <w:spacing w:after="0" w:line="186" w:lineRule="exact"/>
        <w:rPr>
          <w:sz w:val="20"/>
          <w:szCs w:val="20"/>
          <w:color w:val="auto"/>
        </w:rPr>
      </w:pPr>
    </w:p>
    <w:p>
      <w:pPr>
        <w:jc w:val="both"/>
        <w:ind w:firstLine="441"/>
        <w:spacing w:after="0" w:line="264" w:lineRule="auto"/>
        <w:rPr>
          <w:sz w:val="20"/>
          <w:szCs w:val="20"/>
          <w:color w:val="auto"/>
        </w:rPr>
      </w:pPr>
      <w:r>
        <w:rPr>
          <w:rFonts w:ascii="Times New Roman" w:cs="Times New Roman" w:eastAsia="Times New Roman" w:hAnsi="Times New Roman"/>
          <w:sz w:val="18"/>
          <w:szCs w:val="18"/>
          <w:color w:val="auto"/>
        </w:rPr>
        <w:t>We are incorporated under Israeli law. The rights and responsibilities of holders of our ordinary shares are governed by our Articles of Association and the Companies Law. These rights and responsibilities differ in some respects from the rights and responsibilities of shareholders in typical U.S. corporations. In particular, pursuant to the Companies Law, each shareholder of an Israeli company has to act in good faith and in a customary manner in exercising his or her rights and fulfilling his or her obligations toward the Company and other shareholders and to refrain from abusing his or her power in the Company, including, among other things, in voting at the general meeting of shareholders on amendments to a company’s articles of association, and with regard to increases in a company’s authorized share capital, mergers and certain transactions requiring shareholders’ approval under the Companies Law. In addition, a controlling shareholder of an Israeli company or a shareholder who knows that it possesses the power to determine the outcome of a shareholder vote or who has the power to appoint or prevent the appointment of a director or officer in the company or has other powers toward the Company has a duty of fairness toward the Company. However, Israeli law does not define the substance of this duty of fairness. There is little case law available to assist in understanding the implications of these provisions that govern shareholder behavior.</w:t>
      </w:r>
    </w:p>
    <w:p>
      <w:pPr>
        <w:spacing w:after="0" w:line="19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b w:val="1"/>
          <w:bCs w:val="1"/>
          <w:i w:val="1"/>
          <w:iCs w:val="1"/>
          <w:color w:val="auto"/>
        </w:rPr>
        <w:t>We (or companies we have acquired) have received Israeli government grants for certain research and development activities. The terms of these grants may require us to satisfy specified conditions in order to develop and transfer technologies supported by such grants outside of Israel. In addition, in some circumstances, we may be required to pay penalties in addition to repaying the grants.</w:t>
      </w:r>
    </w:p>
    <w:p>
      <w:pPr>
        <w:spacing w:after="0" w:line="181" w:lineRule="exact"/>
        <w:rPr>
          <w:sz w:val="20"/>
          <w:szCs w:val="20"/>
          <w:color w:val="auto"/>
        </w:rPr>
      </w:pPr>
    </w:p>
    <w:p>
      <w:pPr>
        <w:jc w:val="both"/>
        <w:ind w:firstLine="441"/>
        <w:spacing w:after="0" w:line="281" w:lineRule="auto"/>
        <w:rPr>
          <w:sz w:val="20"/>
          <w:szCs w:val="20"/>
          <w:color w:val="auto"/>
        </w:rPr>
      </w:pPr>
      <w:r>
        <w:rPr>
          <w:rFonts w:ascii="Times New Roman" w:cs="Times New Roman" w:eastAsia="Times New Roman" w:hAnsi="Times New Roman"/>
          <w:sz w:val="18"/>
          <w:szCs w:val="18"/>
          <w:color w:val="auto"/>
        </w:rPr>
        <w:t>A company we acquired in 2017 was previously financed, in part, through grants from the IIA. As part of the acquisition transaction, we assumed all rights, restrictions and obligation towards the IIA in respect of such grants. From its inception through 2017, that company conducted projects with the IIA’s support and received grants totaling $0.3 million from the IIA, which have been fully repaid.</w:t>
      </w:r>
    </w:p>
    <w:p>
      <w:pPr>
        <w:spacing w:after="0" w:line="177"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Innovation Law requires, inter alia, that the products developed as part of the programs under which the grants were given be manufactured in Israel and restricts the ability to transfer know-how funded by IIA outside of Israel. Transfer of IIA-funded know-how outside of Israel requires prior approval and is subject to payment of a redemption fee to the IIA calculated according to a formula provided under the Innovation Law. A transfer for the purpose of the Innovation Law is generally interpreted very broadly and includes, inter alia, any actual sale of the IIA-funded know-how, any license to develop the IIA-funded know-how or the products resulting from such IIA-funded know-how or any other transaction, which, in essence, constitutes a transfer of IIA-funded know-how. We cannot be certain that any approval of the IIA will be obtained on terms that are acceptable to us, or at all. We may not receive the required approvals should we wish to transfer IIA-funded know-how and/or development outside of Israel in the future.</w:t>
      </w:r>
    </w:p>
    <w:p>
      <w:pPr>
        <w:spacing w:after="0" w:line="190" w:lineRule="exact"/>
        <w:rPr>
          <w:sz w:val="20"/>
          <w:szCs w:val="20"/>
          <w:color w:val="auto"/>
        </w:rPr>
      </w:pPr>
    </w:p>
    <w:p>
      <w:pPr>
        <w:jc w:val="both"/>
        <w:ind w:right="20" w:firstLine="441"/>
        <w:spacing w:after="0" w:line="271" w:lineRule="auto"/>
        <w:rPr>
          <w:sz w:val="20"/>
          <w:szCs w:val="20"/>
          <w:color w:val="auto"/>
        </w:rPr>
      </w:pPr>
      <w:r>
        <w:rPr>
          <w:rFonts w:ascii="Times New Roman" w:cs="Times New Roman" w:eastAsia="Times New Roman" w:hAnsi="Times New Roman"/>
          <w:sz w:val="18"/>
          <w:szCs w:val="18"/>
          <w:color w:val="auto"/>
        </w:rPr>
        <w:t>Subject to prior approval of the IIA, we may transfer the IIA-funded know-how to another Israeli company. If the IIA-funded know-how is transferred to another Israeli entity, the transfer would still require IIA approval but will not be subject to the payment of the redemption fee. In such case, the acquiring company would have to assume all of the applicable restrictions and obligations towards the IIA (including the restrictions on the transfer of know-how and manufacturing capacity, to the extent applicable, outside of Israel) as a condition to IIA approval.</w:t>
      </w:r>
    </w:p>
    <w:p>
      <w:pPr>
        <w:spacing w:after="0" w:line="1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claims for remuneration or royalties for assigned service invention rights by our employees, which could result in litigation and adversely affect our business.</w:t>
      </w:r>
    </w:p>
    <w:p>
      <w:pPr>
        <w:spacing w:after="0" w:line="186" w:lineRule="exact"/>
        <w:rPr>
          <w:sz w:val="20"/>
          <w:szCs w:val="20"/>
          <w:color w:val="auto"/>
        </w:rPr>
      </w:pPr>
    </w:p>
    <w:p>
      <w:pPr>
        <w:jc w:val="both"/>
        <w:ind w:firstLine="441"/>
        <w:spacing w:after="0" w:line="263" w:lineRule="auto"/>
        <w:rPr>
          <w:sz w:val="20"/>
          <w:szCs w:val="20"/>
          <w:color w:val="auto"/>
        </w:rPr>
      </w:pPr>
      <w:r>
        <w:rPr>
          <w:rFonts w:ascii="Times New Roman" w:cs="Times New Roman" w:eastAsia="Times New Roman" w:hAnsi="Times New Roman"/>
          <w:sz w:val="18"/>
          <w:szCs w:val="18"/>
          <w:color w:val="auto"/>
        </w:rPr>
        <w:t>A significant portion of our intellectual property has been developed by our employees in the course of their employment for us. Under the Israeli Patent Law, 5727-1967 (the “Patent Law”), inventions conceived by an employee in the course and as a result of or arising from his or her employment with a company are regarded as “service inventions,” which belong to the employer, absent a specific agreement between the employee and employer giving the employee service invention rights. The Patent Law also provides that if there is no such agreement between an employer and an employee, the Israeli Compensation and Royalties Committee (the “Committee”), a body constituted under the Patent Law, shall determine whether the employee is entitled to remuneration for his or her inventions. Case law clarifies that the right to receive consideration for “service inventions” can be waived by the employee. The Committee will examine, on a case-by-case basis, the general contractual framework between the parties, using interpretation rules of the general Israeli contract laws. Further, the Committee has not yet determined one specific formula for calculating this remuneration, but rather uses the criteria specified in the Patent Law. Although we generally enter into assignment-of-invention agreements with our employees pursuant to which such individuals waive their right to remuneration for service inventions, we may face claims demanding remuneration in consideration for assigned inventions. As a consequence of such claims, we could be required to pay additional remuneration or royalties to our current and/or former employees, or be forced to litigate such claims, which could negatively affect our business.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59" w:name="page60"/>
    <w:bookmarkEnd w:id="59"/>
    <w:p>
      <w:pPr>
        <w:jc w:val="both"/>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Our Articles of Association provide that unless we consent otherwise, the competent courts of Tel Aviv, Israel shall be the sole and exclusive forum for substantially all disputes between us and our shareholders under the Companies Law and the Israeli Securities Law, which could limit our shareholders’ ability to bring claims and proceedings against, as well as obtain a favorable judicial forum for disputes with, us and our directors, officers and other employees.</w:t>
      </w:r>
    </w:p>
    <w:p>
      <w:pPr>
        <w:spacing w:after="0" w:line="183" w:lineRule="exact"/>
        <w:rPr>
          <w:sz w:val="20"/>
          <w:szCs w:val="20"/>
          <w:color w:val="auto"/>
        </w:rPr>
      </w:pPr>
    </w:p>
    <w:p>
      <w:pPr>
        <w:jc w:val="both"/>
        <w:ind w:firstLine="441"/>
        <w:spacing w:after="0" w:line="264" w:lineRule="auto"/>
        <w:rPr>
          <w:sz w:val="20"/>
          <w:szCs w:val="20"/>
          <w:color w:val="auto"/>
        </w:rPr>
      </w:pPr>
      <w:r>
        <w:rPr>
          <w:rFonts w:ascii="Times New Roman" w:cs="Times New Roman" w:eastAsia="Times New Roman" w:hAnsi="Times New Roman"/>
          <w:sz w:val="18"/>
          <w:szCs w:val="18"/>
          <w:color w:val="auto"/>
        </w:rPr>
        <w:t>Unless we consent in writing to the selection of an alternative forum, the competent courts of Tel Aviv, Israel shall be the exclusive forum for (i) any derivative action or proceeding brought on our behalf, (ii) any action asserting a claim of breach of fiduciary duty owed by any of our directors, officers or other employees to us or our shareholders, or (iii) any action asserting a claim arising pursuant to any provision of the Companies Law or the Israeli Securities Law. This exclusive forum provision is intended to apply to claims arising under Israeli Law and would not apply to claims brought pursuant to the Securities Act or the Exchange Act or any other claim for which U.S. federal courts would have exclusive jurisdiction. Such exclusive forum provision in our Articles of Association will not relieve us of our duties to comply with U.S. federal securities laws and the rules and regulations thereunder, and shareholders will not be deemed to have waived our compliance with these laws, rules and regulations. This exclusive forum provision may limit a shareholder’s ability to bring a claim in a judicial forum of its choosing for disputes with us or our directors, officers or other employees, which may discourage lawsuits against us and our directors, officers and other employees.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3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consummate acquisitions at acceptable prices, and to enter into other strategic transactions and relationships that support our long-term strategy, our growth rate and our business, financial condition and results of operations could be negatively affected. These transactions and relationships also subject us to certain risks.</w:t>
      </w:r>
    </w:p>
    <w:p>
      <w:pPr>
        <w:spacing w:after="0" w:line="181" w:lineRule="exact"/>
        <w:rPr>
          <w:sz w:val="20"/>
          <w:szCs w:val="20"/>
          <w:color w:val="auto"/>
        </w:rPr>
      </w:pPr>
    </w:p>
    <w:p>
      <w:pPr>
        <w:jc w:val="both"/>
        <w:ind w:firstLine="441"/>
        <w:spacing w:after="0" w:line="264" w:lineRule="auto"/>
        <w:rPr>
          <w:sz w:val="20"/>
          <w:szCs w:val="20"/>
          <w:color w:val="auto"/>
        </w:rPr>
      </w:pPr>
      <w:r>
        <w:rPr>
          <w:rFonts w:ascii="Times New Roman" w:cs="Times New Roman" w:eastAsia="Times New Roman" w:hAnsi="Times New Roman"/>
          <w:sz w:val="18"/>
          <w:szCs w:val="18"/>
          <w:color w:val="auto"/>
        </w:rPr>
        <w:t>As part of our business strategy, we may acquire or make investments in complementary companies, products or technologies, and enter into other strategic transactions and relationships in the ordinary course. Our ability to grow our revenues, earnings and cash flow at or above our historic rates depends in part upon our ability to identify and successfully acquire and integrate businesses at acceptable prices, realize anticipated synergies and make appropriate investments that support our long-term strategy. We may not be able to consummate acquisitions at rates similar to the past, which could adversely impact our growth rate and our business, financial condition and results of operations. Promising acquisitions, investments and other strategic transactions are difficult to identify and complete for a number of reasons, including high valuations, competition among prospective buyers, the availability of affordable funding in the capital markets and the need to satisfy applicable closing conditions and obtain applicable antitrust and other regulatory approvals on acceptable terms. In addition, competition for acquisitions, investments and other strategic transactions may result in higher purchase prices or other terms less economically favorable to us. Changes in accounting or regulatory requirements or instability in the credit markets could also adversely impact our ability to consummate these transactions on acceptable terms or at all.</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60" w:name="page61"/>
    <w:bookmarkEnd w:id="60"/>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In addition, even if we are able to consummate acquisitions and enter into other strategic transactions and relationships, these transactions and relationships involve a number of financial, accounting, managerial, operational, legal, compliance and other risks and challenges, including the following, any of which could negatively affect our growth rate and the trading price of our ordinary shares, and may have a material adverse effect on our business, financial condition and results of operations:</w:t>
      </w:r>
    </w:p>
    <w:p>
      <w:pPr>
        <w:spacing w:after="0" w:line="186" w:lineRule="exact"/>
        <w:rPr>
          <w:sz w:val="20"/>
          <w:szCs w:val="20"/>
          <w:color w:val="auto"/>
        </w:rPr>
      </w:pPr>
    </w:p>
    <w:p>
      <w:pPr>
        <w:jc w:val="both"/>
        <w:ind w:left="340" w:hanging="332"/>
        <w:spacing w:after="0" w:line="274"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business, technology, product or solution that we acquire or invest in could under-perform relative to our expectations and the price that we paid or not perform in accordance with our anticipated timetable, or we could fail to operate any such business or deploy any such technology, product or solution profitably.</w:t>
      </w:r>
    </w:p>
    <w:p>
      <w:pPr>
        <w:spacing w:after="0" w:line="195" w:lineRule="exact"/>
        <w:rPr>
          <w:rFonts w:ascii="Times New Roman" w:cs="Times New Roman" w:eastAsia="Times New Roman" w:hAnsi="Times New Roman"/>
          <w:sz w:val="18"/>
          <w:szCs w:val="18"/>
          <w:color w:val="auto"/>
        </w:rPr>
      </w:pPr>
    </w:p>
    <w:p>
      <w:pPr>
        <w:ind w:left="340" w:hanging="332"/>
        <w:spacing w:after="0" w:line="297"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or assume significant debt in connection with our acquisitions and other strategic transactions and relationships, which could also cause a deterioration of our credit ratings, result in increased borrowing costs and interest expense and diminish our future access to the capital markets.</w:t>
      </w:r>
    </w:p>
    <w:p>
      <w:pPr>
        <w:spacing w:after="0" w:line="162" w:lineRule="exact"/>
        <w:rPr>
          <w:rFonts w:ascii="Times New Roman" w:cs="Times New Roman" w:eastAsia="Times New Roman" w:hAnsi="Times New Roman"/>
          <w:sz w:val="18"/>
          <w:szCs w:val="18"/>
          <w:color w:val="auto"/>
        </w:rPr>
      </w:pPr>
    </w:p>
    <w:p>
      <w:pPr>
        <w:ind w:left="340" w:right="20" w:hanging="332"/>
        <w:spacing w:after="0" w:line="297"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and other strategic transactions and relationships could cause our financial results to differ from our own or the investment community’s expectations in any given period, or over the long-term.</w:t>
      </w:r>
    </w:p>
    <w:p>
      <w:pPr>
        <w:spacing w:after="0" w:line="162" w:lineRule="exact"/>
        <w:rPr>
          <w:rFonts w:ascii="Times New Roman" w:cs="Times New Roman" w:eastAsia="Times New Roman" w:hAnsi="Times New Roman"/>
          <w:sz w:val="18"/>
          <w:szCs w:val="18"/>
          <w:color w:val="auto"/>
        </w:rPr>
      </w:pPr>
    </w:p>
    <w:p>
      <w:pPr>
        <w:ind w:left="340" w:hanging="332"/>
        <w:spacing w:after="0" w:line="297"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Pre-closing and post-closing earnings charges could adversely impact operating results in any given period, and the impact may be substantially different from period to period.</w:t>
      </w:r>
    </w:p>
    <w:p>
      <w:pPr>
        <w:spacing w:after="0" w:line="162" w:lineRule="exact"/>
        <w:rPr>
          <w:rFonts w:ascii="Times New Roman" w:cs="Times New Roman" w:eastAsia="Times New Roman" w:hAnsi="Times New Roman"/>
          <w:sz w:val="18"/>
          <w:szCs w:val="18"/>
          <w:color w:val="auto"/>
        </w:rPr>
      </w:pPr>
    </w:p>
    <w:p>
      <w:pPr>
        <w:ind w:left="340" w:hanging="332"/>
        <w:spacing w:after="0" w:line="297"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and other strategic transactions and relationships could create demands on our management, operational resources and financial and internal control systems that we are unable to effectively address.</w:t>
      </w:r>
    </w:p>
    <w:p>
      <w:pPr>
        <w:spacing w:after="0" w:line="162" w:lineRule="exact"/>
        <w:rPr>
          <w:rFonts w:ascii="Times New Roman" w:cs="Times New Roman" w:eastAsia="Times New Roman" w:hAnsi="Times New Roman"/>
          <w:sz w:val="18"/>
          <w:szCs w:val="18"/>
          <w:color w:val="auto"/>
        </w:rPr>
      </w:pPr>
    </w:p>
    <w:p>
      <w:pPr>
        <w:ind w:left="340" w:right="20" w:hanging="332"/>
        <w:spacing w:after="0" w:line="297"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experience difficulty in integrating personnel, operations and financial and other controls and systems and retaining key employees and customers.</w:t>
      </w:r>
    </w:p>
    <w:p>
      <w:pPr>
        <w:spacing w:after="0" w:line="16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achieve cost savings or other synergies anticipated in connection with an acquisition or other strategic transaction or relationship.</w:t>
      </w:r>
    </w:p>
    <w:p>
      <w:pPr>
        <w:spacing w:after="0" w:line="238" w:lineRule="exact"/>
        <w:rPr>
          <w:rFonts w:ascii="Times New Roman" w:cs="Times New Roman" w:eastAsia="Times New Roman" w:hAnsi="Times New Roman"/>
          <w:sz w:val="18"/>
          <w:szCs w:val="18"/>
          <w:color w:val="auto"/>
        </w:rPr>
      </w:pPr>
    </w:p>
    <w:p>
      <w:pPr>
        <w:jc w:val="both"/>
        <w:ind w:left="340" w:hanging="332"/>
        <w:spacing w:after="0" w:line="271"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assume unknown liabilities, known contingent liabilities that become realized, known liabilities that prove greater than anticipated, internal control deficiencies or exposure to regulatory sanctions resulting from the acquired company’s or investee’s activities and the realization of any of these liabilities or deficiencies may increase our expenses, adversely affect our financial position and/or cause us to fail to meet our public financial reporting obligations.</w:t>
      </w:r>
    </w:p>
    <w:p>
      <w:pPr>
        <w:spacing w:after="0" w:line="185" w:lineRule="exact"/>
        <w:rPr>
          <w:rFonts w:ascii="Times New Roman" w:cs="Times New Roman" w:eastAsia="Times New Roman" w:hAnsi="Times New Roman"/>
          <w:sz w:val="18"/>
          <w:szCs w:val="18"/>
          <w:color w:val="auto"/>
        </w:rPr>
      </w:pPr>
    </w:p>
    <w:p>
      <w:pPr>
        <w:ind w:left="340" w:hanging="332"/>
        <w:spacing w:after="0" w:line="297"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acquisitions and other strategic transactions and relationships, we often enter into post-closing financial arrangements such as purchase price adjustments, earn-out obligations and indemnification obligations, which may have unpredictable financial results.</w:t>
      </w:r>
    </w:p>
    <w:p>
      <w:pPr>
        <w:spacing w:after="0" w:line="162" w:lineRule="exact"/>
        <w:rPr>
          <w:rFonts w:ascii="Times New Roman" w:cs="Times New Roman" w:eastAsia="Times New Roman" w:hAnsi="Times New Roman"/>
          <w:sz w:val="18"/>
          <w:szCs w:val="18"/>
          <w:color w:val="auto"/>
        </w:rPr>
      </w:pPr>
    </w:p>
    <w:p>
      <w:pPr>
        <w:ind w:left="340" w:hanging="332"/>
        <w:spacing w:after="0" w:line="297"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our acquisitions, we have recorded significant goodwill and other assets on our balance sheet and if we are not able to realize the value of these assets, or if the fair value of our investments declines, we may be required to incur impairment charges.</w:t>
      </w:r>
    </w:p>
    <w:p>
      <w:pPr>
        <w:spacing w:after="0" w:line="162" w:lineRule="exact"/>
        <w:rPr>
          <w:rFonts w:ascii="Times New Roman" w:cs="Times New Roman" w:eastAsia="Times New Roman" w:hAnsi="Times New Roman"/>
          <w:sz w:val="18"/>
          <w:szCs w:val="18"/>
          <w:color w:val="auto"/>
        </w:rPr>
      </w:pPr>
    </w:p>
    <w:p>
      <w:pPr>
        <w:ind w:left="340" w:hanging="332"/>
        <w:spacing w:after="0" w:line="297"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interests that diverge from those of our strategic partners and we may not be able to direct the management and operations of the strategic relationship in the manner we believe is most appropriate, exposing us to additional risk.</w:t>
      </w:r>
    </w:p>
    <w:p>
      <w:pPr>
        <w:spacing w:after="0" w:line="163" w:lineRule="exact"/>
        <w:rPr>
          <w:sz w:val="20"/>
          <w:szCs w:val="20"/>
          <w:color w:val="auto"/>
        </w:rPr>
      </w:pPr>
    </w:p>
    <w:p>
      <w:pPr>
        <w:jc w:val="both"/>
        <w:ind w:firstLine="441"/>
        <w:spacing w:after="0" w:line="274" w:lineRule="auto"/>
        <w:rPr>
          <w:sz w:val="20"/>
          <w:szCs w:val="20"/>
          <w:color w:val="auto"/>
        </w:rPr>
      </w:pPr>
      <w:r>
        <w:rPr>
          <w:rFonts w:ascii="Times New Roman" w:cs="Times New Roman" w:eastAsia="Times New Roman" w:hAnsi="Times New Roman"/>
          <w:sz w:val="18"/>
          <w:szCs w:val="18"/>
          <w:color w:val="auto"/>
        </w:rPr>
        <w:t>Investing in or making loans to early-stage companies often entails a high degree of risk, and we may not achieve the strategic, technological, financial or commercial benefits we anticipate; we may lose our investment or fail to recoup our loan; or our investment may be illiquid for a greater-than-expected period of time.</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1" w:name="page62"/>
    <w:bookmarkEnd w:id="6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estimates of market opportunity and forecasts of market growth included in this Annual Report may prove to be inaccurate, and even if the markets in which we compete achieve the forecasted growth, our business could fail to grow at similar rates, or at all.</w:t>
      </w:r>
    </w:p>
    <w:p>
      <w:pPr>
        <w:spacing w:after="0" w:line="186" w:lineRule="exact"/>
        <w:rPr>
          <w:sz w:val="20"/>
          <w:szCs w:val="20"/>
          <w:color w:val="auto"/>
        </w:rPr>
      </w:pPr>
    </w:p>
    <w:p>
      <w:pPr>
        <w:jc w:val="both"/>
        <w:ind w:firstLine="441"/>
        <w:spacing w:after="0" w:line="274" w:lineRule="auto"/>
        <w:rPr>
          <w:sz w:val="20"/>
          <w:szCs w:val="20"/>
          <w:color w:val="auto"/>
        </w:rPr>
      </w:pPr>
      <w:r>
        <w:rPr>
          <w:rFonts w:ascii="Times New Roman" w:cs="Times New Roman" w:eastAsia="Times New Roman" w:hAnsi="Times New Roman"/>
          <w:sz w:val="18"/>
          <w:szCs w:val="18"/>
          <w:color w:val="auto"/>
        </w:rPr>
        <w:t>The estimates of market opportunity and forecasts of market growth included in this Annual Report may prove to be inaccurate. Market opportunity estimates and growth forecasts are subject to significant uncertainty and are based on assumptions and estimates that may not prove to be accurate, including as a result of any of the risks described in this Annual Report.</w:t>
      </w:r>
    </w:p>
    <w:p>
      <w:pPr>
        <w:spacing w:after="0" w:line="182"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variables that go into the calculation of our market opportunity are subject to change over time, and there is no guarantee that any particular number or percentage of addressable users or companies covered by our market opportunity estimates will purchase our products at all or generate any particular level of revenue for us. In addition, our ability to expand in any of our target markets depends on a number of factors, including the widespread awareness among key organizational decision makers of, and the cost, performance, and perceived value associated with, our platform and products and those of our competitors. Even if the markets in which we compete meet the size estimates and growth forecasted in this Annual Report, our business could fail to grow at similar rates, or at all. Our growth is subject to many factors, including our success in implementing our business strategy, which is subject to many risks and uncertainties. Accordingly, the forecasts of market growth included in this Annual Report should not be taken as indicative of our future growth.</w:t>
      </w:r>
    </w:p>
    <w:p>
      <w:pPr>
        <w:spacing w:after="0" w:line="186"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results of operations could fall below the expectations of securities analysts and investors, resulting in a decline in the trading price of our ordinary shares.</w:t>
      </w:r>
    </w:p>
    <w:p>
      <w:pPr>
        <w:spacing w:after="0" w:line="158"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as discussed in the section titled “Operating and Financial Review and Prospects’” included elsewhere in this Annual Report, the results of which form the basis for making judgments about the carrying values of assets, liabilities, equity, revenue, and expenses that are not readily apparent from other sources. Our results of operations may be adversely affected if our assumptions change or if actual circumstances differ from those in our assumptions, which could cause our results of operations to fall below our publicly announced guidance or the expectations of securities analysts and investors, resulting in a decline in the market price of our ordinary shares.</w:t>
      </w:r>
    </w:p>
    <w:p>
      <w:pPr>
        <w:spacing w:after="0" w:line="186"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Increased attention to, and evolving expectations for, environmental, social, and governance (“ESG”) initiatives could increase our costs, harm our reputation, or otherwise adversely impact our business.</w:t>
      </w:r>
    </w:p>
    <w:p>
      <w:pPr>
        <w:spacing w:after="0" w:line="158"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18"/>
          <w:szCs w:val="18"/>
          <w:color w:val="auto"/>
        </w:rPr>
        <w:t>Companies across industries are facing increasing scrutiny from a variety of stakeholders related to their ESG and sustainability practices. Expectations regarding voluntary ESG initiatives and disclosures and consumer demand for alternative forms of energy may result in increased costs (including but not limited to increased costs related to compliance, stakeholder engagement, contracting and insurance), changes in demand for certain products, enhanced compliance or disclosure obligations, or other adverse impacts to our business, financial condition, or results of operations.</w:t>
      </w:r>
    </w:p>
    <w:p>
      <w:pPr>
        <w:spacing w:after="0" w:line="199" w:lineRule="exact"/>
        <w:rPr>
          <w:sz w:val="20"/>
          <w:szCs w:val="20"/>
          <w:color w:val="auto"/>
        </w:rPr>
      </w:pPr>
    </w:p>
    <w:p>
      <w:pPr>
        <w:jc w:val="both"/>
        <w:ind w:firstLine="600"/>
        <w:spacing w:after="0" w:line="263" w:lineRule="auto"/>
        <w:rPr>
          <w:sz w:val="20"/>
          <w:szCs w:val="20"/>
          <w:color w:val="auto"/>
        </w:rPr>
      </w:pPr>
      <w:r>
        <w:rPr>
          <w:rFonts w:ascii="Times New Roman" w:cs="Times New Roman" w:eastAsia="Times New Roman" w:hAnsi="Times New Roman"/>
          <w:sz w:val="18"/>
          <w:szCs w:val="18"/>
          <w:color w:val="auto"/>
        </w:rPr>
        <w:t>While we may at times engage in voluntary initiatives (such as voluntary disclosures, certifications, or goals, among others) or commitments to improve the ESG profile of our company and/or products, such initiatives or achievements of such commitments may be costly and may not have the desired effect. For example, expectations around a company's management of ESG matters continues to evolve rapidly, in many instances due to factors that are out of our control. In addition, we may commit to certain initiatives or goals but not ultimately achieve such commitments or goals due to factors that are both within or outside of our control. Moreover, actions or statements that we may take based on expectations, assumptions, or third-party information that we currently believe to be reasonable may subsequently be determined to be erroneous or be subject to misinterpretation. Even if this is not the case, our current actions may subsequently be determined to be insufficient by various stakeholders, and we may be subject to investor or regulator engagement on our ESG initiatives and disclosures, even if such initiatives are currently voluntary.</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62" w:name="page63"/>
    <w:bookmarkEnd w:id="62"/>
    <w:p>
      <w:pPr>
        <w:jc w:val="both"/>
        <w:ind w:firstLine="460"/>
        <w:spacing w:after="0" w:line="266" w:lineRule="auto"/>
        <w:rPr>
          <w:sz w:val="20"/>
          <w:szCs w:val="20"/>
          <w:color w:val="auto"/>
        </w:rPr>
      </w:pPr>
      <w:r>
        <w:rPr>
          <w:rFonts w:ascii="Times New Roman" w:cs="Times New Roman" w:eastAsia="Times New Roman" w:hAnsi="Times New Roman"/>
          <w:sz w:val="18"/>
          <w:szCs w:val="18"/>
          <w:color w:val="auto"/>
        </w:rPr>
        <w:t>Certain market participants, including major institutional investors and capital providers, use third-party benchmarks and scores to assess companies’ ESG profiles in making investment or voting decisions. Unfavorable ESG ratings could lead to increased negative investor sentiment towards us or our industry, which could negatively impact our share price as well as our access to and cost of capital. Increasing ESG-related regulation, such as the SEC’s climate disclosure proposal, may also result in increased compliance costs or scrutiny. To the extent ESG matters negatively impact our reputation, it may also impede our ability to compete as effectively to attract and retain employees or customers, which may adversely impact our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may not provide adequate levels of coverage against claims.</w:t>
      </w:r>
    </w:p>
    <w:p>
      <w:pPr>
        <w:spacing w:after="0" w:line="243" w:lineRule="exact"/>
        <w:rPr>
          <w:sz w:val="20"/>
          <w:szCs w:val="20"/>
          <w:color w:val="auto"/>
        </w:rPr>
      </w:pPr>
    </w:p>
    <w:p>
      <w:pPr>
        <w:jc w:val="both"/>
        <w:ind w:firstLine="441"/>
        <w:spacing w:after="0" w:line="274" w:lineRule="auto"/>
        <w:rPr>
          <w:sz w:val="20"/>
          <w:szCs w:val="20"/>
          <w:color w:val="auto"/>
        </w:rPr>
      </w:pPr>
      <w:r>
        <w:rPr>
          <w:rFonts w:ascii="Times New Roman" w:cs="Times New Roman" w:eastAsia="Times New Roman" w:hAnsi="Times New Roman"/>
          <w:sz w:val="18"/>
          <w:szCs w:val="18"/>
          <w:color w:val="auto"/>
        </w:rPr>
        <w:t>We believe that we maintain insurance customary for businesses of our size and type. However, there are types of losses we may incur that cannot be insured against or that we believe are not economically reasonable to insure. Moreover, any loss incurred could exceed policy limits and policy payments made to us may not be made on a timely basis.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Information on the Company</w:t>
      </w:r>
    </w:p>
    <w:p>
      <w:pPr>
        <w:spacing w:after="0" w:line="23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History and Development of the Company</w:t>
      </w:r>
    </w:p>
    <w:p>
      <w:pPr>
        <w:spacing w:after="0" w:line="256"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WalkMe Ltd. was founded in October 2011 under the name Make Tutorial Ltd. and changed its legal name to WalkMe Ltd. in March of 2012. Our commercial name is WalkMe. In June 2021, we listed our shares on the Nasdaq Global Select Market under the symbol “WKME.” We are a company limited by shares organized under and subject to the laws of the State of Israel. We are registered with the Israeli Registrar of Companies. Our registration number is 51-4682269. Our principal executive offices are located at 1 Walter Moses St., Tel Aviv, 6789903, Israel.</w:t>
      </w:r>
    </w:p>
    <w:p>
      <w:pPr>
        <w:spacing w:after="0" w:line="203"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Our website address is www.walkme.com, and our telephone number is +972-3-763-0333. We use our website as a means of disclosing material non-public information. Such disclosures will be included on our website in the “Investor Relations” sections. Accordingly, investors should monitor such sections of our website, in addition to following our press releases, SEC filings and public conference calls and webcasts. Information contained on, or that can be accessed through, our website does not constitute a part of this Annual Report and is not incorporated by reference herein. We have included our website address in this Annual Report solely for informational purposes. Our SEC filings are available to you on the SEC’s website at http://www.sec.gov. This site contains reports and other information regarding issuers that file electronically with the SEC. The information on that website is not part of this Annual Report and is not incorporated by reference herein.</w:t>
      </w:r>
    </w:p>
    <w:p>
      <w:pPr>
        <w:spacing w:after="0" w:line="190" w:lineRule="exact"/>
        <w:rPr>
          <w:sz w:val="20"/>
          <w:szCs w:val="20"/>
          <w:color w:val="auto"/>
        </w:rPr>
      </w:pPr>
    </w:p>
    <w:p>
      <w:pPr>
        <w:jc w:val="both"/>
        <w:ind w:firstLine="441"/>
        <w:spacing w:after="0" w:line="297" w:lineRule="auto"/>
        <w:rPr>
          <w:sz w:val="20"/>
          <w:szCs w:val="20"/>
          <w:color w:val="auto"/>
        </w:rPr>
      </w:pPr>
      <w:r>
        <w:rPr>
          <w:rFonts w:ascii="Times New Roman" w:cs="Times New Roman" w:eastAsia="Times New Roman" w:hAnsi="Times New Roman"/>
          <w:sz w:val="18"/>
          <w:szCs w:val="18"/>
          <w:color w:val="auto"/>
        </w:rPr>
        <w:t>Our agent for service of process in the United States is WalkMe, Inc., which maintains its principal offices at 71 Stevenson Street, Floor 20, San Francisco, CA 94105. Its telephone number is 855-492-5563.</w:t>
      </w:r>
    </w:p>
    <w:p>
      <w:pPr>
        <w:spacing w:after="0" w:line="163" w:lineRule="exact"/>
        <w:rPr>
          <w:sz w:val="20"/>
          <w:szCs w:val="20"/>
          <w:color w:val="auto"/>
        </w:rPr>
      </w:pPr>
    </w:p>
    <w:p>
      <w:pPr>
        <w:jc w:val="both"/>
        <w:ind w:firstLine="441"/>
        <w:spacing w:after="0" w:line="297" w:lineRule="auto"/>
        <w:rPr>
          <w:sz w:val="20"/>
          <w:szCs w:val="20"/>
          <w:color w:val="auto"/>
        </w:rPr>
      </w:pPr>
      <w:r>
        <w:rPr>
          <w:rFonts w:ascii="Times New Roman" w:cs="Times New Roman" w:eastAsia="Times New Roman" w:hAnsi="Times New Roman"/>
          <w:sz w:val="18"/>
          <w:szCs w:val="18"/>
          <w:color w:val="auto"/>
        </w:rPr>
        <w:t>For a description of our principal capital expenditures and divestitures, see Item 5. “Operating and Financial Review and Prospects-Liquidity and Capital Resources” and Note 2 to our audited consolidated financial statements included elsewhere in this Annual Report.</w:t>
      </w:r>
    </w:p>
    <w:p>
      <w:pPr>
        <w:spacing w:after="0" w:line="159" w:lineRule="exact"/>
        <w:rPr>
          <w:sz w:val="20"/>
          <w:szCs w:val="20"/>
          <w:color w:val="auto"/>
        </w:rPr>
      </w:pPr>
    </w:p>
    <w:p>
      <w:pPr>
        <w:ind w:right="9440" w:firstLine="8"/>
        <w:spacing w:after="0" w:line="526" w:lineRule="auto"/>
        <w:tabs>
          <w:tab w:leader="none" w:pos="337"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Overview Overview</w:t>
      </w:r>
    </w:p>
    <w:p>
      <w:pPr>
        <w:spacing w:after="0" w:line="1"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WalkMe is a platform which enables organizations to better realize the value of their software investments. Using our cloud-based Digital Adoption Platform, software users, whether they are employees or customers of organizations, can navigate websites, SaaS applications, or mobile apps through a digital, GPS-like experience to accomplish any task from simple, online transactions, to complex cross-application software processes, to fully autonomous experiences that require no manual clicks or entries.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3" w:name="page64"/>
    <w:bookmarkEnd w:id="63"/>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Using our unique, low/no code software implementation process, our Digital Adoption Platform overlays upon any application and enables a data first approach to understand the gaps between user interactions and behavior with technology and an organization’s business goals. With actionable insights, we then enable organizations to create and deliver elegant experiences that lead users to success, ensuring digital adoption and ultimately fulfilling the promise of digital transformation. We enable businesses to drive workflow adoption by connecting usage data with action for the end user driving a better experience and better business outcomes.</w:t>
      </w:r>
    </w:p>
    <w:p>
      <w:pPr>
        <w:spacing w:after="0" w:line="203"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With a digital adoption strategy powered by WalkMe, employees and customers of organizations can benefit from an intuitive and unified technology experiences. Chief information officers (“CIO”) and business leaders gain visibility and insights across the organization’s enterprise technology stack. This allows organizations to become more results driven, agile and innovative, to better compete in today’s ever-changing business environment, to accelerate their digital strategies and to ultimately achieve their objectives.</w:t>
      </w:r>
    </w:p>
    <w:p>
      <w:pPr>
        <w:spacing w:after="0" w:line="186" w:lineRule="exact"/>
        <w:rPr>
          <w:sz w:val="20"/>
          <w:szCs w:val="20"/>
          <w:color w:val="auto"/>
        </w:rPr>
      </w:pPr>
    </w:p>
    <w:p>
      <w:pPr>
        <w:jc w:val="both"/>
        <w:ind w:firstLine="441"/>
        <w:spacing w:after="0" w:line="264" w:lineRule="auto"/>
        <w:rPr>
          <w:sz w:val="20"/>
          <w:szCs w:val="20"/>
          <w:color w:val="auto"/>
        </w:rPr>
      </w:pPr>
      <w:r>
        <w:rPr>
          <w:rFonts w:ascii="Times New Roman" w:cs="Times New Roman" w:eastAsia="Times New Roman" w:hAnsi="Times New Roman"/>
          <w:sz w:val="18"/>
          <w:szCs w:val="18"/>
          <w:color w:val="auto"/>
        </w:rPr>
        <w:t>The digital revolution has fundamentally shifted the core competencies required of successful companies. Worldwide IT spending is projected to total $4.6 trillion in 2023, an increase of 5.1% from 2022, according to the latest forecast by Gartner, Inc. From remote-first workforces leveraging virtual collaboration for seamless communications to new digitally-enabled business models, technology is impacting every part of people’s lives. Meanwhile, as daily usage of technology has increased over time, expectations for digital interactions have evolved, resulting in the consumerization of software and increased demand for frictionless user experiences. To compete in an increasingly digital world, organizations continue to acquire new technologies, investing billions of dollars a year in software applications that promise specific business outcomes to elevate and exceed their key business metrics. These software applications, increasingly delivered over the cloud, cover every business process and department within an organization. According to Gartner, enterprise software spend is expected to increase from $506 billion in 2021 to $715 billion by 2024, as enterprises invest in software to transform their businesses.</w:t>
      </w:r>
    </w:p>
    <w:p>
      <w:pPr>
        <w:spacing w:after="0" w:line="192" w:lineRule="exact"/>
        <w:rPr>
          <w:sz w:val="20"/>
          <w:szCs w:val="20"/>
          <w:color w:val="auto"/>
        </w:rPr>
      </w:pPr>
    </w:p>
    <w:p>
      <w:pPr>
        <w:jc w:val="both"/>
        <w:ind w:firstLine="441"/>
        <w:spacing w:after="0" w:line="269" w:lineRule="auto"/>
        <w:rPr>
          <w:sz w:val="20"/>
          <w:szCs w:val="20"/>
          <w:color w:val="auto"/>
        </w:rPr>
      </w:pPr>
      <w:r>
        <w:rPr>
          <w:rFonts w:ascii="Times New Roman" w:cs="Times New Roman" w:eastAsia="Times New Roman" w:hAnsi="Times New Roman"/>
          <w:sz w:val="18"/>
          <w:szCs w:val="18"/>
          <w:color w:val="auto"/>
        </w:rPr>
        <w:t>Fully realized, these investments promise increased employee productivity, better customer experiences and improved business insights for CIOs and business leaders. In practice, however, the more software organizations acquire, the more complex their enterprise technology stack is to manage, use and maintain. CIOs and business leaders lack visibility into what or how software is being utilized, which processes can be optimized and whether their technology investments are delivering the expected business value. Similarly, users-both employees and customers-struggle to navigate a growing number of applications with different interfaces to complete business processes. Users must continuously relearn new technology functions that may have vastly different and evolving capabilities while evolving business processes place new demands on the business.</w:t>
      </w:r>
    </w:p>
    <w:p>
      <w:pPr>
        <w:spacing w:after="0" w:line="188"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As a result, despite massive investments in technology, the majority of organizations fail to successfully capitalize on their digital transformation initiatives, accomplish their strategic objectives and deliver business value at scale. According to Boston Consulting Group, 70% of digital transformations fall short of their objectives. We believe the principal reason for such failures is the inability of users to overcome deeply rooted behaviors and this resistance to change leads to users never fully adopting the underlying software and processes.</w:t>
      </w:r>
    </w:p>
    <w:p>
      <w:pPr>
        <w:spacing w:after="0" w:line="186" w:lineRule="exact"/>
        <w:rPr>
          <w:sz w:val="20"/>
          <w:szCs w:val="20"/>
          <w:color w:val="auto"/>
        </w:rPr>
      </w:pPr>
    </w:p>
    <w:p>
      <w:pPr>
        <w:jc w:val="both"/>
        <w:ind w:firstLine="441"/>
        <w:spacing w:after="0" w:line="269" w:lineRule="auto"/>
        <w:rPr>
          <w:sz w:val="20"/>
          <w:szCs w:val="20"/>
          <w:color w:val="auto"/>
        </w:rPr>
      </w:pPr>
      <w:r>
        <w:rPr>
          <w:rFonts w:ascii="Times New Roman" w:cs="Times New Roman" w:eastAsia="Times New Roman" w:hAnsi="Times New Roman"/>
          <w:sz w:val="18"/>
          <w:szCs w:val="18"/>
          <w:color w:val="auto"/>
        </w:rPr>
        <w:t>We believe the key to digital adoption is understanding points of failure and bottlenecks through data-based insights, then continually acting on and improving processes to achieve digital transformation more rapidly and strategically. According to a recent Harvard Business Review Analytic Services study of over 500 corporate executives that we sponsored, 80% of respondents stated that, in order to increase the chances of digital transformation success, it is important or very important for senior management to have a clear and complete overview of their organization’s digital adoption progress via analytics. Moreover, 81% of those surveyed agreed or strongly agreed that the ability to rapidly adopt new technologies and embed them in their employees’ everyday work is a competitive differentiator in their industry.</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t>With digital transformation success, we believe CIOs and business leaders:</w:t>
      </w:r>
    </w:p>
    <w:p>
      <w:pPr>
        <w:spacing w:after="0" w:line="239"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visibility into the usage of the software applications stack to better understand resource allocation;</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streamlined digital experiences that meet business goals for the organization;</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ability to measure return on investment in technology spend; and</w:t>
      </w:r>
    </w:p>
    <w:p>
      <w:pPr>
        <w:spacing w:after="0" w:line="238" w:lineRule="exact"/>
        <w:rPr>
          <w:rFonts w:ascii="Times New Roman" w:cs="Times New Roman" w:eastAsia="Times New Roman" w:hAnsi="Times New Roman"/>
          <w:sz w:val="18"/>
          <w:szCs w:val="18"/>
          <w:color w:val="auto"/>
        </w:rPr>
      </w:pPr>
    </w:p>
    <w:p>
      <w:pPr>
        <w:ind w:right="3500" w:firstLine="8"/>
        <w:spacing w:after="0" w:line="524" w:lineRule="auto"/>
        <w:tabs>
          <w:tab w:leader="none" w:pos="33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track software usage to gain insight into tangible business impact created by manager-led departments. In addition, digital transformation success provides employees and customers with:</w:t>
      </w: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intuitive and improving user experiences with technology;</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simplified learning curves for gaining proficiency on a new application, increasing efficiency and solving the problem of under-utilization of software;</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breadth and variety of applications that they are required to engage with and continuously learn; and</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frequent engagement with the business process, not just the software, which leads to increased retention.</w:t>
      </w:r>
    </w:p>
    <w:p>
      <w:pPr>
        <w:spacing w:after="0" w:line="252" w:lineRule="exact"/>
        <w:rPr>
          <w:sz w:val="20"/>
          <w:szCs w:val="20"/>
          <w:color w:val="auto"/>
        </w:rPr>
      </w:pPr>
    </w:p>
    <w:p>
      <w:pPr>
        <w:jc w:val="both"/>
        <w:ind w:firstLine="441"/>
        <w:spacing w:after="0" w:line="274" w:lineRule="auto"/>
        <w:rPr>
          <w:sz w:val="20"/>
          <w:szCs w:val="20"/>
          <w:color w:val="auto"/>
        </w:rPr>
      </w:pPr>
      <w:r>
        <w:rPr>
          <w:rFonts w:ascii="Times New Roman" w:cs="Times New Roman" w:eastAsia="Times New Roman" w:hAnsi="Times New Roman"/>
          <w:sz w:val="18"/>
          <w:szCs w:val="18"/>
          <w:color w:val="auto"/>
        </w:rPr>
        <w:t>From new digital transformation programs to optimizing value out of existing technologies, we help organizations tie software adoption to their strategic goals across every level, from CIOs and business leaders, to employees and customers. As of December 31, 2022, through our Digital Adoption Platform, we had approximately 1,800 customers in 39 countries, including 403 of the Global 2000.</w:t>
      </w:r>
    </w:p>
    <w:p>
      <w:pPr>
        <w:spacing w:after="0" w:line="182"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Our success in helping customers achieve their digital transformation strategies has allowed us to achieve significant growth. For the years ended December 31, 2021 and 2022, our revenue was $193.3 million and $245.0 million, respectively, representing year-over-year growth of 27%. For the years ended December 31, 2021 and 2022, our net loss was $80.3 million and $108.3 million, respectively, our operating cash flow was ($34.2) million and ($46.8) million, respectively, and our free cash flow was ($40.8) million and ($53.9) million, respectively.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Trends Driving the Need for a Digital Adoption Platform</w:t>
      </w:r>
    </w:p>
    <w:p>
      <w:pPr>
        <w:spacing w:after="0" w:line="239" w:lineRule="exact"/>
        <w:rPr>
          <w:sz w:val="20"/>
          <w:szCs w:val="20"/>
          <w:color w:val="auto"/>
        </w:rPr>
      </w:pPr>
    </w:p>
    <w:p>
      <w:pPr>
        <w:jc w:val="both"/>
        <w:ind w:firstLine="450"/>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Digital transformation is a priority for enterprise organizations. </w:t>
      </w:r>
      <w:r>
        <w:rPr>
          <w:rFonts w:ascii="Times New Roman" w:cs="Times New Roman" w:eastAsia="Times New Roman" w:hAnsi="Times New Roman"/>
          <w:sz w:val="18"/>
          <w:szCs w:val="18"/>
          <w:color w:val="auto"/>
        </w:rPr>
        <w:t>According to Gartner, enterprise software spend is expected to increase from $506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billion in 2021 to $715 billion by 2024, as enterprises invest in technology to increase productivity, better compete and grow their businesses. Moreover, global enterprise spend on digital transformation is projected to reach nearly $2.4 trillion within the next four years, representing over 57% of all business spending on technology, according to IDC. According to research by Accenture, digital leaders, defined as the top 10% of companies leading technology innovation, achieve two to three times greater revenue growth as compared to their competitors-a widening divide that Accenture calls the “Digital Achievement Gap.” As enterprises attempt to drive successful digital transformation, budget allocations to software continue to increase. According to IDC, global enterprise spend on software as a percentage of total global IT spend has grown from 22% in 2016 to 26% in 2020, and is projected to grow to 30% by 2024. Moreover, according to Gartner, by 2025, 70% of organizations will use digital adoption platforms across the entire technology stack to overcome still insufficient application user experiences.</w:t>
      </w:r>
    </w:p>
    <w:p>
      <w:pPr>
        <w:spacing w:after="0" w:line="196" w:lineRule="exact"/>
        <w:rPr>
          <w:sz w:val="20"/>
          <w:szCs w:val="20"/>
          <w:color w:val="auto"/>
        </w:rPr>
      </w:pPr>
    </w:p>
    <w:p>
      <w:pPr>
        <w:jc w:val="both"/>
        <w:ind w:firstLine="450"/>
        <w:spacing w:after="0" w:line="270" w:lineRule="auto"/>
        <w:rPr>
          <w:sz w:val="20"/>
          <w:szCs w:val="20"/>
          <w:color w:val="auto"/>
        </w:rPr>
      </w:pPr>
      <w:r>
        <w:rPr>
          <w:rFonts w:ascii="Times New Roman" w:cs="Times New Roman" w:eastAsia="Times New Roman" w:hAnsi="Times New Roman"/>
          <w:sz w:val="18"/>
          <w:szCs w:val="18"/>
          <w:color w:val="auto"/>
        </w:rPr>
        <w:t>The COVID-19 pandemic further accelerated this trend, as public health measures forced enterprises to accelerate their cloud-migration initiatives, enable virtual work collaboration at scale and transform operations to deliver contactless, digitally-enabled experiences for their employees and customers. According to a KPMG survey, 79% of CEOs say that their companies are accelerating the creation of a seamless digital consumer experience as a result of the COVID-19 pandemic and 63% have increased their digital transformation budget. As technology innovation accelerates in an increasingly online world, companies must become digital or risk being rendered obsolete.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5" w:name="page66"/>
    <w:bookmarkEnd w:id="65"/>
    <w:p>
      <w:pPr>
        <w:jc w:val="both"/>
        <w:ind w:firstLine="450"/>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Digital transformation is dependent on people adopting new software applications. </w:t>
      </w:r>
      <w:r>
        <w:rPr>
          <w:rFonts w:ascii="Times New Roman" w:cs="Times New Roman" w:eastAsia="Times New Roman" w:hAnsi="Times New Roman"/>
          <w:sz w:val="18"/>
          <w:szCs w:val="18"/>
          <w:color w:val="auto"/>
        </w:rPr>
        <w:t>According to OKTA's 'Business at Work 2022' report, larger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companies deploy more applications finding that companies with 2,000 employees or more deploy an average of 187 applications. Despite this growth, enterprises are not experiencing the promised returns on their digital transformation investments largely, we believe, because their employees are overwhelmed by the increasing number of software applications they are being asked to learn and utilize, and their customers are confused by new digital interactions that are constantly evolving as applications are updated. Additionally, business processes are constantly evolving to support changing business needs resulting in more confusion and the need to relearn processes and applications. Enterprises require assistance bridging this gap between their digital transformation aspirations and the technical acumen of their internal and external users.</w:t>
      </w:r>
    </w:p>
    <w:p>
      <w:pPr>
        <w:spacing w:after="0" w:line="190" w:lineRule="exact"/>
        <w:rPr>
          <w:sz w:val="20"/>
          <w:szCs w:val="20"/>
          <w:color w:val="auto"/>
        </w:rPr>
      </w:pPr>
    </w:p>
    <w:p>
      <w:pPr>
        <w:jc w:val="both"/>
        <w:ind w:firstLine="45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Failure to adopt applications has significant costs for organizations</w:t>
      </w:r>
      <w:r>
        <w:rPr>
          <w:rFonts w:ascii="Times New Roman" w:cs="Times New Roman" w:eastAsia="Times New Roman" w:hAnsi="Times New Roman"/>
          <w:sz w:val="18"/>
          <w:szCs w:val="18"/>
          <w:color w:val="auto"/>
        </w:rPr>
        <w:t>. According to Insight Enterprises, over 20% of licensing spend is on software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is not utilized, which represents $3.0 million a year in wasted investment for most organizations. For employees, underutilization results in additional time required to complete tasks, ultimately leading to lost customers and revenue. For managers, underutilization results in wasted IT spend and resources and reduced employee productivity. As a result, CIOs face difficulty steering their organizations to desired goals. These factors often result in organizations achieving only a small portion of their digital transformation goals while incurring large monetary and operational costs.</w:t>
      </w:r>
    </w:p>
    <w:p>
      <w:pPr>
        <w:spacing w:after="0" w:line="181"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Users need a frictionless software application experience</w:t>
      </w:r>
      <w:r>
        <w:rPr>
          <w:rFonts w:ascii="Times New Roman" w:cs="Times New Roman" w:eastAsia="Times New Roman" w:hAnsi="Times New Roman"/>
          <w:sz w:val="18"/>
          <w:szCs w:val="18"/>
          <w:color w:val="auto"/>
        </w:rPr>
        <w:t>. As new advanced digital user interfaces such as wearables, smartphones and AI-powered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voice assistants become more prevalent, enterprise applications appear dated and cumbersome by comparison. This disparity in interfaces affects engagement and heightens expectations for software provided by organizations to their users. Moreover, employees expect frictionless technology experiences, which is in turn critical for employee retention. In the virtual work environment, frictionless onboarding and streamlined workflows have become essential to maintaining an efficient and productive workforce. Meanwhile, customers experience pain points along their digital journeys, such as difficult to navigate websites, which can lead to lost sales. Enterprises must increasingly prioritize frictionless digital experiences for their employees and customers.</w:t>
      </w:r>
    </w:p>
    <w:p>
      <w:pPr>
        <w:spacing w:after="0" w:line="194" w:lineRule="exact"/>
        <w:rPr>
          <w:sz w:val="20"/>
          <w:szCs w:val="20"/>
          <w:color w:val="auto"/>
        </w:rPr>
      </w:pPr>
    </w:p>
    <w:p>
      <w:pPr>
        <w:jc w:val="both"/>
        <w:ind w:firstLine="450"/>
        <w:spacing w:after="0" w:line="297" w:lineRule="auto"/>
        <w:rPr>
          <w:sz w:val="20"/>
          <w:szCs w:val="20"/>
          <w:color w:val="auto"/>
        </w:rPr>
      </w:pPr>
      <w:r>
        <w:rPr>
          <w:rFonts w:ascii="Times New Roman" w:cs="Times New Roman" w:eastAsia="Times New Roman" w:hAnsi="Times New Roman"/>
          <w:sz w:val="18"/>
          <w:szCs w:val="18"/>
          <w:color w:val="auto"/>
        </w:rPr>
        <w:t>In a digital world, delivering experiences that employees value and customers love is key to capturing the benefit of digital transformations and the underlying applications.</w:t>
      </w:r>
    </w:p>
    <w:p>
      <w:pPr>
        <w:spacing w:after="0" w:line="15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 xml:space="preserve">Business processes span multiple applications across organizational silos. </w:t>
      </w:r>
      <w:r>
        <w:rPr>
          <w:rFonts w:ascii="Times New Roman" w:cs="Times New Roman" w:eastAsia="Times New Roman" w:hAnsi="Times New Roman"/>
          <w:sz w:val="18"/>
          <w:szCs w:val="18"/>
          <w:color w:val="auto"/>
        </w:rPr>
        <w:t>Employees depend on a vast array of enterprise software applications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often span different departments to perform their job functions. A sales employee may utilize different applications for external purposes such as CRM, quoting and project management, while simultaneously dealing with internal HR, payroll, expense and other back-office tools. According to a recent report by Harvard Business Review Analytic Services, employees find cross-application workflows are on average 42% more difficult to use than single application processes. When multiple workflows exist without sufficient guidance, more potential points of failure arise, as employees can no longer be experts in each application across the organization. A unified and guided user experience becomes critical as the number of applications grows. Finally, for department-level managers and CIOs overseeing entire organizations, multiple applications and workflows without centralization or ML-based analytics do not provide the visibility required for insightful decision-making.</w:t>
      </w:r>
    </w:p>
    <w:p>
      <w:pPr>
        <w:spacing w:after="0" w:line="190" w:lineRule="exact"/>
        <w:rPr>
          <w:sz w:val="20"/>
          <w:szCs w:val="20"/>
          <w:color w:val="auto"/>
        </w:rPr>
      </w:pPr>
    </w:p>
    <w:p>
      <w:pPr>
        <w:jc w:val="both"/>
        <w:ind w:firstLine="3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role of the CIO is evolving from traditional to transformational. </w:t>
      </w:r>
      <w:r>
        <w:rPr>
          <w:rFonts w:ascii="Times New Roman" w:cs="Times New Roman" w:eastAsia="Times New Roman" w:hAnsi="Times New Roman"/>
          <w:sz w:val="18"/>
          <w:szCs w:val="18"/>
          <w:color w:val="auto"/>
        </w:rPr>
        <w:t>The CIO has increasingly become a key influencer in most parts of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organization, including customer experience, operations, innovation and overall leadership of the organization. To succeed, CIOs must present themselves in the core business strategy of the organization. They accordingly require the right technology to lead the organization to digital transformation success, by ensuring a robust, resilient and agile infrastructure. This requires access to the right data and visibility into their digital portfolio and the ability to create seamless user experiences for users across the organization and across any platform.</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WalkMe’s Digital Adoption Platform</w:t>
      </w:r>
    </w:p>
    <w:p>
      <w:pPr>
        <w:spacing w:after="0" w:line="243" w:lineRule="exact"/>
        <w:rPr>
          <w:sz w:val="20"/>
          <w:szCs w:val="20"/>
          <w:color w:val="auto"/>
        </w:rPr>
      </w:pPr>
    </w:p>
    <w:p>
      <w:pPr>
        <w:jc w:val="both"/>
        <w:ind w:firstLine="360"/>
        <w:spacing w:after="0" w:line="297" w:lineRule="auto"/>
        <w:rPr>
          <w:sz w:val="20"/>
          <w:szCs w:val="20"/>
          <w:color w:val="auto"/>
        </w:rPr>
      </w:pPr>
      <w:r>
        <w:rPr>
          <w:rFonts w:ascii="Times New Roman" w:cs="Times New Roman" w:eastAsia="Times New Roman" w:hAnsi="Times New Roman"/>
          <w:sz w:val="18"/>
          <w:szCs w:val="18"/>
          <w:color w:val="auto"/>
        </w:rPr>
        <w:t>Our Digital Adoption Platform enables organizations to leverage data across business applications and workflows and take action to increase user adoption by simplifying user experiences. Our unified, strategic platform drives value through the following building blocks: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114935</wp:posOffset>
            </wp:positionV>
            <wp:extent cx="5212080" cy="28632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212080" cy="2863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382"/>
        <w:spacing w:after="0" w:line="281" w:lineRule="auto"/>
        <w:rPr>
          <w:sz w:val="20"/>
          <w:szCs w:val="20"/>
          <w:color w:val="auto"/>
        </w:rPr>
      </w:pPr>
      <w:r>
        <w:rPr>
          <w:rFonts w:ascii="Times New Roman" w:cs="Times New Roman" w:eastAsia="Times New Roman" w:hAnsi="Times New Roman"/>
          <w:sz w:val="18"/>
          <w:szCs w:val="18"/>
          <w:color w:val="auto"/>
        </w:rPr>
        <w:t>To deliver on the right experience and improve adoption, WalkMe uncovers data from behind-the-scenes - by identifying the entire tech stack through user journey analytics. WalkMe’s data portfolio, Digital Transformation Intelligence, provides CIOs and business leaders with visibility across the software stack, actionable insights and data needed to measure, drive and act to maximize the impact of their digital transformation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124460</wp:posOffset>
            </wp:positionV>
            <wp:extent cx="5271770" cy="27343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271770"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409"/>
        <w:spacing w:after="0" w:line="274" w:lineRule="auto"/>
        <w:rPr>
          <w:sz w:val="20"/>
          <w:szCs w:val="20"/>
          <w:color w:val="auto"/>
        </w:rPr>
      </w:pPr>
      <w:r>
        <w:rPr>
          <w:rFonts w:ascii="Times New Roman" w:cs="Times New Roman" w:eastAsia="Times New Roman" w:hAnsi="Times New Roman"/>
          <w:sz w:val="18"/>
          <w:szCs w:val="18"/>
          <w:color w:val="auto"/>
        </w:rPr>
        <w:t>WalkMe enables organizations to leverage technology usage data to design and deploy user experiences that increase adoption and engagement across workflows and applications in the form of UI elements, in-app, or desktop-based hubs. Pre-built and configurable solution templates enable customers to get started quickly using industry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127000</wp:posOffset>
            </wp:positionV>
            <wp:extent cx="5229225" cy="254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229225" cy="254571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67" w:name="page68"/>
    <w:bookmarkEnd w:id="67"/>
    <w:p>
      <w:pPr>
        <w:jc w:val="both"/>
        <w:ind w:right="20" w:firstLine="585"/>
        <w:spacing w:after="0" w:line="282" w:lineRule="auto"/>
        <w:rPr>
          <w:sz w:val="20"/>
          <w:szCs w:val="20"/>
          <w:color w:val="auto"/>
        </w:rPr>
      </w:pPr>
      <w:r>
        <w:rPr>
          <w:rFonts w:ascii="Times New Roman" w:cs="Times New Roman" w:eastAsia="Times New Roman" w:hAnsi="Times New Roman"/>
          <w:sz w:val="18"/>
          <w:szCs w:val="18"/>
          <w:color w:val="auto"/>
        </w:rPr>
        <w:t>User experience is the foundation of WalkMe. WalkMe creates a transparent layer for the end-user across any software to ensure immediate and intuitive access to any application, workflow, or resource. WalkMe can be used across web, mobile, and desktop.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Driven Action Through User-Centric Technology Applicable Anywhere</w:t>
      </w:r>
    </w:p>
    <w:p>
      <w:pPr>
        <w:spacing w:after="0" w:line="243" w:lineRule="exact"/>
        <w:rPr>
          <w:sz w:val="20"/>
          <w:szCs w:val="20"/>
          <w:color w:val="auto"/>
        </w:rPr>
      </w:pPr>
    </w:p>
    <w:p>
      <w:pPr>
        <w:jc w:val="both"/>
        <w:ind w:firstLine="441"/>
        <w:spacing w:after="0" w:line="274" w:lineRule="auto"/>
        <w:rPr>
          <w:sz w:val="20"/>
          <w:szCs w:val="20"/>
          <w:color w:val="auto"/>
        </w:rPr>
      </w:pPr>
      <w:r>
        <w:rPr>
          <w:rFonts w:ascii="Times New Roman" w:cs="Times New Roman" w:eastAsia="Times New Roman" w:hAnsi="Times New Roman"/>
          <w:sz w:val="18"/>
          <w:szCs w:val="18"/>
          <w:color w:val="auto"/>
        </w:rPr>
        <w:t>Our technology is designed to leverage the UI as the primary integration point to deliver our products. Unlike Application Programming Interfaces (“APIs”) which are not consistently available across applications and require developer resources to implement, our UI-focused approach allows us to deploy our Digital Adoption Platform across any application and deliver contextually aware, fully dynamic workflow guidance, automation and analytics.</w:t>
      </w:r>
    </w:p>
    <w:p>
      <w:pPr>
        <w:spacing w:after="0" w:line="196" w:lineRule="exact"/>
        <w:rPr>
          <w:sz w:val="20"/>
          <w:szCs w:val="20"/>
          <w:color w:val="auto"/>
        </w:rPr>
      </w:pPr>
    </w:p>
    <w:p>
      <w:pPr>
        <w:jc w:val="both"/>
        <w:ind w:firstLine="441"/>
        <w:spacing w:after="0" w:line="274" w:lineRule="auto"/>
        <w:rPr>
          <w:sz w:val="20"/>
          <w:szCs w:val="20"/>
          <w:color w:val="auto"/>
        </w:rPr>
      </w:pPr>
      <w:r>
        <w:rPr>
          <w:rFonts w:ascii="Times New Roman" w:cs="Times New Roman" w:eastAsia="Times New Roman" w:hAnsi="Times New Roman"/>
          <w:sz w:val="18"/>
          <w:szCs w:val="18"/>
          <w:color w:val="auto"/>
        </w:rPr>
        <w:t>Our Digital Adoption Platform drives the success of digital transformation initiatives by empowering CIOs and business leaders with critical business insights to enhance business process and increase software adoption by taking data-driven action to improve the user experiences for employees and customers:</w:t>
      </w:r>
    </w:p>
    <w:p>
      <w:pPr>
        <w:spacing w:after="0" w:line="178" w:lineRule="exact"/>
        <w:rPr>
          <w:sz w:val="20"/>
          <w:szCs w:val="20"/>
          <w:color w:val="auto"/>
        </w:rPr>
      </w:pPr>
    </w:p>
    <w:p>
      <w:pPr>
        <w:jc w:val="both"/>
        <w:ind w:left="340" w:hanging="332"/>
        <w:spacing w:after="0" w:line="284"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 CIOs and Business Leaders</w:t>
      </w:r>
      <w:r>
        <w:rPr>
          <w:rFonts w:ascii="Times New Roman" w:cs="Times New Roman" w:eastAsia="Times New Roman" w:hAnsi="Times New Roman"/>
          <w:sz w:val="18"/>
          <w:szCs w:val="18"/>
          <w:color w:val="auto"/>
        </w:rPr>
        <w:t>, our platform provides unified visibility, data and actionable insights across the organization’s software stack,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improve key business processes and drive employees and customers to action. Our data-driven insights offer strategic perspective and provide a competitive advantage to CIOs.</w:t>
      </w:r>
    </w:p>
    <w:p>
      <w:pPr>
        <w:spacing w:after="0" w:line="169" w:lineRule="exact"/>
        <w:rPr>
          <w:rFonts w:ascii="Times New Roman" w:cs="Times New Roman" w:eastAsia="Times New Roman" w:hAnsi="Times New Roman"/>
          <w:sz w:val="18"/>
          <w:szCs w:val="18"/>
          <w:color w:val="auto"/>
        </w:rPr>
      </w:pPr>
    </w:p>
    <w:p>
      <w:pPr>
        <w:jc w:val="both"/>
        <w:ind w:left="340" w:hanging="332"/>
        <w:spacing w:after="0" w:line="273"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 leading food and beverage company </w:t>
      </w:r>
      <w:r>
        <w:rPr>
          <w:rFonts w:ascii="Times New Roman" w:cs="Times New Roman" w:eastAsia="Times New Roman" w:hAnsi="Times New Roman"/>
          <w:sz w:val="18"/>
          <w:szCs w:val="18"/>
          <w:color w:val="auto"/>
        </w:rPr>
        <w:t>uses our Digital Adoption Platform to gain visibility into user behavior across applications and focus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resources to target employees at the point in their journey that they need help. By automating common workflow processes and providing targeted support for others, they are realizing improved task completion rates of nearly two times prior levels, in some cases. Importantly, user satisfaction has increased and productivity gains have given employees more time to focus on higher value initiatives.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8" w:name="page69"/>
    <w:bookmarkEnd w:id="68"/>
    <w:p>
      <w:pPr>
        <w:ind w:left="340" w:right="20" w:hanging="332"/>
        <w:spacing w:after="0" w:line="302"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Employees, </w:t>
      </w:r>
      <w:r>
        <w:rPr>
          <w:rFonts w:ascii="Times New Roman" w:cs="Times New Roman" w:eastAsia="Times New Roman" w:hAnsi="Times New Roman"/>
          <w:sz w:val="18"/>
          <w:szCs w:val="18"/>
          <w:color w:val="auto"/>
        </w:rPr>
        <w:t>our platform provides a contextual and unified experience that can be seamlessly delivered across any application (third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proprietary, mobile or desktop) to provide personalized process workflow guidance and automation.</w:t>
      </w:r>
    </w:p>
    <w:p>
      <w:pPr>
        <w:spacing w:after="0" w:line="154" w:lineRule="exact"/>
        <w:rPr>
          <w:rFonts w:ascii="Times New Roman" w:cs="Times New Roman" w:eastAsia="Times New Roman" w:hAnsi="Times New Roman"/>
          <w:sz w:val="18"/>
          <w:szCs w:val="18"/>
          <w:color w:val="auto"/>
        </w:rPr>
      </w:pPr>
    </w:p>
    <w:p>
      <w:pPr>
        <w:jc w:val="both"/>
        <w:ind w:left="340" w:hanging="332"/>
        <w:spacing w:after="0" w:line="276"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 global pharmacy store chain </w:t>
      </w:r>
      <w:r>
        <w:rPr>
          <w:rFonts w:ascii="Times New Roman" w:cs="Times New Roman" w:eastAsia="Times New Roman" w:hAnsi="Times New Roman"/>
          <w:sz w:val="18"/>
          <w:szCs w:val="18"/>
          <w:color w:val="auto"/>
        </w:rPr>
        <w:t>utilized our technology to drive digital adoption across multiple apps that are relied upon by more than 220,000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globally, resulting in an average reduction of 50% in support tickets. During the pandemic, a key driver of WalkMe’s success was its role in standing up new technology with as little friction as possible.</w:t>
      </w:r>
    </w:p>
    <w:p>
      <w:pPr>
        <w:spacing w:after="0" w:line="190" w:lineRule="exact"/>
        <w:rPr>
          <w:rFonts w:ascii="Times New Roman" w:cs="Times New Roman" w:eastAsia="Times New Roman" w:hAnsi="Times New Roman"/>
          <w:sz w:val="18"/>
          <w:szCs w:val="18"/>
          <w:color w:val="auto"/>
        </w:rPr>
      </w:pPr>
    </w:p>
    <w:p>
      <w:pPr>
        <w:jc w:val="both"/>
        <w:ind w:left="340" w:hanging="332"/>
        <w:spacing w:after="0" w:line="273"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 leading biotechnology company </w:t>
      </w:r>
      <w:r>
        <w:rPr>
          <w:rFonts w:ascii="Times New Roman" w:cs="Times New Roman" w:eastAsia="Times New Roman" w:hAnsi="Times New Roman"/>
          <w:sz w:val="18"/>
          <w:szCs w:val="18"/>
          <w:color w:val="auto"/>
        </w:rPr>
        <w:t>uses WalkMe across over 45 applications in over 11 languages to empower its workforce to be successful while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continuing to deliver on its promises to employees and customers. WalkMe is used as a strategy for adoption of existing apps as well as a method of deploying new pieces of software. With WalkMe, they rolled out an enterprise wide HCM to 90,000+ employees with no formal training methods and user satisfaction ranking at 98% in some cases.</w:t>
      </w:r>
    </w:p>
    <w:p>
      <w:pPr>
        <w:spacing w:after="0" w:line="178" w:lineRule="exact"/>
        <w:rPr>
          <w:rFonts w:ascii="Times New Roman" w:cs="Times New Roman" w:eastAsia="Times New Roman" w:hAnsi="Times New Roman"/>
          <w:sz w:val="18"/>
          <w:szCs w:val="18"/>
          <w:color w:val="auto"/>
        </w:rPr>
      </w:pPr>
    </w:p>
    <w:p>
      <w:pPr>
        <w:ind w:left="340" w:hanging="332"/>
        <w:spacing w:after="0" w:line="302"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Customers, </w:t>
      </w:r>
      <w:r>
        <w:rPr>
          <w:rFonts w:ascii="Times New Roman" w:cs="Times New Roman" w:eastAsia="Times New Roman" w:hAnsi="Times New Roman"/>
          <w:sz w:val="18"/>
          <w:szCs w:val="18"/>
          <w:color w:val="auto"/>
        </w:rPr>
        <w:t>our platform can be deployed on any customer facing website or application to power self-service onboarding, feature engagement,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support and more.</w:t>
      </w:r>
    </w:p>
    <w:p>
      <w:pPr>
        <w:spacing w:after="0" w:line="154" w:lineRule="exact"/>
        <w:rPr>
          <w:rFonts w:ascii="Times New Roman" w:cs="Times New Roman" w:eastAsia="Times New Roman" w:hAnsi="Times New Roman"/>
          <w:sz w:val="18"/>
          <w:szCs w:val="18"/>
          <w:color w:val="auto"/>
        </w:rPr>
      </w:pPr>
    </w:p>
    <w:p>
      <w:pPr>
        <w:jc w:val="both"/>
        <w:ind w:left="340" w:hanging="332"/>
        <w:spacing w:after="0" w:line="276"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One of the world’s largest technology and consulting companies </w:t>
      </w:r>
      <w:r>
        <w:rPr>
          <w:rFonts w:ascii="Times New Roman" w:cs="Times New Roman" w:eastAsia="Times New Roman" w:hAnsi="Times New Roman"/>
          <w:sz w:val="18"/>
          <w:szCs w:val="18"/>
          <w:color w:val="auto"/>
        </w:rPr>
        <w:t>uses WalkMe to support onboarding, mitigate support tickets, and increase success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their customers on over 20 B2B offerings. They’ve seen 6x increase in product adoption, 4x higher conversion rate, 80% revenue growth of digital offerings, and a 300% improvement in product usage consumption, and user retention.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Benefits of Our Digital Adoption Platform</w:t>
      </w:r>
    </w:p>
    <w:p>
      <w:pPr>
        <w:spacing w:after="0" w:line="243" w:lineRule="exact"/>
        <w:rPr>
          <w:sz w:val="20"/>
          <w:szCs w:val="20"/>
          <w:color w:val="auto"/>
        </w:rPr>
      </w:pPr>
    </w:p>
    <w:p>
      <w:pPr>
        <w:ind w:firstLine="360"/>
        <w:spacing w:after="0" w:line="297" w:lineRule="auto"/>
        <w:rPr>
          <w:sz w:val="20"/>
          <w:szCs w:val="20"/>
          <w:color w:val="auto"/>
        </w:rPr>
      </w:pPr>
      <w:r>
        <w:rPr>
          <w:rFonts w:ascii="Times New Roman" w:cs="Times New Roman" w:eastAsia="Times New Roman" w:hAnsi="Times New Roman"/>
          <w:sz w:val="18"/>
          <w:szCs w:val="18"/>
          <w:color w:val="auto"/>
        </w:rPr>
        <w:t>By overcoming the digital transformation challenge, organizations are better able to leverage technology to drive key business metrics that focus on mitigating risk for the business, driving efficiency and revenues. Our Digital Adoption Platform:</w:t>
      </w:r>
    </w:p>
    <w:p>
      <w:pPr>
        <w:spacing w:after="0" w:line="159" w:lineRule="exact"/>
        <w:rPr>
          <w:sz w:val="20"/>
          <w:szCs w:val="20"/>
          <w:color w:val="auto"/>
        </w:rPr>
      </w:pPr>
    </w:p>
    <w:p>
      <w:pPr>
        <w:jc w:val="both"/>
        <w:ind w:left="34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Provides Insights to Help CIOs and Business Leaders Drive Business Outcomes Horizontally Across the Organization. </w:t>
      </w:r>
      <w:r>
        <w:rPr>
          <w:rFonts w:ascii="Times New Roman" w:cs="Times New Roman" w:eastAsia="Times New Roman" w:hAnsi="Times New Roman"/>
          <w:sz w:val="18"/>
          <w:szCs w:val="18"/>
          <w:color w:val="auto"/>
        </w:rPr>
        <w:t>CIOs and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leaders use our Insights capabilities, UI Intelligence technology and integration- center to gain visibility into the enterprise technology stack, including software usage and user experiences across business processes. This analytics suite delivers metrics horizontally across departmental managers, which include tactical information such as how employees and customers engage with applications (e.g., number of active users and application and feature utilization) as well as higher level, strategic information targeted to CIOs (e.g., enterprise wide technology utilization and process adoption). Our analytics can be leveraged to manage, measure and prioritize digital projects, change user behaviors, and increase digital adoption, which drives business outcomes that align with the strategic goals of the entire organization.</w:t>
      </w:r>
    </w:p>
    <w:p>
      <w:pPr>
        <w:spacing w:after="0" w:line="189"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Delivers Immediate Value. </w:t>
      </w:r>
      <w:r>
        <w:rPr>
          <w:rFonts w:ascii="Times New Roman" w:cs="Times New Roman" w:eastAsia="Times New Roman" w:hAnsi="Times New Roman"/>
          <w:sz w:val="18"/>
          <w:szCs w:val="18"/>
          <w:color w:val="auto"/>
        </w:rPr>
        <w:t>Our technology provides CIOs and business leaders with immediate visibility into the software stack and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processes, consolidates applications for users to navigate and provides detailed guidance on how to use them effectively. From an employee and customer perspective, time to mastery of new technologies and processes is greatly reduced. In addition, managers do not have to rely on IT resources to facilitate deployment and integration with legacy systems, shortening the wait for useful insights and allowing for quick decisions. Such dynamics enable enterprises to cultivate agile and productive workforces that can rapidly adapt to changing organizational needs. By using our platform, enterprises organically understand the data-based insights and derived solutions to their issues, saving additional learning curve costs and achieving faster and increased ROI on their software spend.</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9" w:name="page70"/>
    <w:bookmarkEnd w:id="69"/>
    <w:p>
      <w:pPr>
        <w:jc w:val="both"/>
        <w:ind w:left="340" w:hanging="332"/>
        <w:spacing w:after="0" w:line="271"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Optimizes Software Usage and Technology Spend</w:t>
      </w:r>
      <w:r>
        <w:rPr>
          <w:rFonts w:ascii="Times New Roman" w:cs="Times New Roman" w:eastAsia="Times New Roman" w:hAnsi="Times New Roman"/>
          <w:sz w:val="18"/>
          <w:szCs w:val="18"/>
          <w:color w:val="auto"/>
        </w:rPr>
        <w:t>. We enable enterprises to make greater use of software more efficiently. For example, many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enterprises utilize their CRM tools solely as a contact database. With our Digital Adoption Platform, organizations can create easy to use business process workflows that facilitate and encourage employees to use the CRM tools as an interactive sales pipeline and forecasting system that provides comprehensive revenue generation benefits. Through our Digital Adoption Platform, organizations are able to capture this additional value from new user behavior formed around the optimal product adoption, by leveraging pre-built best practice templates and solution.</w:t>
      </w:r>
    </w:p>
    <w:p>
      <w:pPr>
        <w:spacing w:after="0" w:line="18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 xml:space="preserve">These improved usage behaviors also lead to increased return on technology investment for CIOs. According to an October 2020 Forrester Consulting study, </w:t>
      </w:r>
      <w:r>
        <w:rPr>
          <w:rFonts w:ascii="Times New Roman" w:cs="Times New Roman" w:eastAsia="Times New Roman" w:hAnsi="Times New Roman"/>
          <w:sz w:val="18"/>
          <w:szCs w:val="18"/>
          <w:i w:val="1"/>
          <w:iCs w:val="1"/>
          <w:color w:val="auto"/>
        </w:rPr>
        <w:t>The Total Economic Impact™ of WalkMe Digital Adoption Platform</w:t>
      </w:r>
      <w:r>
        <w:rPr>
          <w:rFonts w:ascii="Times New Roman" w:cs="Times New Roman" w:eastAsia="Times New Roman" w:hAnsi="Times New Roman"/>
          <w:sz w:val="18"/>
          <w:szCs w:val="18"/>
          <w:color w:val="auto"/>
        </w:rPr>
        <w:t>, a study WalkMe commissioned (“TEI Study”), our Digital Adoption Platform was estimated to deliver net present value savings of $9.8 million from increased application usage and process efficiency over a three-year period for a modeled composite of representative customers. The TEI study also found that WalkMe can deliver up to a 368% return on investment over three years for customers implementing our Digital Adoption Platform, with a payback period of less than three months. The study further found that WalkMe enabled organizations can realize future license savings of about 20% savings in the third year of implementing our Digital Adoption Platform. Additionally, the study indicated that the value of the benefits customers derive from WalkMe can grow approximately 126% over three years as organizations implement more use cases.</w:t>
      </w:r>
    </w:p>
    <w:p>
      <w:pPr>
        <w:spacing w:after="0" w:line="206" w:lineRule="exact"/>
        <w:rPr>
          <w:sz w:val="20"/>
          <w:szCs w:val="20"/>
          <w:color w:val="auto"/>
        </w:rPr>
      </w:pPr>
    </w:p>
    <w:p>
      <w:pPr>
        <w:jc w:val="both"/>
        <w:ind w:left="340" w:hanging="332"/>
        <w:spacing w:after="0" w:line="267"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Increases Employee Productivity and Reduces Support Costs. </w:t>
      </w:r>
      <w:r>
        <w:rPr>
          <w:rFonts w:ascii="Times New Roman" w:cs="Times New Roman" w:eastAsia="Times New Roman" w:hAnsi="Times New Roman"/>
          <w:sz w:val="18"/>
          <w:szCs w:val="18"/>
          <w:color w:val="auto"/>
        </w:rPr>
        <w:t>By engaging employees across software applications, employees are able to 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more easily the software applications that the enterprise has deployed. This leads to improved productivity, increased data accuracy, reduced support costs and increased employee engagement. Based on the TEI Study, employees observe a 60% reduction in training time on applications and savings of 50% from reduced IT support calls and Help Desk tickets. With WalkMe, employees are able to realize the full capabilities of different applications without friction, driving better performance in their jobs and improving business outcomes for the organization.</w:t>
      </w:r>
    </w:p>
    <w:p>
      <w:pPr>
        <w:spacing w:after="0" w:line="198" w:lineRule="exact"/>
        <w:rPr>
          <w:rFonts w:ascii="Times New Roman" w:cs="Times New Roman" w:eastAsia="Times New Roman" w:hAnsi="Times New Roman"/>
          <w:sz w:val="18"/>
          <w:szCs w:val="18"/>
          <w:color w:val="auto"/>
        </w:rPr>
      </w:pPr>
    </w:p>
    <w:p>
      <w:pPr>
        <w:jc w:val="both"/>
        <w:ind w:left="340" w:hanging="332"/>
        <w:spacing w:after="0" w:line="276"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Improves Customer Engagement. </w:t>
      </w:r>
      <w:r>
        <w:rPr>
          <w:rFonts w:ascii="Times New Roman" w:cs="Times New Roman" w:eastAsia="Times New Roman" w:hAnsi="Times New Roman"/>
          <w:sz w:val="18"/>
          <w:szCs w:val="18"/>
          <w:color w:val="auto"/>
        </w:rPr>
        <w:t>Our Digital Adoption Platform improves customer engagement and retention by simplifying the end user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experience. According to the TEI Study, our Digital Adoption Platform resulted in an approximate increase of 35% in customer retention and 10% growth in upsell opportunities from existing customers over three years.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252" w:lineRule="exact"/>
        <w:rPr>
          <w:sz w:val="20"/>
          <w:szCs w:val="20"/>
          <w:color w:val="auto"/>
        </w:rPr>
      </w:pPr>
    </w:p>
    <w:p>
      <w:pPr>
        <w:jc w:val="both"/>
        <w:ind w:firstLine="441"/>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Category-defining platform powering digital transformation. </w:t>
      </w:r>
      <w:r>
        <w:rPr>
          <w:rFonts w:ascii="Times New Roman" w:cs="Times New Roman" w:eastAsia="Times New Roman" w:hAnsi="Times New Roman"/>
          <w:sz w:val="18"/>
          <w:szCs w:val="18"/>
          <w:color w:val="auto"/>
        </w:rPr>
        <w:t>We pioneered the digital adoption category. We believe that our position as the market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leader and our strong brand awareness increases our opportunities to win new customers and to expand our offerings within our existing customers. As of December 31, 2022, our customers included 403 of the Global 2000. We believe the adoption of WalkMe by the largest global enterprises is evidence that our platform has the enterprise-grade functionality, scalability, reliability and security required by the world’s most demanding organizations.</w:t>
      </w:r>
    </w:p>
    <w:p>
      <w:pPr>
        <w:spacing w:after="0" w:line="179"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Broad, rich dataset and AI/ML capabilities provide valuable insights and continuous optimization. </w:t>
      </w:r>
      <w:r>
        <w:rPr>
          <w:rFonts w:ascii="Times New Roman" w:cs="Times New Roman" w:eastAsia="Times New Roman" w:hAnsi="Times New Roman"/>
          <w:sz w:val="18"/>
          <w:szCs w:val="18"/>
          <w:color w:val="auto"/>
        </w:rPr>
        <w:t>The breadth of applications where our software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deployed has enabled us to build a massive dataset, capturing on average billions of data events per day. We leverage this dataset to power our machine learning algorithms, which proactively identify where users struggle, what users’ intent was in completing an action within an application or workflow, and where opportunities exist for automation of repetitive workflows. The depth of our experience has provided us with deep insights on best practices and industry benchmarking, as well as key performance indicators, all of which we are able to share with our customers. As a result, WalkMe acts as both a platform for discovering and implementing digital transformation initiatives, and enabling customers to rapidly adjust business processes and test impact, driving a cycle of continuous optimization.</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0" w:name="page71"/>
    <w:bookmarkEnd w:id="70"/>
    <w:p>
      <w:pPr>
        <w:jc w:val="both"/>
        <w:ind w:firstLine="441"/>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Proprietary AI technology that recognizes user interfaces. </w:t>
      </w:r>
      <w:r>
        <w:rPr>
          <w:rFonts w:ascii="Times New Roman" w:cs="Times New Roman" w:eastAsia="Times New Roman" w:hAnsi="Times New Roman"/>
          <w:sz w:val="18"/>
          <w:szCs w:val="18"/>
          <w:color w:val="auto"/>
        </w:rPr>
        <w:t>Our technology operates as a layer upon any user interface and leverages artificial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intelligence to analyze and identify the underlying elements of the UI. By deploying this patented UI intelligence technology across thousands of software instances, we have developed deep insights into how users interact with software and a powerful understanding of the consistent elements present across many different user interfaces. This core technology ensures that if an application or user interface is updated, the existing collection of our instructional guides and automated workflow processes are automatically updated to support the new version of the underlying application with limited or no input from our customer. For example, if an update to an underlying application changes the location of a field linked to a Walk- Thru, WalkMe will automatically recognize the new location and the workflow for the user will not be disrupted. Similarly, as users customize their UI to their own preferences, the WalkMe automations and guidance layers will adapt to the user by recognizing the relevant underlying elements. This technology enables our customers to scale and advance their digital transformation strategies by significantly reducing maintenance requirements and costs borne from constant changes to the underlying software, continuous process modification and optimization, and the flexibility desired by and unique needs of each user.</w:t>
      </w:r>
    </w:p>
    <w:p>
      <w:pPr>
        <w:spacing w:after="0" w:line="194"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Growing ecosystem that positions WalkMe at the center of the digital transformation industry. </w:t>
      </w:r>
      <w:r>
        <w:rPr>
          <w:rFonts w:ascii="Times New Roman" w:cs="Times New Roman" w:eastAsia="Times New Roman" w:hAnsi="Times New Roman"/>
          <w:sz w:val="18"/>
          <w:szCs w:val="18"/>
          <w:color w:val="auto"/>
        </w:rPr>
        <w:t>We are investing to continue to grow our brand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awareness and build out the WalkMe Beyond brand, an ecosystem of professionals, partners, and collaborators with powerful network effects. We have established WalkMe Beyond as a core strategy that brings together the various industry activities that are shaping our ecosystem, including our research arm, professionals certified by us on our platform, our partners, the Digital Adoption Institute, our customer community portal, Integration center, developer hub and a soon-to-launch services exchange marketplace.</w:t>
      </w:r>
    </w:p>
    <w:p>
      <w:pPr>
        <w:spacing w:after="0" w:line="181" w:lineRule="exact"/>
        <w:rPr>
          <w:sz w:val="20"/>
          <w:szCs w:val="20"/>
          <w:color w:val="auto"/>
        </w:rPr>
      </w:pPr>
    </w:p>
    <w:p>
      <w:pPr>
        <w:jc w:val="both"/>
        <w:ind w:firstLine="441"/>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Infrastructure agnostic and extensible technology. </w:t>
      </w:r>
      <w:r>
        <w:rPr>
          <w:rFonts w:ascii="Times New Roman" w:cs="Times New Roman" w:eastAsia="Times New Roman" w:hAnsi="Times New Roman"/>
          <w:sz w:val="18"/>
          <w:szCs w:val="18"/>
          <w:color w:val="auto"/>
        </w:rPr>
        <w:t>Our Digital Adoption Platform can be deployed across any type of application including SaaS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cloud applications, on-premise software on servers, on desktops or on mobile devices and across all operating systems. Because our platform works across all of these systems, our customers are able to automate digital processes across their internally built, third-party application environments from a single platform. Our platform is easy to access and operate from anywhere, which is important for increasingly distributed and remote workforces.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243" w:lineRule="exact"/>
        <w:rPr>
          <w:sz w:val="20"/>
          <w:szCs w:val="20"/>
          <w:color w:val="auto"/>
        </w:rPr>
      </w:pPr>
    </w:p>
    <w:p>
      <w:pPr>
        <w:jc w:val="both"/>
        <w:ind w:right="20" w:firstLine="441"/>
        <w:spacing w:after="0" w:line="297" w:lineRule="auto"/>
        <w:rPr>
          <w:sz w:val="20"/>
          <w:szCs w:val="20"/>
          <w:color w:val="auto"/>
        </w:rPr>
      </w:pPr>
      <w:r>
        <w:rPr>
          <w:rFonts w:ascii="Times New Roman" w:cs="Times New Roman" w:eastAsia="Times New Roman" w:hAnsi="Times New Roman"/>
          <w:sz w:val="18"/>
          <w:szCs w:val="18"/>
          <w:color w:val="auto"/>
        </w:rPr>
        <w:t>We intend to capitalize on our large market opportunity, first mover advantage and category-defining technology platform by executing the following key elements of our growth strategy:</w:t>
      </w:r>
    </w:p>
    <w:p>
      <w:pPr>
        <w:spacing w:after="0" w:line="159" w:lineRule="exact"/>
        <w:rPr>
          <w:sz w:val="20"/>
          <w:szCs w:val="20"/>
          <w:color w:val="auto"/>
        </w:rPr>
      </w:pPr>
    </w:p>
    <w:p>
      <w:pPr>
        <w:jc w:val="both"/>
        <w:ind w:firstLine="441"/>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Innovate and advance our platform. </w:t>
      </w:r>
      <w:r>
        <w:rPr>
          <w:rFonts w:ascii="Times New Roman" w:cs="Times New Roman" w:eastAsia="Times New Roman" w:hAnsi="Times New Roman"/>
          <w:sz w:val="18"/>
          <w:szCs w:val="18"/>
          <w:color w:val="auto"/>
        </w:rPr>
        <w:t>Our investments in research and development to build our technology have been a core differentiator for us.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released WalkMe for mobile applications in 2017, our Insights engine in 2018, and introduced ActionBot in 2019 and our patented UI Intelligence technology in 2019. We intend to continue to invest in technology innovation to enhance our platform, including machine-learning, hyper-automation and process mining/discovery technologies. For example, our DeepUI technology, which automatically understands user interfaces and user journeys, together with our broad, deep dataset, is uniquely positioned to integrate with generative AI content capabilities and natural language models to dramatically impact the model for how employees interface with technology at work.</w:t>
      </w:r>
    </w:p>
    <w:p>
      <w:pPr>
        <w:spacing w:after="0" w:line="182"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Acquire new customers. </w:t>
      </w:r>
      <w:r>
        <w:rPr>
          <w:rFonts w:ascii="Times New Roman" w:cs="Times New Roman" w:eastAsia="Times New Roman" w:hAnsi="Times New Roman"/>
          <w:sz w:val="18"/>
          <w:szCs w:val="18"/>
          <w:color w:val="auto"/>
        </w:rPr>
        <w:t>We have achieved significant and broad-based customer adoption, including 403 of the Global 2000. We believe that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have a substantial opportunity to continue to grow our customer base. We intend to accelerate new customer acquisition across the markets that we serve as well as enter into new market segments by scaling our sales and marketing capabilities and channel relationships. As part of this strategy, we intend to increase our capacity, including investing in FedRamp certification for our platform and targeted sales and marketing resources, to increase our U.S. federal government customers.</w:t>
      </w:r>
    </w:p>
    <w:p>
      <w:pPr>
        <w:spacing w:after="0" w:line="181" w:lineRule="exact"/>
        <w:rPr>
          <w:sz w:val="20"/>
          <w:szCs w:val="20"/>
          <w:color w:val="auto"/>
        </w:rPr>
      </w:pPr>
    </w:p>
    <w:p>
      <w:pPr>
        <w:jc w:val="both"/>
        <w:ind w:firstLine="441"/>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Increase usage and spend from our existing customers. </w:t>
      </w:r>
      <w:r>
        <w:rPr>
          <w:rFonts w:ascii="Times New Roman" w:cs="Times New Roman" w:eastAsia="Times New Roman" w:hAnsi="Times New Roman"/>
          <w:sz w:val="18"/>
          <w:szCs w:val="18"/>
          <w:color w:val="auto"/>
        </w:rPr>
        <w:t>Our customers often initially adopt WalkMe for a specific use case within a single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department. After their initial adoption, our customers frequently expand to new users and use cases across additional applications within a department and ultimately to applications across the entire enterprise. We believe that our ease of use, depth, breadth of our platform, and, according to the TEI Study, a pay-back period of less than 3 months, will enable us to increase adoption by our existing customers.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71" w:name="page72"/>
    <w:bookmarkEnd w:id="71"/>
    <w:p>
      <w:pPr>
        <w:jc w:val="both"/>
        <w:ind w:firstLine="441"/>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Expand internationally. </w:t>
      </w:r>
      <w:r>
        <w:rPr>
          <w:rFonts w:ascii="Times New Roman" w:cs="Times New Roman" w:eastAsia="Times New Roman" w:hAnsi="Times New Roman"/>
          <w:sz w:val="18"/>
          <w:szCs w:val="18"/>
          <w:color w:val="auto"/>
        </w:rPr>
        <w:t>We believe there is a global need for our Digital Adoption Platform. For the year ended December 31, 2022, we had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approximately 29% of our revenue came from customers outside of the United States. We have made significant investments in expanding our presence in Europe, the Middle East, Africa and Asia, and we believe there is a compelling opportunity to expand our offerings internationally in those markets with minimal additional investment to our technology and infrastructure.</w:t>
      </w:r>
    </w:p>
    <w:p>
      <w:pPr>
        <w:spacing w:after="0" w:line="179"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Expand our ecosystem and go-to-market partnerships. </w:t>
      </w:r>
      <w:r>
        <w:rPr>
          <w:rFonts w:ascii="Times New Roman" w:cs="Times New Roman" w:eastAsia="Times New Roman" w:hAnsi="Times New Roman"/>
          <w:sz w:val="18"/>
          <w:szCs w:val="18"/>
          <w:color w:val="auto"/>
        </w:rPr>
        <w:t>We intend to continue investing in our ecosystem and partner relationships to extend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functionality of our platform, support new use cases and add new go-to-market channels. We now count Deloitte U.S., Canada, Australia, and Japan, Accenture, HCL, and SAP Concur, among others, as partners. We have built a flexible technology platform with open APIs which third-party developers can use to develop and sell new applications and solutions through our WalkMe Marketplace, which will increase our value to our customers and further embed WalkMe as a strategic platform within the enterprise. We intend to continue to invest in building our partner relationships including our relationships with system integrators to increase our delivery capacity, add new go-to-market channels and increase our sales pipeline. We intend to continue to grow our WalkMe Beyond ecosystem, digital adoption platform (“DAP”) professional as a Profession and our WalkMe Marketplace for independent professionals to offer services supporting WalkMe.</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Our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165735</wp:posOffset>
            </wp:positionV>
            <wp:extent cx="4911725" cy="42176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911725" cy="421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Our technology is designed to autonomously understand user behavior across digital journeys by leveraging the application UI as the primary integration point to deliver our products. Our UI-focused approach enables seamless integration and allows us to deploy our products across any application-including custom built software-to deliver contextually aware, fully dynamic workflow guidance, as well as automation and analytics based on the user needs. Our Digital Adoption Platform does not require any coding or changes to the underlying application to implement the seamless deployment of WalkMe across the applications used by our customers.</w:t>
      </w:r>
    </w:p>
    <w:p>
      <w:pPr>
        <w:spacing w:after="0" w:line="203" w:lineRule="exact"/>
        <w:rPr>
          <w:sz w:val="20"/>
          <w:szCs w:val="20"/>
          <w:color w:val="auto"/>
        </w:rPr>
      </w:pPr>
    </w:p>
    <w:p>
      <w:pPr>
        <w:jc w:val="both"/>
        <w:ind w:firstLine="441"/>
        <w:spacing w:after="0" w:line="274" w:lineRule="auto"/>
        <w:rPr>
          <w:sz w:val="20"/>
          <w:szCs w:val="20"/>
          <w:color w:val="auto"/>
        </w:rPr>
      </w:pPr>
      <w:r>
        <w:rPr>
          <w:rFonts w:ascii="Times New Roman" w:cs="Times New Roman" w:eastAsia="Times New Roman" w:hAnsi="Times New Roman"/>
          <w:sz w:val="18"/>
          <w:szCs w:val="18"/>
          <w:color w:val="auto"/>
        </w:rPr>
        <w:t>At the core of our UI-focused approach is DeepUI, our proprietary UI Intelligence technology. DeepUI leverages patented AI and machine learning algorithms to analyze any software application or website UI in relation to the user’s process flow context, navigation intent and permissions, among many other factors.</w:t>
      </w:r>
    </w:p>
    <w:p>
      <w:pPr>
        <w:spacing w:after="0" w:line="182"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By understanding how users interact with the underlying elements of any application’s UI at a granular level, our Digital Adoption Platform is able to automatically adapt as applications are continuously updated. For example, just as a person would know how to recognize a login page because they have seen similar pages countless times before, our DeepUI technology recognizes the underlying elements of an application’s UI and automatically adapts to enable users to successfully navigate through any application process flow, regardless of changes to the underlying UI. In addition, our DeepUI technology drives reductions in operational and maintenance costs by removing the need to support manual updates triggered by version changes to the underlying application. We do this by periodically scanning the applications upon which our software is deployed and collecting user behavior metadata. We do this seamlessly, with no impact on the user.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Core Principles in Building Our Technology</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prerequisites and frictionless deployment on any digital asset</w:t>
      </w:r>
    </w:p>
    <w:p>
      <w:pPr>
        <w:spacing w:after="0" w:line="241" w:lineRule="exact"/>
        <w:rPr>
          <w:sz w:val="20"/>
          <w:szCs w:val="20"/>
          <w:color w:val="auto"/>
        </w:rPr>
      </w:pPr>
    </w:p>
    <w:p>
      <w:pPr>
        <w:jc w:val="both"/>
        <w:ind w:firstLine="441"/>
        <w:spacing w:after="0" w:line="297" w:lineRule="auto"/>
        <w:rPr>
          <w:sz w:val="20"/>
          <w:szCs w:val="20"/>
          <w:color w:val="auto"/>
        </w:rPr>
      </w:pPr>
      <w:r>
        <w:rPr>
          <w:rFonts w:ascii="Times New Roman" w:cs="Times New Roman" w:eastAsia="Times New Roman" w:hAnsi="Times New Roman"/>
          <w:sz w:val="18"/>
          <w:szCs w:val="18"/>
          <w:color w:val="auto"/>
        </w:rPr>
        <w:t>Our technology is platform agnostic and supports any digital asset that is used by our customers, including all modern web browsers (desktop and mobile), mobile native applications (iOS and Android), and desktop operating systems (Windows and macOS).</w:t>
      </w:r>
    </w:p>
    <w:p>
      <w:pPr>
        <w:sectPr>
          <w:pgSz w:w="11900" w:h="16838" w:orient="portrait"/>
          <w:cols w:equalWidth="0" w:num="1">
            <w:col w:w="11240"/>
          </w:cols>
          <w:pgMar w:left="320" w:top="347" w:right="339" w:bottom="7"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51435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i w:val="1"/>
          <w:iCs w:val="1"/>
          <w:color w:val="auto"/>
        </w:rPr>
        <w:t>Simple and flexible deployment across any enterprise environment</w:t>
      </w:r>
    </w:p>
    <w:p>
      <w:pPr>
        <w:spacing w:after="0" w:line="241" w:lineRule="exact"/>
        <w:rPr>
          <w:sz w:val="20"/>
          <w:szCs w:val="20"/>
          <w:color w:val="auto"/>
        </w:rPr>
      </w:pPr>
    </w:p>
    <w:p>
      <w:pPr>
        <w:jc w:val="both"/>
        <w:ind w:right="20" w:firstLine="441"/>
        <w:spacing w:after="0" w:line="297" w:lineRule="auto"/>
        <w:rPr>
          <w:sz w:val="20"/>
          <w:szCs w:val="20"/>
          <w:color w:val="auto"/>
        </w:rPr>
      </w:pPr>
      <w:r>
        <w:rPr>
          <w:rFonts w:ascii="Times New Roman" w:cs="Times New Roman" w:eastAsia="Times New Roman" w:hAnsi="Times New Roman"/>
          <w:sz w:val="18"/>
          <w:szCs w:val="18"/>
          <w:color w:val="auto"/>
        </w:rPr>
        <w:t>Our platform is easy to deploy across any enterprise, including complex IT environments and custom-built software. We support delivery through a browser extension, code snippet, mobile SDK, desktop agent, or through 3rd party apps.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No-code simplicity, enterprise grade functionality</w:t>
      </w:r>
    </w:p>
    <w:p>
      <w:pPr>
        <w:spacing w:after="0" w:line="241"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We designed our platform so that any individual can build complex implementations without the need for coding by leveraging our UI intelligence technology and our robust and easy-to-use editor. Like recording a macro in Office, our editor enables the building of Walkthroughs by recording the steps a user takes. This makes building content simple, fast and easy to maintain, while also supporting enterprise requirements such as collaboration by multiple users building on the same account, testing environments or versioning.</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Data-driven approach</w:t>
      </w:r>
    </w:p>
    <w:p>
      <w:pPr>
        <w:spacing w:after="0" w:line="241" w:lineRule="exact"/>
        <w:rPr>
          <w:sz w:val="20"/>
          <w:szCs w:val="20"/>
          <w:color w:val="auto"/>
        </w:rPr>
      </w:pPr>
    </w:p>
    <w:p>
      <w:pPr>
        <w:jc w:val="both"/>
        <w:ind w:firstLine="441"/>
        <w:spacing w:after="0" w:line="274" w:lineRule="auto"/>
        <w:rPr>
          <w:sz w:val="20"/>
          <w:szCs w:val="20"/>
          <w:color w:val="auto"/>
        </w:rPr>
      </w:pPr>
      <w:r>
        <w:rPr>
          <w:rFonts w:ascii="Times New Roman" w:cs="Times New Roman" w:eastAsia="Times New Roman" w:hAnsi="Times New Roman"/>
          <w:sz w:val="18"/>
          <w:szCs w:val="18"/>
          <w:color w:val="auto"/>
        </w:rPr>
        <w:t>Our platform is built on a big-data pipeline that collects and processes on average billions of events every day, providing CIOs and business leaders visibility into the software stack and an understanding into digital experiences across applications. In order to monitor business goals, customers are able to leverage data, identify areas of improvement, apply digital adoption capabilities, define success and act upon it.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Deliver extensible, agile and integration-ready platforms</w:t>
      </w:r>
    </w:p>
    <w:p>
      <w:pPr>
        <w:spacing w:after="0" w:line="254"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Our platform achieves extensibility and agility by designing core services such as content management and user behavior analysis to be broadly applicable to any application. This reduces the complexity and the required effort needed to adopt new applications that are built to serve additional use cases. Furthermore, our platform is designed to be easily integrated with software utilized by our customers by exposing an API and set of tools for incoming and outgoing data integrations, in both batch mode as well as online.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Cloud-native architecture for performance, reliability and availability</w:t>
      </w:r>
    </w:p>
    <w:p>
      <w:pPr>
        <w:spacing w:after="0" w:line="241" w:lineRule="exact"/>
        <w:rPr>
          <w:sz w:val="20"/>
          <w:szCs w:val="20"/>
          <w:color w:val="auto"/>
        </w:rPr>
      </w:pPr>
    </w:p>
    <w:p>
      <w:pPr>
        <w:jc w:val="both"/>
        <w:ind w:right="20" w:firstLine="441"/>
        <w:spacing w:after="0" w:line="297" w:lineRule="auto"/>
        <w:rPr>
          <w:sz w:val="20"/>
          <w:szCs w:val="20"/>
          <w:color w:val="auto"/>
        </w:rPr>
      </w:pPr>
      <w:r>
        <w:rPr>
          <w:rFonts w:ascii="Times New Roman" w:cs="Times New Roman" w:eastAsia="Times New Roman" w:hAnsi="Times New Roman"/>
          <w:sz w:val="18"/>
          <w:szCs w:val="18"/>
          <w:color w:val="auto"/>
        </w:rPr>
        <w:t>Our software is built on a microservices-based architecture, leveraging public cloud infrastructure from Amazon Web Services and Google Cloud Platform. Our architecture is designed to be highly scalable and reliable, as it runs on top of business critical systems.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Security and privacy by design</w:t>
      </w:r>
    </w:p>
    <w:p>
      <w:pPr>
        <w:spacing w:after="0" w:line="254" w:lineRule="exact"/>
        <w:rPr>
          <w:sz w:val="20"/>
          <w:szCs w:val="20"/>
          <w:color w:val="auto"/>
        </w:rPr>
      </w:pPr>
    </w:p>
    <w:p>
      <w:pPr>
        <w:jc w:val="both"/>
        <w:ind w:firstLine="441"/>
        <w:spacing w:after="0" w:line="274" w:lineRule="auto"/>
        <w:rPr>
          <w:sz w:val="20"/>
          <w:szCs w:val="20"/>
          <w:color w:val="auto"/>
        </w:rPr>
      </w:pPr>
      <w:r>
        <w:rPr>
          <w:rFonts w:ascii="Times New Roman" w:cs="Times New Roman" w:eastAsia="Times New Roman" w:hAnsi="Times New Roman"/>
          <w:sz w:val="18"/>
          <w:szCs w:val="18"/>
          <w:color w:val="auto"/>
        </w:rPr>
        <w:t>WalkMe is ISO 27001 and SOC 2 Type II certified. In addition, we have developed features that provide our customers with security controls over their use of WalkMe that helps achieve their compliance with regulatory requirements. Additionally, our UI-focused integration approach supports improved security by aligning our Digital Adoption Platform with the user role-based policies already integrated within the application.</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Our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165735</wp:posOffset>
            </wp:positionV>
            <wp:extent cx="5332095" cy="22548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332095" cy="2254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extended functional capabilities, designed to solve key business challenges, include: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w:t>
      </w:r>
    </w:p>
    <w:p>
      <w:pPr>
        <w:spacing w:after="0" w:line="243" w:lineRule="exact"/>
        <w:rPr>
          <w:sz w:val="20"/>
          <w:szCs w:val="20"/>
          <w:color w:val="auto"/>
        </w:rPr>
      </w:pPr>
    </w:p>
    <w:p>
      <w:pPr>
        <w:ind w:firstLine="441"/>
        <w:spacing w:after="0" w:line="297" w:lineRule="auto"/>
        <w:rPr>
          <w:sz w:val="20"/>
          <w:szCs w:val="20"/>
          <w:color w:val="auto"/>
        </w:rPr>
      </w:pPr>
      <w:r>
        <w:rPr>
          <w:rFonts w:ascii="Times New Roman" w:cs="Times New Roman" w:eastAsia="Times New Roman" w:hAnsi="Times New Roman"/>
          <w:sz w:val="18"/>
          <w:szCs w:val="18"/>
          <w:color w:val="auto"/>
        </w:rPr>
        <w:t>WalkMe’s data provides technology buyers including CIOs and business leaders with visibility across the software stack and the insights needed to measure usage, drive process adoption and act to ultimately maximize the impact of their digital transformation strategy.</w:t>
      </w:r>
    </w:p>
    <w:p>
      <w:pPr>
        <w:spacing w:after="0" w:line="159" w:lineRule="exact"/>
        <w:rPr>
          <w:sz w:val="20"/>
          <w:szCs w:val="20"/>
          <w:color w:val="auto"/>
        </w:rPr>
      </w:pPr>
    </w:p>
    <w:p>
      <w:pPr>
        <w:ind w:left="660" w:right="20" w:hanging="328"/>
        <w:spacing w:after="0" w:line="28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Enterprise analytics. </w:t>
      </w:r>
      <w:r>
        <w:rPr>
          <w:rFonts w:ascii="Times New Roman" w:cs="Times New Roman" w:eastAsia="Times New Roman" w:hAnsi="Times New Roman"/>
          <w:sz w:val="18"/>
          <w:szCs w:val="18"/>
          <w:color w:val="auto"/>
        </w:rPr>
        <w:t>WalkMe instantly provides organizations with unified observability and visibility on top of their current mesh of systems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workflows.</w:t>
      </w:r>
    </w:p>
    <w:p>
      <w:pPr>
        <w:spacing w:after="0" w:line="168"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Workflow analytics. </w:t>
      </w:r>
      <w:r>
        <w:rPr>
          <w:rFonts w:ascii="Times New Roman" w:cs="Times New Roman" w:eastAsia="Times New Roman" w:hAnsi="Times New Roman"/>
          <w:sz w:val="18"/>
          <w:szCs w:val="18"/>
          <w:color w:val="auto"/>
        </w:rPr>
        <w:t>WalkMe provides visibility into user experiences across applications, pinpoint where users struggle, and continuously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optimize experiences to keep up with change.</w:t>
      </w:r>
    </w:p>
    <w:p>
      <w:pPr>
        <w:spacing w:after="0" w:line="168"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AI-Based data entry diagnostics. </w:t>
      </w:r>
      <w:r>
        <w:rPr>
          <w:rFonts w:ascii="Times New Roman" w:cs="Times New Roman" w:eastAsia="Times New Roman" w:hAnsi="Times New Roman"/>
          <w:sz w:val="18"/>
          <w:szCs w:val="18"/>
          <w:color w:val="auto"/>
        </w:rPr>
        <w:t>WalkMe’s UI Intelligence surfaces AI-based insights to help improve data integrity and efficient process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completion.</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KPI management. </w:t>
      </w:r>
      <w:r>
        <w:rPr>
          <w:rFonts w:ascii="Times New Roman" w:cs="Times New Roman" w:eastAsia="Times New Roman" w:hAnsi="Times New Roman"/>
          <w:sz w:val="18"/>
          <w:szCs w:val="18"/>
          <w:color w:val="auto"/>
        </w:rPr>
        <w:t>WalkMe customers can prove adoption and digital transformation success by tracking and automatically reporting on KPIs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by project leaders.</w:t>
      </w:r>
    </w:p>
    <w:p>
      <w:pPr>
        <w:spacing w:after="0" w:line="168"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Integration Center. </w:t>
      </w:r>
      <w:r>
        <w:rPr>
          <w:rFonts w:ascii="Times New Roman" w:cs="Times New Roman" w:eastAsia="Times New Roman" w:hAnsi="Times New Roman"/>
          <w:sz w:val="18"/>
          <w:szCs w:val="18"/>
          <w:color w:val="auto"/>
        </w:rPr>
        <w:t>Our Integration Center technology supports both incoming and outgoing integrations to strengthen data analysis on the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hand and create segmented and personalized user experiences on the other. Our customers integrate their most business-critical applications to and from WalkMe for better decision making and more impactful user experiences.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Action</w:t>
      </w:r>
    </w:p>
    <w:p>
      <w:pPr>
        <w:spacing w:after="0" w:line="31" w:lineRule="exact"/>
        <w:rPr>
          <w:sz w:val="20"/>
          <w:szCs w:val="20"/>
          <w:color w:val="auto"/>
        </w:rPr>
      </w:pPr>
    </w:p>
    <w:p>
      <w:pPr>
        <w:ind w:firstLine="648"/>
        <w:spacing w:after="0" w:line="276" w:lineRule="auto"/>
        <w:rPr>
          <w:sz w:val="20"/>
          <w:szCs w:val="20"/>
          <w:color w:val="auto"/>
        </w:rPr>
      </w:pPr>
      <w:r>
        <w:rPr>
          <w:rFonts w:ascii="Times New Roman" w:cs="Times New Roman" w:eastAsia="Times New Roman" w:hAnsi="Times New Roman"/>
          <w:sz w:val="18"/>
          <w:szCs w:val="18"/>
          <w:color w:val="auto"/>
        </w:rPr>
        <w:t>With WalkMe, organizations can leverage data to design and deploy user experiences that increase adoption and engagement across workflows and applications.</w:t>
      </w:r>
    </w:p>
    <w:p>
      <w:pPr>
        <w:spacing w:after="0" w:line="177" w:lineRule="exact"/>
        <w:rPr>
          <w:sz w:val="20"/>
          <w:szCs w:val="20"/>
          <w:color w:val="auto"/>
        </w:rPr>
      </w:pPr>
    </w:p>
    <w:p>
      <w:pPr>
        <w:ind w:left="660" w:hanging="328"/>
        <w:spacing w:after="0" w:line="28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Build. </w:t>
      </w:r>
      <w:r>
        <w:rPr>
          <w:rFonts w:ascii="Times New Roman" w:cs="Times New Roman" w:eastAsia="Times New Roman" w:hAnsi="Times New Roman"/>
          <w:sz w:val="18"/>
          <w:szCs w:val="18"/>
          <w:color w:val="auto"/>
        </w:rPr>
        <w:t>With WalkMe’s no-code editor, organizations have the agility to take data-driven action to fix what is broken across workflows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applications.</w:t>
      </w:r>
    </w:p>
    <w:p>
      <w:pPr>
        <w:spacing w:after="0" w:line="168"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Design and automate. </w:t>
      </w:r>
      <w:r>
        <w:rPr>
          <w:rFonts w:ascii="Times New Roman" w:cs="Times New Roman" w:eastAsia="Times New Roman" w:hAnsi="Times New Roman"/>
          <w:sz w:val="18"/>
          <w:szCs w:val="18"/>
          <w:color w:val="auto"/>
        </w:rPr>
        <w:t>WalkMe users are able to design automated, data-driven experiences including conversational interfaces, tooltips,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screen guidance or other changes to the UI - without having to rely on developers or release cycles.</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Leverage best practices and solution templates. </w:t>
      </w:r>
      <w:r>
        <w:rPr>
          <w:rFonts w:ascii="Times New Roman" w:cs="Times New Roman" w:eastAsia="Times New Roman" w:hAnsi="Times New Roman"/>
          <w:sz w:val="18"/>
          <w:szCs w:val="18"/>
          <w:color w:val="auto"/>
        </w:rPr>
        <w:t>We have built business process-specific solution templates based on thousands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implementations gathered by WalkMe across the most commonly used applications. These solution templates drive best practices, reduce customer maintenance efforts and costs and enable faster implementation and time-to-value for the most common user workflows.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i w:val="1"/>
          <w:iCs w:val="1"/>
          <w:color w:val="auto"/>
        </w:rPr>
        <w:t>Experience</w:t>
      </w:r>
    </w:p>
    <w:p>
      <w:pPr>
        <w:spacing w:after="0" w:line="243" w:lineRule="exact"/>
        <w:rPr>
          <w:sz w:val="20"/>
          <w:szCs w:val="20"/>
          <w:color w:val="auto"/>
        </w:rPr>
      </w:pPr>
    </w:p>
    <w:p>
      <w:pPr>
        <w:ind w:firstLine="441"/>
        <w:spacing w:after="0" w:line="297" w:lineRule="auto"/>
        <w:rPr>
          <w:sz w:val="20"/>
          <w:szCs w:val="20"/>
          <w:color w:val="auto"/>
        </w:rPr>
      </w:pPr>
      <w:r>
        <w:rPr>
          <w:rFonts w:ascii="Times New Roman" w:cs="Times New Roman" w:eastAsia="Times New Roman" w:hAnsi="Times New Roman"/>
          <w:sz w:val="18"/>
          <w:szCs w:val="18"/>
          <w:color w:val="auto"/>
        </w:rPr>
        <w:t>User experience is what drives WalkMe. With WalkMe, our customers can design contextual and personalized experiences that engage and drive user adoption of their digital assets on mobile, web and desktop.</w:t>
      </w:r>
    </w:p>
    <w:p>
      <w:pPr>
        <w:spacing w:after="0" w:line="159" w:lineRule="exact"/>
        <w:rPr>
          <w:sz w:val="20"/>
          <w:szCs w:val="20"/>
          <w:color w:val="auto"/>
        </w:rPr>
      </w:pPr>
    </w:p>
    <w:p>
      <w:pPr>
        <w:ind w:left="660" w:right="300" w:hanging="328"/>
        <w:spacing w:after="0" w:line="28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Simplify</w:t>
      </w:r>
      <w:r>
        <w:rPr>
          <w:rFonts w:ascii="Times New Roman" w:cs="Times New Roman" w:eastAsia="Times New Roman" w:hAnsi="Times New Roman"/>
          <w:sz w:val="18"/>
          <w:szCs w:val="18"/>
          <w:color w:val="auto"/>
        </w:rPr>
        <w:t>. WalkMe creates a transparent layer for the end-user across any software to ensure immediate and intuitive access to any application,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workflow, or resource - without touching the underlying software or website.</w:t>
      </w:r>
    </w:p>
    <w:p>
      <w:pPr>
        <w:spacing w:after="0" w:line="168" w:lineRule="exact"/>
        <w:rPr>
          <w:rFonts w:ascii="Times New Roman" w:cs="Times New Roman" w:eastAsia="Times New Roman" w:hAnsi="Times New Roman"/>
          <w:sz w:val="18"/>
          <w:szCs w:val="18"/>
          <w:color w:val="auto"/>
        </w:rPr>
      </w:pPr>
    </w:p>
    <w:p>
      <w:pPr>
        <w:ind w:left="660" w:right="440" w:hanging="328"/>
        <w:spacing w:after="0" w:line="28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Personalize. </w:t>
      </w:r>
      <w:r>
        <w:rPr>
          <w:rFonts w:ascii="Times New Roman" w:cs="Times New Roman" w:eastAsia="Times New Roman" w:hAnsi="Times New Roman"/>
          <w:sz w:val="18"/>
          <w:szCs w:val="18"/>
          <w:color w:val="auto"/>
        </w:rPr>
        <w:t>WalkMe enables organizations to drive users to success with personalized experiences across any workflow or device, 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guidance, hyper-automation, in-app engagement and help.</w:t>
      </w:r>
    </w:p>
    <w:p>
      <w:pPr>
        <w:spacing w:after="0" w:line="154" w:lineRule="exact"/>
        <w:rPr>
          <w:rFonts w:ascii="Times New Roman" w:cs="Times New Roman" w:eastAsia="Times New Roman" w:hAnsi="Times New Roman"/>
          <w:sz w:val="18"/>
          <w:szCs w:val="18"/>
          <w:color w:val="auto"/>
        </w:rPr>
      </w:pPr>
    </w:p>
    <w:p>
      <w:pPr>
        <w:ind w:left="660" w:right="140" w:hanging="328"/>
        <w:spacing w:after="0" w:line="268"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Omni-channel experiences. </w:t>
      </w:r>
      <w:r>
        <w:rPr>
          <w:rFonts w:ascii="Times New Roman" w:cs="Times New Roman" w:eastAsia="Times New Roman" w:hAnsi="Times New Roman"/>
          <w:sz w:val="18"/>
          <w:szCs w:val="18"/>
          <w:color w:val="auto"/>
        </w:rPr>
        <w:t>WalkMe enables organizations to connect employees through a single interface to applications and user workflows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within an enterprise and simplify task completion and access to knowledge through enterprise search, communication tools, and a natural-language chat interface.</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7"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43" w:lineRule="exact"/>
        <w:rPr>
          <w:sz w:val="20"/>
          <w:szCs w:val="20"/>
          <w:color w:val="auto"/>
        </w:rPr>
      </w:pPr>
    </w:p>
    <w:p>
      <w:pPr>
        <w:jc w:val="both"/>
        <w:ind w:firstLine="441"/>
        <w:spacing w:after="0" w:line="270" w:lineRule="auto"/>
        <w:rPr>
          <w:sz w:val="20"/>
          <w:szCs w:val="20"/>
          <w:color w:val="auto"/>
        </w:rPr>
      </w:pPr>
      <w:r>
        <w:rPr>
          <w:rFonts w:ascii="Times New Roman" w:cs="Times New Roman" w:eastAsia="Times New Roman" w:hAnsi="Times New Roman"/>
          <w:sz w:val="18"/>
          <w:szCs w:val="18"/>
          <w:color w:val="auto"/>
        </w:rPr>
        <w:t>We serve a diverse set of customers across all major industries, including some of the world’s largest and most sophisticated enterprises. As of December 31, 2022, we had approximately 1,800 customers including 403 of the Global 2000, as well as 514 customers with ARR greater than $100,000 and 39 customers with ARR greater than $1,000,000. Below is a representative list of customers categorized by industry vertical. No single customer accounted for more than 2.6% and 3.1% of our ARR in the year ended December 31, 2021 and 2022, respectively, which does not take into account certain mergers or acquisitions that occurred during those years.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Consumer &amp; Retail</w:t>
            </w:r>
          </w:p>
        </w:tc>
        <w:tc>
          <w:tcPr>
            <w:tcW w:w="28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Technology</w:t>
            </w:r>
          </w:p>
        </w:tc>
        <w:tc>
          <w:tcPr>
            <w:tcW w:w="220" w:type="dxa"/>
            <w:vAlign w:val="bottom"/>
          </w:tcPr>
          <w:p>
            <w:pPr>
              <w:spacing w:after="0"/>
              <w:rPr>
                <w:sz w:val="19"/>
                <w:szCs w:val="19"/>
                <w:color w:val="auto"/>
              </w:rPr>
            </w:pPr>
          </w:p>
        </w:tc>
        <w:tc>
          <w:tcPr>
            <w:tcW w:w="2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Services</w:t>
            </w:r>
          </w:p>
        </w:tc>
        <w:tc>
          <w:tcPr>
            <w:tcW w:w="28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Energy, Industrial, &amp;</w:t>
            </w:r>
          </w:p>
        </w:tc>
        <w:tc>
          <w:tcPr>
            <w:tcW w:w="0" w:type="dxa"/>
            <w:vAlign w:val="bottom"/>
          </w:tcPr>
          <w:p>
            <w:pPr>
              <w:spacing w:after="0"/>
              <w:rPr>
                <w:sz w:val="1"/>
                <w:szCs w:val="1"/>
                <w:color w:val="auto"/>
              </w:rPr>
            </w:pPr>
          </w:p>
        </w:tc>
      </w:tr>
      <w:tr>
        <w:trPr>
          <w:trHeight w:val="245"/>
        </w:trPr>
        <w:tc>
          <w:tcPr>
            <w:tcW w:w="2660" w:type="dxa"/>
            <w:vAlign w:val="bottom"/>
            <w:vMerge w:val="continue"/>
          </w:tcPr>
          <w:p>
            <w:pPr>
              <w:spacing w:after="0"/>
              <w:rPr>
                <w:sz w:val="21"/>
                <w:szCs w:val="21"/>
                <w:color w:val="auto"/>
              </w:rPr>
            </w:pPr>
          </w:p>
        </w:tc>
        <w:tc>
          <w:tcPr>
            <w:tcW w:w="286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2620" w:type="dxa"/>
            <w:vAlign w:val="bottom"/>
            <w:vMerge w:val="continue"/>
          </w:tcPr>
          <w:p>
            <w:pPr>
              <w:spacing w:after="0"/>
              <w:rPr>
                <w:sz w:val="21"/>
                <w:szCs w:val="21"/>
                <w:color w:val="auto"/>
              </w:rPr>
            </w:pPr>
          </w:p>
        </w:tc>
        <w:tc>
          <w:tcPr>
            <w:tcW w:w="28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Transportation</w:t>
            </w:r>
          </w:p>
        </w:tc>
        <w:tc>
          <w:tcPr>
            <w:tcW w:w="0" w:type="dxa"/>
            <w:vAlign w:val="bottom"/>
          </w:tcPr>
          <w:p>
            <w:pPr>
              <w:spacing w:after="0"/>
              <w:rPr>
                <w:sz w:val="1"/>
                <w:szCs w:val="1"/>
                <w:color w:val="auto"/>
              </w:rPr>
            </w:pPr>
          </w:p>
        </w:tc>
      </w:tr>
      <w:tr>
        <w:trPr>
          <w:trHeight w:val="211"/>
        </w:trPr>
        <w:tc>
          <w:tcPr>
            <w:tcW w:w="2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Circle K</w:t>
            </w:r>
          </w:p>
        </w:tc>
        <w:tc>
          <w:tcPr>
            <w:tcW w:w="220" w:type="dxa"/>
            <w:vAlign w:val="bottom"/>
          </w:tcPr>
          <w:p>
            <w:pPr>
              <w:spacing w:after="0"/>
              <w:rPr>
                <w:sz w:val="18"/>
                <w:szCs w:val="18"/>
                <w:color w:val="auto"/>
              </w:rPr>
            </w:pPr>
          </w:p>
        </w:tc>
        <w:tc>
          <w:tcPr>
            <w:tcW w:w="2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LinkedIn</w:t>
            </w:r>
          </w:p>
        </w:tc>
        <w:tc>
          <w:tcPr>
            <w:tcW w:w="220" w:type="dxa"/>
            <w:vAlign w:val="bottom"/>
          </w:tcPr>
          <w:p>
            <w:pPr>
              <w:spacing w:after="0"/>
              <w:rPr>
                <w:sz w:val="18"/>
                <w:szCs w:val="18"/>
                <w:color w:val="auto"/>
              </w:rPr>
            </w:pPr>
          </w:p>
        </w:tc>
        <w:tc>
          <w:tcPr>
            <w:tcW w:w="2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Bank of the West</w:t>
            </w:r>
          </w:p>
        </w:tc>
        <w:tc>
          <w:tcPr>
            <w:tcW w:w="220" w:type="dxa"/>
            <w:vAlign w:val="bottom"/>
          </w:tcPr>
          <w:p>
            <w:pPr>
              <w:spacing w:after="0"/>
              <w:rPr>
                <w:sz w:val="18"/>
                <w:szCs w:val="18"/>
                <w:color w:val="auto"/>
              </w:rPr>
            </w:pPr>
          </w:p>
        </w:tc>
        <w:tc>
          <w:tcPr>
            <w:tcW w:w="2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American Airlines</w:t>
            </w:r>
          </w:p>
        </w:tc>
        <w:tc>
          <w:tcPr>
            <w:tcW w:w="0" w:type="dxa"/>
            <w:vAlign w:val="bottom"/>
          </w:tcPr>
          <w:p>
            <w:pPr>
              <w:spacing w:after="0"/>
              <w:rPr>
                <w:sz w:val="1"/>
                <w:szCs w:val="1"/>
                <w:color w:val="auto"/>
              </w:rPr>
            </w:pPr>
          </w:p>
        </w:tc>
      </w:tr>
      <w:tr>
        <w:trPr>
          <w:trHeight w:val="229"/>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L’Oreal</w:t>
            </w:r>
          </w:p>
        </w:tc>
        <w:tc>
          <w:tcPr>
            <w:tcW w:w="2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Sprinklr</w:t>
            </w:r>
          </w:p>
        </w:tc>
        <w:tc>
          <w:tcPr>
            <w:tcW w:w="2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Citigroup</w:t>
            </w:r>
          </w:p>
        </w:tc>
        <w:tc>
          <w:tcPr>
            <w:tcW w:w="2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BMW</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Nestle</w:t>
            </w:r>
          </w:p>
        </w:tc>
        <w:tc>
          <w:tcPr>
            <w:tcW w:w="2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HP</w:t>
            </w:r>
          </w:p>
        </w:tc>
        <w:tc>
          <w:tcPr>
            <w:tcW w:w="2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E*trade</w:t>
            </w:r>
          </w:p>
        </w:tc>
        <w:tc>
          <w:tcPr>
            <w:tcW w:w="2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Chevron</w:t>
            </w:r>
          </w:p>
        </w:tc>
        <w:tc>
          <w:tcPr>
            <w:tcW w:w="0" w:type="dxa"/>
            <w:vAlign w:val="bottom"/>
          </w:tcPr>
          <w:p>
            <w:pPr>
              <w:spacing w:after="0"/>
              <w:rPr>
                <w:sz w:val="1"/>
                <w:szCs w:val="1"/>
                <w:color w:val="auto"/>
              </w:rPr>
            </w:pPr>
          </w:p>
        </w:tc>
      </w:tr>
      <w:tr>
        <w:trPr>
          <w:trHeight w:val="229"/>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Southern Glazers</w:t>
            </w:r>
          </w:p>
        </w:tc>
        <w:tc>
          <w:tcPr>
            <w:tcW w:w="2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Adobe</w:t>
            </w:r>
          </w:p>
        </w:tc>
        <w:tc>
          <w:tcPr>
            <w:tcW w:w="2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Goldman Sachs</w:t>
            </w:r>
          </w:p>
        </w:tc>
        <w:tc>
          <w:tcPr>
            <w:tcW w:w="2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Schneider Electric</w:t>
            </w:r>
          </w:p>
        </w:tc>
        <w:tc>
          <w:tcPr>
            <w:tcW w:w="0" w:type="dxa"/>
            <w:vAlign w:val="bottom"/>
          </w:tcPr>
          <w:p>
            <w:pPr>
              <w:spacing w:after="0"/>
              <w:rPr>
                <w:sz w:val="1"/>
                <w:szCs w:val="1"/>
                <w:color w:val="auto"/>
              </w:rPr>
            </w:pPr>
          </w:p>
        </w:tc>
      </w:tr>
      <w:tr>
        <w:trPr>
          <w:trHeight w:val="229"/>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Ulta</w:t>
            </w:r>
          </w:p>
        </w:tc>
        <w:tc>
          <w:tcPr>
            <w:tcW w:w="2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WL Gore</w:t>
            </w:r>
          </w:p>
        </w:tc>
        <w:tc>
          <w:tcPr>
            <w:tcW w:w="2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IGM Financial Services</w:t>
            </w:r>
          </w:p>
        </w:tc>
        <w:tc>
          <w:tcPr>
            <w:tcW w:w="2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Veolia</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Overstock</w:t>
            </w:r>
          </w:p>
        </w:tc>
        <w:tc>
          <w:tcPr>
            <w:tcW w:w="2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Okta</w:t>
            </w:r>
          </w:p>
        </w:tc>
        <w:tc>
          <w:tcPr>
            <w:tcW w:w="2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Nasdaq</w:t>
            </w:r>
          </w:p>
        </w:tc>
        <w:tc>
          <w:tcPr>
            <w:tcW w:w="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Walgreens Boots Alliance</w:t>
            </w:r>
          </w:p>
        </w:tc>
        <w:tc>
          <w:tcPr>
            <w:tcW w:w="2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Paychex</w:t>
            </w:r>
          </w:p>
        </w:tc>
        <w:tc>
          <w:tcPr>
            <w:tcW w:w="2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Gojo</w:t>
            </w:r>
          </w:p>
        </w:tc>
        <w:tc>
          <w:tcPr>
            <w:tcW w:w="2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Sun Life Financial</w:t>
            </w:r>
          </w:p>
        </w:tc>
        <w:tc>
          <w:tcPr>
            <w:tcW w:w="2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Zurich Insurance Group</w:t>
            </w:r>
          </w:p>
        </w:tc>
        <w:tc>
          <w:tcPr>
            <w:tcW w:w="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Standard Chartered</w:t>
            </w:r>
          </w:p>
        </w:tc>
        <w:tc>
          <w:tcPr>
            <w:tcW w:w="2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Paypal</w:t>
            </w:r>
          </w:p>
        </w:tc>
        <w:tc>
          <w:tcPr>
            <w:tcW w:w="2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Healthcare &amp; Life Science</w:t>
            </w:r>
          </w:p>
        </w:tc>
        <w:tc>
          <w:tcPr>
            <w:tcW w:w="38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Education &amp; Non Profit</w:t>
            </w:r>
          </w:p>
        </w:tc>
        <w:tc>
          <w:tcPr>
            <w:tcW w:w="220" w:type="dxa"/>
            <w:vAlign w:val="bottom"/>
          </w:tcPr>
          <w:p>
            <w:pPr>
              <w:spacing w:after="0"/>
              <w:rPr>
                <w:sz w:val="22"/>
                <w:szCs w:val="22"/>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Communications</w:t>
            </w:r>
          </w:p>
        </w:tc>
      </w:tr>
      <w:tr>
        <w:trPr>
          <w:trHeight w:val="211"/>
        </w:trPr>
        <w:tc>
          <w:tcPr>
            <w:tcW w:w="3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AstraZeneca</w:t>
            </w:r>
          </w:p>
        </w:tc>
        <w:tc>
          <w:tcPr>
            <w:tcW w:w="200" w:type="dxa"/>
            <w:vAlign w:val="bottom"/>
          </w:tcPr>
          <w:p>
            <w:pPr>
              <w:spacing w:after="0"/>
              <w:rPr>
                <w:sz w:val="18"/>
                <w:szCs w:val="18"/>
                <w:color w:val="auto"/>
              </w:rPr>
            </w:pPr>
          </w:p>
        </w:tc>
        <w:tc>
          <w:tcPr>
            <w:tcW w:w="3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Kaplan</w:t>
            </w:r>
          </w:p>
        </w:tc>
        <w:tc>
          <w:tcPr>
            <w:tcW w:w="220" w:type="dxa"/>
            <w:vAlign w:val="bottom"/>
          </w:tcPr>
          <w:p>
            <w:pPr>
              <w:spacing w:after="0"/>
              <w:rPr>
                <w:sz w:val="18"/>
                <w:szCs w:val="18"/>
                <w:color w:val="auto"/>
              </w:rPr>
            </w:pPr>
          </w:p>
        </w:tc>
        <w:tc>
          <w:tcPr>
            <w:tcW w:w="3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British Telecommunications PLC</w:t>
            </w:r>
          </w:p>
        </w:tc>
      </w:tr>
      <w:tr>
        <w:trPr>
          <w:trHeight w:val="229"/>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Christus Health</w:t>
            </w:r>
          </w:p>
        </w:tc>
        <w:tc>
          <w:tcPr>
            <w:tcW w:w="38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Make a Wish Foundation</w:t>
            </w:r>
          </w:p>
        </w:tc>
        <w:tc>
          <w:tcPr>
            <w:tcW w:w="2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Cisco</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Geisinger</w:t>
            </w:r>
          </w:p>
        </w:tc>
        <w:tc>
          <w:tcPr>
            <w:tcW w:w="38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McGraw Hill</w:t>
            </w:r>
          </w:p>
        </w:tc>
        <w:tc>
          <w:tcPr>
            <w:tcW w:w="2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LogMeIn</w:t>
            </w:r>
          </w:p>
        </w:tc>
      </w:tr>
      <w:tr>
        <w:trPr>
          <w:trHeight w:val="229"/>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Modernizing Medicine</w:t>
            </w:r>
          </w:p>
        </w:tc>
        <w:tc>
          <w:tcPr>
            <w:tcW w:w="38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Stanford University School of</w:t>
            </w:r>
          </w:p>
        </w:tc>
        <w:tc>
          <w:tcPr>
            <w:tcW w:w="2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Lumen Technologies</w:t>
            </w:r>
          </w:p>
        </w:tc>
      </w:tr>
      <w:tr>
        <w:trPr>
          <w:trHeight w:val="229"/>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Parexel</w:t>
            </w:r>
          </w:p>
        </w:tc>
        <w:tc>
          <w:tcPr>
            <w:tcW w:w="38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Medicine</w:t>
            </w:r>
          </w:p>
        </w:tc>
        <w:tc>
          <w:tcPr>
            <w:tcW w:w="220" w:type="dxa"/>
            <w:vAlign w:val="bottom"/>
          </w:tcPr>
          <w:p>
            <w:pPr>
              <w:spacing w:after="0"/>
              <w:rPr>
                <w:sz w:val="19"/>
                <w:szCs w:val="19"/>
                <w:color w:val="auto"/>
              </w:rPr>
            </w:pPr>
          </w:p>
        </w:tc>
        <w:tc>
          <w:tcPr>
            <w:tcW w:w="3560" w:type="dxa"/>
            <w:vAlign w:val="bottom"/>
          </w:tcPr>
          <w:p>
            <w:pPr>
              <w:spacing w:after="0"/>
              <w:rPr>
                <w:sz w:val="19"/>
                <w:szCs w:val="19"/>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Quest Diagnostics</w:t>
            </w:r>
          </w:p>
        </w:tc>
        <w:tc>
          <w:tcPr>
            <w:tcW w:w="38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University of Miami</w:t>
            </w:r>
          </w:p>
        </w:tc>
        <w:tc>
          <w:tcPr>
            <w:tcW w:w="220" w:type="dxa"/>
            <w:vAlign w:val="bottom"/>
          </w:tcPr>
          <w:p>
            <w:pPr>
              <w:spacing w:after="0"/>
              <w:rPr>
                <w:sz w:val="18"/>
                <w:szCs w:val="18"/>
                <w:color w:val="auto"/>
              </w:rPr>
            </w:pPr>
          </w:p>
        </w:tc>
        <w:tc>
          <w:tcPr>
            <w:tcW w:w="3560" w:type="dxa"/>
            <w:vAlign w:val="bottom"/>
          </w:tcPr>
          <w:p>
            <w:pPr>
              <w:spacing w:after="0"/>
              <w:rPr>
                <w:sz w:val="18"/>
                <w:szCs w:val="18"/>
                <w:color w:val="auto"/>
              </w:rPr>
            </w:pPr>
          </w:p>
        </w:tc>
      </w:tr>
      <w:tr>
        <w:trPr>
          <w:trHeight w:val="23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Syneos Health</w:t>
            </w:r>
          </w:p>
        </w:tc>
        <w:tc>
          <w:tcPr>
            <w:tcW w:w="38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University of Virginia</w:t>
            </w:r>
          </w:p>
        </w:tc>
        <w:tc>
          <w:tcPr>
            <w:tcW w:w="220" w:type="dxa"/>
            <w:vAlign w:val="bottom"/>
          </w:tcPr>
          <w:p>
            <w:pPr>
              <w:spacing w:after="0"/>
              <w:rPr>
                <w:sz w:val="19"/>
                <w:szCs w:val="19"/>
                <w:color w:val="auto"/>
              </w:rPr>
            </w:pPr>
          </w:p>
        </w:tc>
        <w:tc>
          <w:tcPr>
            <w:tcW w:w="3560" w:type="dxa"/>
            <w:vAlign w:val="bottom"/>
          </w:tcPr>
          <w:p>
            <w:pPr>
              <w:spacing w:after="0"/>
              <w:rPr>
                <w:sz w:val="19"/>
                <w:szCs w:val="19"/>
                <w:color w:val="auto"/>
              </w:rPr>
            </w:pPr>
          </w:p>
        </w:tc>
      </w:tr>
      <w:tr>
        <w:trPr>
          <w:trHeight w:val="23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Team Health</w:t>
            </w:r>
          </w:p>
        </w:tc>
        <w:tc>
          <w:tcPr>
            <w:tcW w:w="20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560" w:type="dxa"/>
            <w:vAlign w:val="bottom"/>
          </w:tcPr>
          <w:p>
            <w:pPr>
              <w:spacing w:after="0"/>
              <w:rPr>
                <w:sz w:val="19"/>
                <w:szCs w:val="19"/>
                <w:color w:val="auto"/>
              </w:rPr>
            </w:pP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Thermo Fisher</w:t>
            </w:r>
          </w:p>
        </w:tc>
        <w:tc>
          <w:tcPr>
            <w:tcW w:w="20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60" w:type="dxa"/>
            <w:vAlign w:val="bottom"/>
          </w:tcPr>
          <w:p>
            <w:pPr>
              <w:spacing w:after="0"/>
              <w:rPr>
                <w:sz w:val="20"/>
                <w:szCs w:val="20"/>
                <w:color w:val="auto"/>
              </w:rPr>
            </w:pPr>
          </w:p>
        </w:tc>
      </w:tr>
      <w:tr>
        <w:trPr>
          <w:trHeight w:val="621"/>
        </w:trPr>
        <w:tc>
          <w:tcPr>
            <w:tcW w:w="3620" w:type="dxa"/>
            <w:vAlign w:val="bottom"/>
          </w:tcPr>
          <w:p>
            <w:pPr>
              <w:spacing w:after="0"/>
              <w:rPr>
                <w:sz w:val="24"/>
                <w:szCs w:val="24"/>
                <w:color w:val="auto"/>
              </w:rPr>
            </w:pPr>
          </w:p>
        </w:tc>
        <w:tc>
          <w:tcPr>
            <w:tcW w:w="3840" w:type="dxa"/>
            <w:vAlign w:val="bottom"/>
            <w:gridSpan w:val="2"/>
          </w:tcPr>
          <w:p>
            <w:pPr>
              <w:jc w:val="right"/>
              <w:ind w:right="1650"/>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61"/>
        </w:trPr>
        <w:tc>
          <w:tcPr>
            <w:tcW w:w="36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6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56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1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43" w:lineRule="exact"/>
        <w:rPr>
          <w:sz w:val="20"/>
          <w:szCs w:val="20"/>
          <w:color w:val="auto"/>
        </w:rPr>
      </w:pPr>
    </w:p>
    <w:p>
      <w:pPr>
        <w:jc w:val="both"/>
        <w:ind w:firstLine="441"/>
        <w:spacing w:after="0" w:line="270" w:lineRule="auto"/>
        <w:rPr>
          <w:sz w:val="20"/>
          <w:szCs w:val="20"/>
          <w:color w:val="auto"/>
        </w:rPr>
      </w:pPr>
      <w:r>
        <w:rPr>
          <w:rFonts w:ascii="Times New Roman" w:cs="Times New Roman" w:eastAsia="Times New Roman" w:hAnsi="Times New Roman"/>
          <w:sz w:val="18"/>
          <w:szCs w:val="18"/>
          <w:color w:val="auto"/>
        </w:rPr>
        <w:t>Our sales and marketing teams work together closely to drive awareness and adoption of our platform, accelerate customer acquisition and increase revenue from customers. While we sell to organizations of all sizes across a broad range of industries, our key focus is on larger enterprises that tend to invest more heavily in software application deployment. These organizations have larger workforces and customer bases and therefore a greater need for our Digital Adoption Platform. We plan to continue to invest in our direct sales force to grow our larger enterprise customer base, both in the U.S. and internationally.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w:t>
      </w:r>
    </w:p>
    <w:p>
      <w:pPr>
        <w:spacing w:after="0" w:line="243"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To support our sales team in reaching potential customers, our integrated marketing programs are architected to address the specific needs of our diverse market segments. They create qualified sales opportunities, highlight WalkMe’s position as the market pioneer and leader and educate and raise awareness of our Digital Adoption Platform. In addition, we have tailored customer marketing initiatives focusing on driving expansion within existing accounts and virality among Digital Adoption Platform professionals and advocates.</w:t>
      </w:r>
    </w:p>
    <w:p>
      <w:pPr>
        <w:spacing w:after="0" w:line="199"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Our marketing department ensures thought leadership and market education for our Digital Adoption Platform. It promotes activity around our growing WalkMe Beyond ecosystem as well as Realize, our customer and user conference.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2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go-to-market model involves a combination of direct sales and partner-assisted sales.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 Sales:</w:t>
      </w:r>
    </w:p>
    <w:p>
      <w:pPr>
        <w:spacing w:after="0" w:line="241" w:lineRule="exact"/>
        <w:rPr>
          <w:sz w:val="20"/>
          <w:szCs w:val="20"/>
          <w:color w:val="auto"/>
        </w:rPr>
      </w:pPr>
    </w:p>
    <w:p>
      <w:pPr>
        <w:jc w:val="both"/>
        <w:ind w:firstLine="441"/>
        <w:spacing w:after="0" w:line="281" w:lineRule="auto"/>
        <w:rPr>
          <w:sz w:val="20"/>
          <w:szCs w:val="20"/>
          <w:color w:val="auto"/>
        </w:rPr>
      </w:pPr>
      <w:r>
        <w:rPr>
          <w:rFonts w:ascii="Times New Roman" w:cs="Times New Roman" w:eastAsia="Times New Roman" w:hAnsi="Times New Roman"/>
          <w:sz w:val="18"/>
          <w:szCs w:val="18"/>
          <w:color w:val="auto"/>
        </w:rPr>
        <w:t>We sell subscriptions to our platform primarily through our direct sales force which is largely organized by territory and customer size, measured by the number of employees. Our direct sales force is focused on landing new customers, as well as expanding within them as they adopt WalkMe for additional use cases and applications. We typically onboard a new customer with solutions targeting:</w:t>
      </w:r>
    </w:p>
    <w:p>
      <w:pPr>
        <w:spacing w:after="0" w:line="177" w:lineRule="exact"/>
        <w:rPr>
          <w:sz w:val="20"/>
          <w:szCs w:val="20"/>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application or department, after which our sales force focuses on expanding into other applications or departments, or</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enterprise-wide deployment where WalkMe is used across departments, applications and use cases.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78" w:name="page79"/>
    <w:bookmarkEnd w:id="78"/>
    <w:p>
      <w:pPr>
        <w:ind w:left="440"/>
        <w:spacing w:after="0"/>
        <w:rPr>
          <w:sz w:val="20"/>
          <w:szCs w:val="20"/>
          <w:color w:val="auto"/>
        </w:rPr>
      </w:pPr>
      <w:r>
        <w:rPr>
          <w:rFonts w:ascii="Times New Roman" w:cs="Times New Roman" w:eastAsia="Times New Roman" w:hAnsi="Times New Roman"/>
          <w:sz w:val="18"/>
          <w:szCs w:val="18"/>
          <w:color w:val="auto"/>
        </w:rPr>
        <w:t>We sell to multiple buyers within an enterprise including:</w:t>
      </w:r>
    </w:p>
    <w:p>
      <w:pPr>
        <w:spacing w:after="0" w:line="239" w:lineRule="exact"/>
        <w:rPr>
          <w:sz w:val="20"/>
          <w:szCs w:val="20"/>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CIO or VP IT who is focused on digital transformation to business efficiency, workforce agility and an overall return on software investment;</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VP of sales, whose priorities include sales productivity and forecast accuracy;</w:t>
      </w:r>
    </w:p>
    <w:p>
      <w:pPr>
        <w:spacing w:after="0" w:line="23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 of Human Resources who aims to improve the digital experience of employees, especially in a remote work environment;</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 of Product who is trying to improve revenue and customer retention across an application or platform; and</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 of Contact Center who is looking to reduce support overhead and improve productivity of support teams.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Partner-Assisted Sales:</w:t>
      </w:r>
    </w:p>
    <w:p>
      <w:pPr>
        <w:spacing w:after="0" w:line="241"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We work with strategic systems integrators such as Accenture, Deloitte, IBM and Cognizant to sell with and/or through them to their clients. We believe that Global Systems Integrators (“GSI”) are important consulting and implementation partners for WalkMe, enabling enterprises to further their digital adoption strategies and are a natural extension of our go-to-market function. We have also developed relationships with leading regional systems integrators. We also work with large independent software vendors, such as SAP, who sell joint solutions to their customers.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Support and Professional Services:</w:t>
      </w:r>
    </w:p>
    <w:p>
      <w:pPr>
        <w:spacing w:after="0" w:line="254"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Our customer success team provides customer support for each of our customers. Support begins in the customer acquisition phase and continues throughout the duration of the relationship. Customer support includes working with customers on launch and on-boarding, ongoing support, analytics and renewal. We have a dedicated professional services team. This team provides support to customers that require services, may have special operational needs or may require more custom analytics.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43" w:lineRule="exact"/>
        <w:rPr>
          <w:sz w:val="20"/>
          <w:szCs w:val="20"/>
          <w:color w:val="auto"/>
        </w:rPr>
      </w:pPr>
    </w:p>
    <w:p>
      <w:pPr>
        <w:jc w:val="both"/>
        <w:ind w:firstLine="441"/>
        <w:spacing w:after="0" w:line="274" w:lineRule="auto"/>
        <w:rPr>
          <w:sz w:val="20"/>
          <w:szCs w:val="20"/>
          <w:color w:val="auto"/>
        </w:rPr>
      </w:pPr>
      <w:r>
        <w:rPr>
          <w:rFonts w:ascii="Times New Roman" w:cs="Times New Roman" w:eastAsia="Times New Roman" w:hAnsi="Times New Roman"/>
          <w:sz w:val="18"/>
          <w:szCs w:val="18"/>
          <w:color w:val="auto"/>
        </w:rPr>
        <w:t>Our research and development organization is responsible for the design, development, testing and delivery of new technologies, features, integrations and improvements to our platform. It is also responsible for operating and scaling our platform, including the underlying public cloud infrastructure.</w:t>
      </w:r>
    </w:p>
    <w:p>
      <w:pPr>
        <w:spacing w:after="0" w:line="196"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Our research and development organization consists of teams specializing in software engineering, user experience, product management, data science, technical program management and technical writing. As of December 31, 2022, we had approximately 290 employees in our research and development organization. Our research and development employees are located primarily in our Tel Aviv offices. We intend to continue to invest in our research and development capabilities to expand our platform.</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43" w:lineRule="exact"/>
        <w:rPr>
          <w:sz w:val="20"/>
          <w:szCs w:val="20"/>
          <w:color w:val="auto"/>
        </w:rPr>
      </w:pPr>
    </w:p>
    <w:p>
      <w:pPr>
        <w:ind w:firstLine="441"/>
        <w:spacing w:after="0" w:line="297" w:lineRule="auto"/>
        <w:rPr>
          <w:sz w:val="20"/>
          <w:szCs w:val="20"/>
          <w:color w:val="auto"/>
        </w:rPr>
      </w:pPr>
      <w:r>
        <w:rPr>
          <w:rFonts w:ascii="Times New Roman" w:cs="Times New Roman" w:eastAsia="Times New Roman" w:hAnsi="Times New Roman"/>
          <w:sz w:val="18"/>
          <w:szCs w:val="18"/>
          <w:color w:val="auto"/>
        </w:rPr>
        <w:t>We have pioneered the Digital Adoption Platform market, and we do not believe that any single company currently offers a solution that effectively competes with the full functionality of our integrated platform technology solutions. Our main sources of competition fall into the following categories:</w:t>
      </w:r>
    </w:p>
    <w:p>
      <w:pPr>
        <w:spacing w:after="0" w:line="163" w:lineRule="exact"/>
        <w:rPr>
          <w:sz w:val="20"/>
          <w:szCs w:val="20"/>
          <w:color w:val="auto"/>
        </w:rPr>
      </w:pPr>
    </w:p>
    <w:p>
      <w:pPr>
        <w:ind w:left="340" w:hanging="332"/>
        <w:spacing w:after="0" w:line="297"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Non-adoption from enterprises maintaining the status quo of offline, internally developed, or non-dynamic, FAQ-centric application guidance and workflow support;</w:t>
      </w:r>
    </w:p>
    <w:p>
      <w:pPr>
        <w:spacing w:after="0" w:line="162" w:lineRule="exact"/>
        <w:rPr>
          <w:rFonts w:ascii="Times New Roman" w:cs="Times New Roman" w:eastAsia="Times New Roman" w:hAnsi="Times New Roman"/>
          <w:sz w:val="18"/>
          <w:szCs w:val="18"/>
          <w:color w:val="auto"/>
        </w:rPr>
      </w:pPr>
    </w:p>
    <w:p>
      <w:pPr>
        <w:ind w:left="340" w:hanging="332"/>
        <w:spacing w:after="0" w:line="297"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Point solutions embedded natively or as an add-on to software provided by diversified enterprise software companies such as SAP, Oracle, Microsoft, Salesforce; and</w:t>
      </w:r>
    </w:p>
    <w:p>
      <w:pPr>
        <w:spacing w:after="0" w:line="162" w:lineRule="exact"/>
        <w:rPr>
          <w:rFonts w:ascii="Times New Roman" w:cs="Times New Roman" w:eastAsia="Times New Roman" w:hAnsi="Times New Roman"/>
          <w:sz w:val="18"/>
          <w:szCs w:val="18"/>
          <w:color w:val="auto"/>
        </w:rPr>
      </w:pPr>
    </w:p>
    <w:p>
      <w:pPr>
        <w:ind w:left="340" w:hanging="332"/>
        <w:spacing w:after="0" w:line="297"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Providers of software for specific in-app guidance or analytics use cases for SaaS applications, which lack holistic platform solutions and extensibility across applications.</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believe that the principal competitive factors in our markets include the following:</w:t>
      </w:r>
    </w:p>
    <w:p>
      <w:pPr>
        <w:spacing w:after="0" w:line="239" w:lineRule="exact"/>
        <w:rPr>
          <w:sz w:val="20"/>
          <w:szCs w:val="20"/>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of applications and technology integrations supported;</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for cross-application guidance, automation and analytics;</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Expertise in third-party application implementations;</w:t>
      </w:r>
    </w:p>
    <w:p>
      <w:pPr>
        <w:spacing w:after="0" w:line="238" w:lineRule="exact"/>
        <w:rPr>
          <w:rFonts w:ascii="Times New Roman" w:cs="Times New Roman" w:eastAsia="Times New Roman" w:hAnsi="Times New Roman"/>
          <w:sz w:val="18"/>
          <w:szCs w:val="18"/>
          <w:color w:val="auto"/>
        </w:rPr>
      </w:pPr>
    </w:p>
    <w:p>
      <w:pPr>
        <w:ind w:left="340" w:hanging="332"/>
        <w:spacing w:after="0" w:line="297"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robust analytics and visualization capabilities: in addition to analytics across WalkMe usage, our Digital Experience Analytics provides usage analytics across the underlying, third-party platforms;</w:t>
      </w:r>
    </w:p>
    <w:p>
      <w:pPr>
        <w:spacing w:after="0" w:line="16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Cross-platform support for workflows including mobile native applications (iOS and Android) and desktop (Windows and macOS);</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implementation and use;</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security, scalability and reliability;</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of customer support;</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cost of ownership; and</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 and reputation.</w:t>
      </w:r>
    </w:p>
    <w:p>
      <w:pPr>
        <w:spacing w:after="0" w:line="252"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We believe that we compete favorably with respect to the factors listed above. However, some of the vendors we compete with might have greater financial, technical and other resources, greater brand recognition, larger sales forces and marketing budgets, broader distribution networks, more diverse product and services offerings and larger and more mature intellectual property portfolios. These competitors may be able to leverage these resources to gain business in a manner that discourages customers from purchasing our offerings. Furthermore, we expect that our industry will continue to attract new competitors, including smaller emerging companies, which could introduce new offerings or alternative solutions to the problems we address. We may also expand into new markets and encounter additional competitors in such markets.</w:t>
      </w:r>
    </w:p>
    <w:p>
      <w:pPr>
        <w:spacing w:after="0" w:line="190" w:lineRule="exact"/>
        <w:rPr>
          <w:sz w:val="20"/>
          <w:szCs w:val="20"/>
          <w:color w:val="auto"/>
        </w:rPr>
      </w:pPr>
    </w:p>
    <w:p>
      <w:pPr>
        <w:jc w:val="both"/>
        <w:ind w:right="20" w:firstLine="441"/>
        <w:spacing w:after="0" w:line="297" w:lineRule="auto"/>
        <w:rPr>
          <w:sz w:val="20"/>
          <w:szCs w:val="20"/>
          <w:color w:val="auto"/>
        </w:rPr>
      </w:pPr>
      <w:r>
        <w:rPr>
          <w:rFonts w:ascii="Times New Roman" w:cs="Times New Roman" w:eastAsia="Times New Roman" w:hAnsi="Times New Roman"/>
          <w:sz w:val="18"/>
          <w:szCs w:val="18"/>
          <w:color w:val="auto"/>
        </w:rPr>
        <w:t>For geographical and segmental revenue, see Note 12, reporting segments and geographical information included within our consolidated financial statements elsewhere in this Annual Report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43" w:lineRule="exact"/>
        <w:rPr>
          <w:sz w:val="20"/>
          <w:szCs w:val="20"/>
          <w:color w:val="auto"/>
        </w:rPr>
      </w:pPr>
    </w:p>
    <w:p>
      <w:pPr>
        <w:jc w:val="both"/>
        <w:ind w:firstLine="441"/>
        <w:spacing w:after="0" w:line="269" w:lineRule="auto"/>
        <w:rPr>
          <w:sz w:val="20"/>
          <w:szCs w:val="20"/>
          <w:color w:val="auto"/>
        </w:rPr>
      </w:pPr>
      <w:r>
        <w:rPr>
          <w:rFonts w:ascii="Times New Roman" w:cs="Times New Roman" w:eastAsia="Times New Roman" w:hAnsi="Times New Roman"/>
          <w:sz w:val="18"/>
          <w:szCs w:val="18"/>
          <w:color w:val="auto"/>
        </w:rPr>
        <w:t>We experience relatively typical seasonality in our quarterly revenue and operating results consistent with software-as-a-service companies that sell to enterprise customers. We historically have received a higher volume of orders from new and existing customers in the fourth quarter due in part as a result of software industry procurement patterns. As a result, our sequential growth in revenue and remaining performance obligations is typically highest in the fourth quarter of each year. We expect that these seasonal patterns will become more pronounced as we execute on our strategy to target larger enterprise customers. However, as our revenue from quarter-to-quarter is dependent on various factors including external factors outside our control, it is difficult to isolate the impact of these seasonal trends on our business and there can be no assurance that these patterns will continue.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Our Intellectual Property</w:t>
      </w:r>
    </w:p>
    <w:p>
      <w:pPr>
        <w:spacing w:after="0" w:line="243" w:lineRule="exact"/>
        <w:rPr>
          <w:sz w:val="20"/>
          <w:szCs w:val="20"/>
          <w:color w:val="auto"/>
        </w:rPr>
      </w:pPr>
    </w:p>
    <w:p>
      <w:pPr>
        <w:jc w:val="both"/>
        <w:ind w:firstLine="441"/>
        <w:spacing w:after="0" w:line="274" w:lineRule="auto"/>
        <w:rPr>
          <w:sz w:val="20"/>
          <w:szCs w:val="20"/>
          <w:color w:val="auto"/>
        </w:rPr>
      </w:pPr>
      <w:r>
        <w:rPr>
          <w:rFonts w:ascii="Times New Roman" w:cs="Times New Roman" w:eastAsia="Times New Roman" w:hAnsi="Times New Roman"/>
          <w:sz w:val="18"/>
          <w:szCs w:val="18"/>
          <w:color w:val="auto"/>
        </w:rPr>
        <w:t>We consider our trademarks, trade dress, patents, copyrights, trade secrets and other intellectual property rights, including those in our know-how and the software code of our proprietary technology and products, to be, in the aggregate, material to our business. We protect our intellectual property rights by relying on federal and state statutory and common law rights, foreign laws where applicable, as well as contractual restrictions.</w:t>
      </w:r>
    </w:p>
    <w:p>
      <w:pPr>
        <w:spacing w:after="0" w:line="196" w:lineRule="exact"/>
        <w:rPr>
          <w:sz w:val="20"/>
          <w:szCs w:val="20"/>
          <w:color w:val="auto"/>
        </w:rPr>
      </w:pPr>
    </w:p>
    <w:p>
      <w:pPr>
        <w:jc w:val="both"/>
        <w:ind w:firstLine="441"/>
        <w:spacing w:after="0" w:line="274" w:lineRule="auto"/>
        <w:rPr>
          <w:sz w:val="20"/>
          <w:szCs w:val="20"/>
          <w:color w:val="auto"/>
        </w:rPr>
      </w:pPr>
      <w:r>
        <w:rPr>
          <w:rFonts w:ascii="Times New Roman" w:cs="Times New Roman" w:eastAsia="Times New Roman" w:hAnsi="Times New Roman"/>
          <w:sz w:val="18"/>
          <w:szCs w:val="18"/>
          <w:color w:val="auto"/>
        </w:rPr>
        <w:t>We seek to control access to our trade secrets and other confidential information related to our proprietary technology by entering into confidentiality agreements with our employees, consultants, vendors and business partners who have access to our confidential information, and we maintain policies and procedures designed to control access to and distribution of our confidential information.</w:t>
      </w:r>
    </w:p>
    <w:p>
      <w:pPr>
        <w:spacing w:after="0" w:line="182" w:lineRule="exact"/>
        <w:rPr>
          <w:sz w:val="20"/>
          <w:szCs w:val="20"/>
          <w:color w:val="auto"/>
        </w:rPr>
      </w:pPr>
    </w:p>
    <w:p>
      <w:pPr>
        <w:jc w:val="both"/>
        <w:ind w:firstLine="441"/>
        <w:spacing w:after="0" w:line="281" w:lineRule="auto"/>
        <w:rPr>
          <w:sz w:val="20"/>
          <w:szCs w:val="20"/>
          <w:color w:val="auto"/>
        </w:rPr>
      </w:pPr>
      <w:r>
        <w:rPr>
          <w:rFonts w:ascii="Times New Roman" w:cs="Times New Roman" w:eastAsia="Times New Roman" w:hAnsi="Times New Roman"/>
          <w:sz w:val="18"/>
          <w:szCs w:val="18"/>
          <w:color w:val="auto"/>
        </w:rPr>
        <w:t>We seek patent protection covering certain inventions originating from us and, from time to time, review opportunities to acquire patents to the extent we believe such patents may be useful or relevant to our business. As of December 31, 2022, we owned 13 issued U.S. patents, eight U.S. pending patent applications, six issued foreign patents, 17 pending foreign patent applications and two pending patent applications under The Patent Cooperation Treaty.</w:t>
      </w:r>
    </w:p>
    <w:p>
      <w:pPr>
        <w:spacing w:after="0" w:line="177"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We pursue the registration of our domain names, trademarks and service marks in the United States and in locations outside the United States. As of December 31, 2022, we owned a registered trademark for the “WALKME” mark in the United States and nine other countries; a registered trademark for the “WALKME” logo in 14 countries; and a registered trademark for the “DAP” mark in the United States. As of December 31, 2022, we also had one application for trademark registrations pending in the United States.</w:t>
      </w:r>
    </w:p>
    <w:p>
      <w:pPr>
        <w:spacing w:after="0" w:line="186" w:lineRule="exact"/>
        <w:rPr>
          <w:sz w:val="20"/>
          <w:szCs w:val="20"/>
          <w:color w:val="auto"/>
        </w:rPr>
      </w:pPr>
    </w:p>
    <w:p>
      <w:pPr>
        <w:jc w:val="both"/>
        <w:ind w:firstLine="441"/>
        <w:spacing w:after="0" w:line="274" w:lineRule="auto"/>
        <w:rPr>
          <w:sz w:val="20"/>
          <w:szCs w:val="20"/>
          <w:color w:val="auto"/>
        </w:rPr>
      </w:pPr>
      <w:r>
        <w:rPr>
          <w:rFonts w:ascii="Times New Roman" w:cs="Times New Roman" w:eastAsia="Times New Roman" w:hAnsi="Times New Roman"/>
          <w:sz w:val="18"/>
          <w:szCs w:val="18"/>
          <w:color w:val="auto"/>
        </w:rPr>
        <w:t>While most of the intellectual property underlying our technology and products is developed and owned by us, we have obtained rights to use intellectual property of third parties through licenses, services and/or other relevant agreements. Although we believe these agreements are sufficient for the operation of our business, these agreements typically limit our use of the third parties’ intellectual property to specific uses and for specific time periods.</w:t>
      </w:r>
    </w:p>
    <w:p>
      <w:pPr>
        <w:spacing w:after="0" w:line="196"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From time to time, we have faced, and we expect to face in the future, allegations by third parties, including our competitors, that we have infringed their trademarks, copyrights, patents and other intellectual property rights or challenging the validity or enforceability of our intellectual property rights. We are not presently a party to any such legal proceedings that, in the opinion of our management, would individually or taken together have a material adverse effect on our business, financial condition, results of operations or cash flows. For additional information regarding the risks discussed above and other risks related to our intellectual property, see “Risk Factors-Risks Related to Information Technology, Intellectual Property and Data Security and Privacy.”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Regulations</w:t>
      </w:r>
    </w:p>
    <w:p>
      <w:pPr>
        <w:spacing w:after="0" w:line="256"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We are subject to a variety of laws and regulations in the United States, Europe, Israel and elsewhere that involve matters central to our business. Many of these laws and regulations are still evolving and being tested in courts, and could be interpreted in ways that could harm our business. These may involve privacy, data protection and personal information, rights of publicity, content, intellectual property, advertising, marketing, distribution, data security, data retention and deletion, electronic contracts and other communications, competition, consumer protection, telecommunications, taxation, economic or other trade prohibitions or sanctions, anti-corruption law compliance, securities law compliance and online payment services, among others.</w:t>
      </w:r>
    </w:p>
    <w:p>
      <w:pPr>
        <w:spacing w:after="0" w:line="203"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In particular, we are subject to U.S. federal, state, and foreign laws regarding privacy and protection of data relating to individuals. Foreign data protection, privacy, content, competition, and other laws and regulations can impose different obligations or be more restrictive than those in the United States. U.S. federal and state and foreign laws and regulations, which in some cases can be enforced by private parties in addition to government entities, are constantly evolving and can be subject to significant change. As a result, the application, interpretation, and enforcement of these laws and regulations are often uncertain, particularly in the new and rapidly-evolving industry in which we operate, and may be interpreted and applied inconsistently from country to country and inconsistently with our current policies and practices.</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81" w:name="page82"/>
    <w:bookmarkEnd w:id="81"/>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We are also subject to the European General Data Protection Regulation (the “GDPR”). The GDPR, and national implementing legislation in EEA member states, impose a strict data protection compliance regime. Failure to comply with the GDPR could result in penalties for noncompliance (including possible fines of up to the greater of €20 million and 4% of our global annual turnover for the preceding financial year for the most serious violations, as well as the right to compensation for financial or non-financial damages claimed by individuals as well as other regulatory investigations and resulting reputational damage).</w:t>
      </w:r>
    </w:p>
    <w:p>
      <w:pPr>
        <w:spacing w:after="0" w:line="203"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In addition, following the departure of the United Kingdom as an EU Member State on January 31, 2020, we are subject to the UK General Data Protection Regulation and the UK Data Protection Act 2018 (together, the “UK GDPR”). Failure to comply with the UK DP Laws could lead to fines of up to £17.5 million or 4% of total annual revenue, whichever is greater. Compliance with the GDPR and the UK GDPR may require us to modify our data processing practices and policies and incur substantial compliance-related costs and expenses and these changes may lead to other additional costs and increase our overall risk exposure.</w:t>
      </w:r>
    </w:p>
    <w:p>
      <w:pPr>
        <w:spacing w:after="0" w:line="203"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18"/>
          <w:szCs w:val="18"/>
          <w:color w:val="auto"/>
        </w:rPr>
        <w:t>The California Consumer Privacy Act (the “CCPA”), which took effect in January 2020 and to which we are subject, also establishes certain transparency rules and creates new data privacy rights for users, including rights to access and delete their personal information and new ways to opt-out of certain sales or transfers of their personal information, and provides users with additional causes of action. Additionally, California voters approved a new data privacy law, the California Privacy Rights Act (the “CPRA”), in the November 3, 2020 election. Effective starting on January 1, 2023 (with certain obligations applicable to data processed from and after January 2022), the CPRA will significantly modify the CCPA, including by expanding consumers’ rights with respect to certain sensitive personal information. Additionally, the CPRA ends the CCPA's exemption for employee data which expands the scope of applicable data and increases the risk of noncompliance. The CPRA also creates a new state agency that will be vested with authority to implement and enforce the CCPA and the CPRA.</w:t>
      </w:r>
    </w:p>
    <w:p>
      <w:pPr>
        <w:spacing w:after="0" w:line="197" w:lineRule="exact"/>
        <w:rPr>
          <w:sz w:val="20"/>
          <w:szCs w:val="20"/>
          <w:color w:val="auto"/>
        </w:rPr>
      </w:pPr>
    </w:p>
    <w:p>
      <w:pPr>
        <w:jc w:val="both"/>
        <w:ind w:firstLine="450"/>
        <w:spacing w:after="0" w:line="264" w:lineRule="auto"/>
        <w:rPr>
          <w:sz w:val="20"/>
          <w:szCs w:val="20"/>
          <w:color w:val="auto"/>
        </w:rPr>
      </w:pPr>
      <w:r>
        <w:rPr>
          <w:rFonts w:ascii="Times New Roman" w:cs="Times New Roman" w:eastAsia="Times New Roman" w:hAnsi="Times New Roman"/>
          <w:sz w:val="18"/>
          <w:szCs w:val="18"/>
          <w:color w:val="auto"/>
        </w:rPr>
        <w:t>Virginia enacted the Virginia Consumer Data Protection Act (the “VCDPA”), which took effect on January 1, 2023. The VCDPA creates consumer rights, similar to the CCPA, but also imposes security and assessment requirements for businesses. In July 2021, Colorado enacted the Colorado Privacy Act (“COCPA”) which will take effect on July 1, 2023. In March 2022, Utah enacted the Utah Consumer Privacy Act (the "UCPA") which will take effect on December 31, 2023. Most recently, in May 2022, Connecticut enacted the Connecticut Data Privacy Act (the "CTDPA") which will take effect on July 1, 2023. The COCPA, UCPA and CTDPA largely resemble the VCDPA and CCPA, and each of these laws will be enforced by the respective states’ Attorney General and district attorneys, although they differ in many ways. Once the COCPA, UCPA and CTDPA become enforceable, we must comply with each if our operations fall within the scope of these newly enacted comprehensive mandates, which may increase our compliance costs and potential liability. Similarly, there are a number of legislative proposals in the United States, at both the federal and state level, as well as in other jurisdictions, reflecting a trend toward more stringent data privacy legislation in the United States. This legislation may add additional restrictions and potential legal risk, require additional investment in resources to compliance programs, impact strategies and availability of previously useful data and result in changes in business practices and policies.</w:t>
      </w:r>
    </w:p>
    <w:p>
      <w:pPr>
        <w:spacing w:after="0" w:line="195"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As an Israeli headquartered company, we are also subject to the Israeli Protection of Privacy Law, 5741-1981 (the “PPL”), and the regulations enacted thereunder, including the Privacy Protection Regulations (Data Security), 5777-2017 (the “Data Security Regulations”). The PPL imposes certain obligations on the owners of databases containing personal data, including a requirement to register databases with certain characteristics, an obligation to notify data subjects of the purposes for which their personal data is collected and processed and of the disclosure of such data to third parties, a requirement to respond to certain requests from data subjects to access, rectify and/or delete personal data relating to them, and an obligation to maintain the security of personal data. In addition, the Data Security Regulations, impose comprehensive data security requirements on the processing of personal data. The Protection of Privacy Regulations (Transfer of Data to Overseas Databases), 5761-2001, further impose certain conditions on cross-border transfers of personal data from databases in Israel.</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2" w:name="page83"/>
    <w:bookmarkEnd w:id="82"/>
    <w:p>
      <w:pPr>
        <w:jc w:val="both"/>
        <w:ind w:firstLine="441"/>
        <w:spacing w:after="0" w:line="274" w:lineRule="auto"/>
        <w:rPr>
          <w:sz w:val="20"/>
          <w:szCs w:val="20"/>
          <w:color w:val="auto"/>
        </w:rPr>
      </w:pPr>
      <w:r>
        <w:rPr>
          <w:rFonts w:ascii="Times New Roman" w:cs="Times New Roman" w:eastAsia="Times New Roman" w:hAnsi="Times New Roman"/>
          <w:sz w:val="18"/>
          <w:szCs w:val="18"/>
          <w:color w:val="auto"/>
        </w:rPr>
        <w:t>Certain violations of the PPL are considered a criminal and/or a civil offense and could expose the violating entity to criminal, administrative, and financial sanctions, as well as to civil actions. Additionally, the Israel Privacy Protection Authority may issue a public statement that an entity violated the PPL, and such a determination could potentially be used against such entity in civil litigation.</w:t>
      </w:r>
    </w:p>
    <w:p>
      <w:pPr>
        <w:spacing w:after="0" w:line="182" w:lineRule="exact"/>
        <w:rPr>
          <w:sz w:val="20"/>
          <w:szCs w:val="20"/>
          <w:color w:val="auto"/>
        </w:rPr>
      </w:pPr>
    </w:p>
    <w:p>
      <w:pPr>
        <w:jc w:val="both"/>
        <w:ind w:firstLine="441"/>
        <w:spacing w:after="0" w:line="281" w:lineRule="auto"/>
        <w:rPr>
          <w:sz w:val="20"/>
          <w:szCs w:val="20"/>
          <w:color w:val="auto"/>
        </w:rPr>
      </w:pPr>
      <w:r>
        <w:rPr>
          <w:rFonts w:ascii="Times New Roman" w:cs="Times New Roman" w:eastAsia="Times New Roman" w:hAnsi="Times New Roman"/>
          <w:sz w:val="18"/>
          <w:szCs w:val="18"/>
          <w:color w:val="auto"/>
        </w:rPr>
        <w:t>In July 2020, the Israeli Ministry of Justice indicated that it intends to promote amendments to the PPL designed, among other things, to accommodate the PPL to the digital era, enhance the Israel Privacy Protection Authority’s investigative and enforcement powers (including powers to impose fines) and to expand data subjects’ rights.</w:t>
      </w:r>
    </w:p>
    <w:p>
      <w:pPr>
        <w:spacing w:after="0" w:line="177"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Some countries are also considering or have passed legislation implementing data protection requirements or requiring local storage and processing of data or similar requirements that could increase the cost and complexity of delivering our services. For information regarding risks related to these compliance requirements, please see “Risk Factors-Risks Related to Information Technology, Intellectual Property and Data Security and Privacy-We are subject to stringent and changing laws, regulations, standards, and contractual obligations related to data privacy, data protection, and data security. Our actual or perceived failure to comply with such obligations could result in significant liability or reputational harm to our business.” The foregoing description does not include an exhaustive list of the laws and regulations governing or impacting our business. See the discussion contained in the “Risk Factors-Risks Related to Other Legal, Regulatory and Tax Matters” section of this Annual Report for information regarding how actions by regulatory authorities or changes in legislation and regulation in the jurisdictions in which we operate may have a material adverse effect on our business.</w:t>
      </w:r>
    </w:p>
    <w:p>
      <w:pPr>
        <w:spacing w:after="0" w:line="18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Organizational Structure</w:t>
      </w:r>
    </w:p>
    <w:p>
      <w:pPr>
        <w:spacing w:after="0" w:line="2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legal name of our Company is WalkMe Ltd. and we are organized under the laws of the State of Israel.</w:t>
      </w:r>
    </w:p>
    <w:p>
      <w:pPr>
        <w:spacing w:after="0" w:line="252"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sets forth all of our subsidiaries, which are 100% owned directly by WalkMe Ltd., except for WalkMe K.K. which is majority owned by WalkMe Ltd.: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2380" w:type="dxa"/>
            <w:vAlign w:val="bottom"/>
          </w:tcPr>
          <w:p>
            <w:pPr>
              <w:spacing w:after="0"/>
              <w:rPr>
                <w:sz w:val="17"/>
                <w:szCs w:val="17"/>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Place of Incorporation</w:t>
            </w:r>
          </w:p>
        </w:tc>
      </w:tr>
      <w:tr>
        <w:trPr>
          <w:trHeight w:val="250"/>
        </w:trPr>
        <w:tc>
          <w:tcPr>
            <w:tcW w:w="1520" w:type="dxa"/>
            <w:vAlign w:val="bottom"/>
            <w:tcBorders>
              <w:top w:val="single" w:sz="8" w:color="auto"/>
            </w:tcBorders>
          </w:tcPr>
          <w:p>
            <w:pPr>
              <w:spacing w:after="0"/>
              <w:rPr>
                <w:sz w:val="21"/>
                <w:szCs w:val="21"/>
                <w:color w:val="auto"/>
              </w:rPr>
            </w:pPr>
          </w:p>
        </w:tc>
        <w:tc>
          <w:tcPr>
            <w:tcW w:w="230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720" w:type="dxa"/>
            <w:vAlign w:val="bottom"/>
            <w:tcBorders>
              <w:top w:val="single" w:sz="8" w:color="auto"/>
            </w:tcBorders>
          </w:tcPr>
          <w:p>
            <w:pPr>
              <w:spacing w:after="0"/>
              <w:rPr>
                <w:sz w:val="21"/>
                <w:szCs w:val="21"/>
                <w:color w:val="auto"/>
              </w:rPr>
            </w:pPr>
          </w:p>
        </w:tc>
        <w:tc>
          <w:tcPr>
            <w:tcW w:w="3320" w:type="dxa"/>
            <w:vAlign w:val="bottom"/>
          </w:tcPr>
          <w:p>
            <w:pPr>
              <w:spacing w:after="0"/>
              <w:rPr>
                <w:sz w:val="21"/>
                <w:szCs w:val="21"/>
                <w:color w:val="auto"/>
              </w:rPr>
            </w:pPr>
          </w:p>
        </w:tc>
      </w:tr>
      <w:tr>
        <w:trPr>
          <w:trHeight w:val="234"/>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WalkMe, Inc.</w:t>
            </w:r>
          </w:p>
        </w:tc>
        <w:tc>
          <w:tcPr>
            <w:tcW w:w="2380" w:type="dxa"/>
            <w:vAlign w:val="bottom"/>
            <w:shd w:val="clear" w:color="auto" w:fill="CCEEFF"/>
          </w:tcPr>
          <w:p>
            <w:pPr>
              <w:spacing w:after="0"/>
              <w:rPr>
                <w:sz w:val="20"/>
                <w:szCs w:val="20"/>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1"/>
        </w:trPr>
        <w:tc>
          <w:tcPr>
            <w:tcW w:w="15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r>
      <w:tr>
        <w:trPr>
          <w:trHeight w:val="234"/>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WalkMe UK Limited</w:t>
            </w:r>
          </w:p>
        </w:tc>
        <w:tc>
          <w:tcPr>
            <w:tcW w:w="2380" w:type="dxa"/>
            <w:vAlign w:val="bottom"/>
          </w:tcPr>
          <w:p>
            <w:pPr>
              <w:spacing w:after="0"/>
              <w:rPr>
                <w:sz w:val="20"/>
                <w:szCs w:val="20"/>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1"/>
        </w:trPr>
        <w:tc>
          <w:tcPr>
            <w:tcW w:w="15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234"/>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WalkMe Australia PTY Ltd.</w:t>
            </w:r>
          </w:p>
        </w:tc>
        <w:tc>
          <w:tcPr>
            <w:tcW w:w="2380" w:type="dxa"/>
            <w:vAlign w:val="bottom"/>
            <w:shd w:val="clear" w:color="auto" w:fill="CCEEFF"/>
          </w:tcPr>
          <w:p>
            <w:pPr>
              <w:spacing w:after="0"/>
              <w:rPr>
                <w:sz w:val="20"/>
                <w:szCs w:val="20"/>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Australia</w:t>
            </w:r>
          </w:p>
        </w:tc>
      </w:tr>
      <w:tr>
        <w:trPr>
          <w:trHeight w:val="211"/>
        </w:trPr>
        <w:tc>
          <w:tcPr>
            <w:tcW w:w="15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r>
      <w:tr>
        <w:trPr>
          <w:trHeight w:val="234"/>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WalkMe Singapore PTE Ltd.</w:t>
            </w:r>
          </w:p>
        </w:tc>
        <w:tc>
          <w:tcPr>
            <w:tcW w:w="2380" w:type="dxa"/>
            <w:vAlign w:val="bottom"/>
          </w:tcPr>
          <w:p>
            <w:pPr>
              <w:spacing w:after="0"/>
              <w:rPr>
                <w:sz w:val="20"/>
                <w:szCs w:val="20"/>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211"/>
        </w:trPr>
        <w:tc>
          <w:tcPr>
            <w:tcW w:w="15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234"/>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WalkMe K.K.</w:t>
            </w:r>
          </w:p>
        </w:tc>
        <w:tc>
          <w:tcPr>
            <w:tcW w:w="2380" w:type="dxa"/>
            <w:vAlign w:val="bottom"/>
            <w:shd w:val="clear" w:color="auto" w:fill="CCEEFF"/>
          </w:tcPr>
          <w:p>
            <w:pPr>
              <w:spacing w:after="0"/>
              <w:rPr>
                <w:sz w:val="20"/>
                <w:szCs w:val="20"/>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11"/>
        </w:trPr>
        <w:tc>
          <w:tcPr>
            <w:tcW w:w="15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r>
      <w:tr>
        <w:trPr>
          <w:trHeight w:val="234"/>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WalkMe Canada Ltd.</w:t>
            </w:r>
          </w:p>
        </w:tc>
        <w:tc>
          <w:tcPr>
            <w:tcW w:w="2380" w:type="dxa"/>
            <w:vAlign w:val="bottom"/>
          </w:tcPr>
          <w:p>
            <w:pPr>
              <w:spacing w:after="0"/>
              <w:rPr>
                <w:sz w:val="20"/>
                <w:szCs w:val="20"/>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Canada</w:t>
            </w:r>
          </w:p>
        </w:tc>
      </w:tr>
      <w:tr>
        <w:trPr>
          <w:trHeight w:val="211"/>
        </w:trPr>
        <w:tc>
          <w:tcPr>
            <w:tcW w:w="15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234"/>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WalkMe Germany GmbH</w:t>
            </w:r>
          </w:p>
        </w:tc>
        <w:tc>
          <w:tcPr>
            <w:tcW w:w="2380" w:type="dxa"/>
            <w:vAlign w:val="bottom"/>
            <w:shd w:val="clear" w:color="auto" w:fill="CCEEFF"/>
          </w:tcPr>
          <w:p>
            <w:pPr>
              <w:spacing w:after="0"/>
              <w:rPr>
                <w:sz w:val="20"/>
                <w:szCs w:val="20"/>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1"/>
        </w:trPr>
        <w:tc>
          <w:tcPr>
            <w:tcW w:w="15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r>
      <w:tr>
        <w:trPr>
          <w:trHeight w:val="621"/>
        </w:trPr>
        <w:tc>
          <w:tcPr>
            <w:tcW w:w="15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3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68</w:t>
            </w:r>
          </w:p>
        </w:tc>
        <w:tc>
          <w:tcPr>
            <w:tcW w:w="172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61"/>
        </w:trPr>
        <w:tc>
          <w:tcPr>
            <w:tcW w:w="1520" w:type="dxa"/>
            <w:vAlign w:val="bottom"/>
            <w:tcBorders>
              <w:bottom w:val="single" w:sz="8" w:color="auto"/>
            </w:tcBorders>
          </w:tcPr>
          <w:p>
            <w:pPr>
              <w:spacing w:after="0"/>
              <w:rPr>
                <w:sz w:val="5"/>
                <w:szCs w:val="5"/>
                <w:color w:val="auto"/>
              </w:rPr>
            </w:pPr>
          </w:p>
        </w:tc>
        <w:tc>
          <w:tcPr>
            <w:tcW w:w="2300" w:type="dxa"/>
            <w:vAlign w:val="bottom"/>
            <w:tcBorders>
              <w:bottom w:val="single" w:sz="8" w:color="auto"/>
            </w:tcBorders>
          </w:tcPr>
          <w:p>
            <w:pPr>
              <w:spacing w:after="0"/>
              <w:rPr>
                <w:sz w:val="5"/>
                <w:szCs w:val="5"/>
                <w:color w:val="auto"/>
              </w:rPr>
            </w:pPr>
          </w:p>
        </w:tc>
        <w:tc>
          <w:tcPr>
            <w:tcW w:w="238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332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351" w:right="339" w:bottom="1440" w:gutter="0" w:footer="0" w:header="0"/>
        </w:sectPr>
      </w:pPr>
    </w:p>
    <w:bookmarkStart w:id="83" w:name="page84"/>
    <w:bookmarkEnd w:id="83"/>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Property, Plants and Equipment</w:t>
      </w:r>
    </w:p>
    <w:p>
      <w:pPr>
        <w:spacing w:after="0" w:line="243" w:lineRule="exact"/>
        <w:rPr>
          <w:sz w:val="20"/>
          <w:szCs w:val="20"/>
          <w:color w:val="auto"/>
        </w:rPr>
      </w:pPr>
    </w:p>
    <w:p>
      <w:pPr>
        <w:jc w:val="both"/>
        <w:ind w:firstLine="441"/>
        <w:spacing w:after="0" w:line="281" w:lineRule="auto"/>
        <w:rPr>
          <w:sz w:val="20"/>
          <w:szCs w:val="20"/>
          <w:color w:val="auto"/>
        </w:rPr>
      </w:pPr>
      <w:r>
        <w:rPr>
          <w:rFonts w:ascii="Times New Roman" w:cs="Times New Roman" w:eastAsia="Times New Roman" w:hAnsi="Times New Roman"/>
          <w:sz w:val="18"/>
          <w:szCs w:val="18"/>
          <w:color w:val="auto"/>
        </w:rPr>
        <w:t>Our corporate headquarters are located in Tel-Aviv, Israel, where we occupy an office space totaling approximately 40,000 square feet, under a lease agreement, which initial lease term expires in February 2026. Our U.S. headquarters is located in San Francisco, where we occupy an office space totaling approximately 40,000 square feet, subject to a lease agreement, which initial lease term expires in July 2024.</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also lease office space in Raleigh, North Carolina, as well as in London, Paris, Tokyo, Sydney and Singapore.</w:t>
      </w:r>
    </w:p>
    <w:p>
      <w:pPr>
        <w:spacing w:after="0" w:line="239" w:lineRule="exact"/>
        <w:rPr>
          <w:sz w:val="20"/>
          <w:szCs w:val="20"/>
          <w:color w:val="auto"/>
        </w:rPr>
      </w:pPr>
    </w:p>
    <w:p>
      <w:pPr>
        <w:jc w:val="both"/>
        <w:ind w:right="20" w:firstLine="441"/>
        <w:spacing w:after="0" w:line="297" w:lineRule="auto"/>
        <w:rPr>
          <w:sz w:val="20"/>
          <w:szCs w:val="20"/>
          <w:color w:val="auto"/>
        </w:rPr>
      </w:pPr>
      <w:r>
        <w:rPr>
          <w:rFonts w:ascii="Times New Roman" w:cs="Times New Roman" w:eastAsia="Times New Roman" w:hAnsi="Times New Roman"/>
          <w:sz w:val="18"/>
          <w:szCs w:val="18"/>
          <w:color w:val="auto"/>
        </w:rPr>
        <w:t>We believe that these facilities are sufficient to meet our current needs and that suitable additional space will be available as needed to accommodate any foreseeable expansion of our operations. We lease all of our facilities and do not own any real property.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4A. Unresolved Staff Comments</w:t>
      </w:r>
    </w:p>
    <w:p>
      <w:pPr>
        <w:spacing w:after="0" w:line="2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Operating and Financial Review and Prospects</w:t>
      </w:r>
    </w:p>
    <w:p>
      <w:pPr>
        <w:spacing w:after="0" w:line="241" w:lineRule="exact"/>
        <w:rPr>
          <w:sz w:val="20"/>
          <w:szCs w:val="20"/>
          <w:color w:val="auto"/>
        </w:rPr>
      </w:pPr>
    </w:p>
    <w:p>
      <w:pPr>
        <w:ind w:right="60" w:firstLine="441"/>
        <w:spacing w:after="0" w:line="26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together with the consolidated financial statements and related notes included elsewhere in this Annual Report. The statements contained in this discussion regarding industry outlook, our expectations regarding our future performance, planned investments in our expansion into additional geographies, research and development, sales and marketing and general and administrative functions as well as other non-historical statements contained in this discussion are forward-looking statements. These forward-looking statements are subject to numerous risks and uncertainties, including, but not limited to, the risks and uncertainties described in Item 3.D. entitled “Risk factors” and “Special note regarding forward-looking statements” included elsewhere in this Annual Report. Our actual results may differ materially from those contained in or implied by any forward-looking statements.</w:t>
      </w:r>
    </w:p>
    <w:p>
      <w:pPr>
        <w:spacing w:after="0" w:line="192" w:lineRule="exact"/>
        <w:rPr>
          <w:sz w:val="20"/>
          <w:szCs w:val="20"/>
          <w:color w:val="auto"/>
        </w:rPr>
      </w:pPr>
    </w:p>
    <w:p>
      <w:pPr>
        <w:jc w:val="both"/>
        <w:ind w:firstLine="441"/>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Certain information called for by this Item 5, including a discussion of the year ended December 31, 2020 compared to the year ended December 31, 2021 has been reported previously in </w:t>
      </w:r>
      <w:hyperlink r:id="rId91">
        <w:r>
          <w:rPr>
            <w:rFonts w:ascii="Times New Roman" w:cs="Times New Roman" w:eastAsia="Times New Roman" w:hAnsi="Times New Roman"/>
            <w:sz w:val="18"/>
            <w:szCs w:val="18"/>
            <w:u w:val="single" w:color="auto"/>
            <w:color w:val="0000EE"/>
          </w:rPr>
          <w:t>our Annual Report on Form 20-F filed with the SEC on March 24,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in Part I, Item 5 under the section entitled “Operating and Financial Review and Prospects.”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43" w:lineRule="exact"/>
        <w:rPr>
          <w:sz w:val="20"/>
          <w:szCs w:val="20"/>
          <w:color w:val="auto"/>
        </w:rPr>
      </w:pPr>
    </w:p>
    <w:p>
      <w:pPr>
        <w:jc w:val="both"/>
        <w:ind w:firstLine="441"/>
        <w:spacing w:after="0" w:line="269" w:lineRule="auto"/>
        <w:rPr>
          <w:sz w:val="20"/>
          <w:szCs w:val="20"/>
          <w:color w:val="auto"/>
        </w:rPr>
      </w:pPr>
      <w:r>
        <w:rPr>
          <w:rFonts w:ascii="Times New Roman" w:cs="Times New Roman" w:eastAsia="Times New Roman" w:hAnsi="Times New Roman"/>
          <w:sz w:val="18"/>
          <w:szCs w:val="18"/>
          <w:color w:val="auto"/>
        </w:rPr>
        <w:t>WalkMe was founded in Israel in 2011 with a mission to make software easier to use and deploy. From this foundation, we built our Digital Adoption Platform, along the way creating an entire new category of enterprise software. WalkMe is a platform which enables organizations to better realize the value of their software investments. Once overlaid, our platform provides immediate insights that enable a data-first approach to understand the gaps between user interactions and behavior with technology and an organization’s business goals. With actionable insights, we then enable organizations to create and deliver elegant experiences that enable users to access the full functionality and value of the software, ensuring digital adoption, and ultimately fulfilling the promise of digital transformation.</w:t>
      </w:r>
    </w:p>
    <w:p>
      <w:pPr>
        <w:spacing w:after="0" w:line="188"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2021 and 2022, our revenue was $193.3 million and $245.0 million, respectively, representing year-over-year growth of 27%. For the years ended December 31, 2021 and 2022, our net loss was $80.3 million and $108.3 million, respectively, our operating cash flow was ($34.2) million and ($46.8) million, respectively, and our free cash flow was ($40.8) million and ($53.9) million, respectively. With the residual impact of the COVID-19 pandemic and global economic uncertainty due in part to rising inflation and interest rates, we expect our revenue growth to continue to moderate in the short term while we focus on increasing our operating efficiency with our goal to increase free cash flow and, ultimately, achieve profitability.</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Our Business Model</w:t>
      </w:r>
    </w:p>
    <w:p>
      <w:pPr>
        <w:spacing w:after="0" w:line="243"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We generate revenue by selling subscriptions to our cloud-based Digital Adoption Platform, as well as associated professional services. Our contracts are typically for a period of one to three years. We have seen a trend towards multi-year contracts as our customers deepen their investment in WalkMe as a strategic platform underlying their digital transformation strategies. We primarily bill our customers annually in advance. Subscription revenue comprised approximately 91% and 90% of our total revenue for 2021 and 2022, respectively.</w:t>
      </w:r>
    </w:p>
    <w:p>
      <w:pPr>
        <w:spacing w:after="0" w:line="186" w:lineRule="exact"/>
        <w:rPr>
          <w:sz w:val="20"/>
          <w:szCs w:val="20"/>
          <w:color w:val="auto"/>
        </w:rPr>
      </w:pPr>
    </w:p>
    <w:p>
      <w:pPr>
        <w:jc w:val="both"/>
        <w:ind w:firstLine="441"/>
        <w:spacing w:after="0" w:line="269" w:lineRule="auto"/>
        <w:rPr>
          <w:sz w:val="20"/>
          <w:szCs w:val="20"/>
          <w:color w:val="auto"/>
        </w:rPr>
      </w:pPr>
      <w:r>
        <w:rPr>
          <w:rFonts w:ascii="Times New Roman" w:cs="Times New Roman" w:eastAsia="Times New Roman" w:hAnsi="Times New Roman"/>
          <w:sz w:val="18"/>
          <w:szCs w:val="18"/>
          <w:color w:val="auto"/>
        </w:rPr>
        <w:t>We price our subscriptions based on the number of applications on which WalkMe is deployed, the number of users, and the breadth of the capabilities of our Digital Adoption Platform to which our customers choose to subscribe. Our Digital Adoption Platform is designed to help companies accelerate their digital transformation by streamlining processes, enhancing user experiences, and improving employee productivity. Our customers often expand their subscriptions as they grow the number of users that engage with our Digital Adoption Platform, the number of applications on which WalkMe is deployed and the breadth of the capabilities to which they subscribe. When customers move to an enterprise-wide model, our pricing changes to a price per user for unlimited applications.</w:t>
      </w:r>
    </w:p>
    <w:p>
      <w:pPr>
        <w:spacing w:after="0" w:line="188" w:lineRule="exact"/>
        <w:rPr>
          <w:sz w:val="20"/>
          <w:szCs w:val="20"/>
          <w:color w:val="auto"/>
        </w:rPr>
      </w:pPr>
    </w:p>
    <w:p>
      <w:pPr>
        <w:jc w:val="both"/>
        <w:ind w:firstLine="441"/>
        <w:spacing w:after="0" w:line="263" w:lineRule="auto"/>
        <w:rPr>
          <w:sz w:val="20"/>
          <w:szCs w:val="20"/>
          <w:color w:val="auto"/>
        </w:rPr>
      </w:pPr>
      <w:r>
        <w:rPr>
          <w:rFonts w:ascii="Times New Roman" w:cs="Times New Roman" w:eastAsia="Times New Roman" w:hAnsi="Times New Roman"/>
          <w:sz w:val="18"/>
          <w:szCs w:val="18"/>
          <w:color w:val="auto"/>
        </w:rPr>
        <w:t>We have a diverse customer base consisting of organizations of various sizes across all major industries, and our largest customer accounted for less than 2.6% and 3.1% of our ARR in the years ended December 31, 2021 and 2022, respectively. Our go-to-market strategy is increasingly focused on enterprise customers within the Global 2000, as those customers have larger employee and customer bases, many with a greater need to transform digitally and a significant opportunity to benefit from the deployment of our Digital Adoption Platform as many of them have a need to accelerate their digital transformations. As of December 31, 2022, our customers included 403 of the Global 2000, illustrating the applicability of our Digital Adoption Platform for some of the world’s largest and most sophisticated enterprises, as well as our potential for future growth. In addition, as of December 31, 2022, we had 514 customers with ARR greater than $100,000, increasing from 454 as of December 31, 2021. These customers represented 82% of our ARR as of December 31, 2022, increasing from 77% as of December 31, 2021. As of December 31, 2022, we had 39 customers with ARR greater than $1,000,000, an increase from 31 customers as of December 31, 2021, which represents 32% and 27% of our total ARR, respectively. Furthermore, of our 403 Global 2000 customers, 239 had ARR greater than $100,000 and 26 had ARR of $1,000,000 or more as of December 31, 2022. Our revenue from customers outside of the United States represented approximately 30% and 29% of our total revenue in the years ended December 31, 2021 and 2022, respectively.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243" w:lineRule="exact"/>
        <w:rPr>
          <w:sz w:val="20"/>
          <w:szCs w:val="20"/>
          <w:color w:val="auto"/>
        </w:rPr>
      </w:pPr>
    </w:p>
    <w:p>
      <w:pPr>
        <w:jc w:val="both"/>
        <w:ind w:firstLine="441"/>
        <w:spacing w:after="0" w:line="274" w:lineRule="auto"/>
        <w:rPr>
          <w:sz w:val="20"/>
          <w:szCs w:val="20"/>
          <w:color w:val="auto"/>
        </w:rPr>
      </w:pPr>
      <w:r>
        <w:rPr>
          <w:rFonts w:ascii="Times New Roman" w:cs="Times New Roman" w:eastAsia="Times New Roman" w:hAnsi="Times New Roman"/>
          <w:sz w:val="18"/>
          <w:szCs w:val="18"/>
          <w:color w:val="auto"/>
        </w:rPr>
        <w:t>We believe that the growth and future success of our business depends on many factors. While each of these factors presents significant opportunities for our business, they also pose important challenges that we must successfully address in order to sustain our growth and improve our results of operations.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Acquisition and Expansion</w:t>
      </w:r>
    </w:p>
    <w:p>
      <w:pPr>
        <w:spacing w:after="0" w:line="243" w:lineRule="exact"/>
        <w:rPr>
          <w:sz w:val="20"/>
          <w:szCs w:val="20"/>
          <w:color w:val="auto"/>
        </w:rPr>
      </w:pPr>
    </w:p>
    <w:p>
      <w:pPr>
        <w:jc w:val="both"/>
        <w:ind w:firstLine="441"/>
        <w:spacing w:after="0" w:line="270" w:lineRule="auto"/>
        <w:rPr>
          <w:sz w:val="20"/>
          <w:szCs w:val="20"/>
          <w:color w:val="auto"/>
        </w:rPr>
      </w:pPr>
      <w:r>
        <w:rPr>
          <w:rFonts w:ascii="Times New Roman" w:cs="Times New Roman" w:eastAsia="Times New Roman" w:hAnsi="Times New Roman"/>
          <w:sz w:val="18"/>
          <w:szCs w:val="18"/>
          <w:color w:val="auto"/>
        </w:rPr>
        <w:t>We are focused on continuing to acquire new customers and expanding our footprint within our current customers to support our long-term growth. We have increasingly optimized our customer acquisition efforts to target customers with greater than 500 employees that we believe can yield greater expansion opportunities over time as compared to less than 500 employee customer accounts. As of December 31, 2021 and December 31, 2022, we had 1,994 and 1,806 total customers, respectively. Also, as of December 31, 2021 and December 31, 2022, we had 1,208 and 1,244 customers with 500 or more employees, respectively.</w:t>
      </w:r>
    </w:p>
    <w:p>
      <w:pPr>
        <w:spacing w:after="0" w:line="186"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We define a customer as a distinct entity with an active subscription contract as of the measurement date. For new customers, we typically land in a specific geography or departmental use case such as HRIS, ERP or CRM. We then aim to grow within that customer’s organization by expanding across other departments, use cases and geographies. For some customers, we offer enterprise-wide subscriptions that enable them to use our Digital Adoption Platform on any application and across any department or geography within their organization. We believe enterprise-wide subscription agreements such as this encourage our customers to consume more of our platform and ultimately can result in greater long-term value to us. We intend to continue to invest in our go-to-market strategy to acquire new customers, expand within current customer and develop new use cases across all industries and customer sizes. Our results will depend in part on the degree to which these efforts are successful.</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85" w:name="page86"/>
    <w:bookmarkEnd w:id="85"/>
    <w:p>
      <w:pPr>
        <w:jc w:val="both"/>
        <w:ind w:firstLine="441"/>
        <w:spacing w:after="0" w:line="264" w:lineRule="auto"/>
        <w:rPr>
          <w:sz w:val="20"/>
          <w:szCs w:val="20"/>
          <w:color w:val="auto"/>
        </w:rPr>
      </w:pPr>
      <w:r>
        <w:rPr>
          <w:rFonts w:ascii="Times New Roman" w:cs="Times New Roman" w:eastAsia="Times New Roman" w:hAnsi="Times New Roman"/>
          <w:sz w:val="18"/>
          <w:szCs w:val="18"/>
          <w:color w:val="auto"/>
        </w:rPr>
        <w:t>We also intend to focus on expansion with our current customer base. We demonstrate this by sharing the increase of ARR for each cohort by year. For example, the 2018 cohort includes all customers that made their first purchase from us between January 1, 2018 and December 31, 2018. Our ARR from customers for the 2015 cohort, 2016 cohort, 2017 cohort, 2018 cohort, 2019 cohort, 2020 cohort, and 2021 cohort as of December 31, 2022 represented an increase over each cohort’s initial aggregate ARR by 3.2x, 1.3x, 1.9x, 1.6x, 1.4x, 1.1x, and 1.1x respectively. Our ARR from customers with 500 or more employees for the 2015 cohort, 2016 cohort, 2017 cohort, 2018 cohort, 2019 cohort, 2020 cohort, and 2021 cohort as of December 31, 2022 represented an increase over each cohort’s initial aggregate ARR by 6.5x, 2.5x, 3.4x, 2.3x, 2.0x, 1.4x, and 1.1x respectively. These ARR multiples reflect both decreases in customer contract values and customer cancellations that have occurred since the comparative ARR calculation date. We track ARR within each customer cohort because we believe it provides useful information to management and investors regarding our ability to retain and expand ARR from our existing customers over time, and for identifying trends in customer use cycles and gauging the success of our customer expansion efforts over the long-term, which assists us in planning for and managing the growth of our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Focused Investing for Durable Growth</w:t>
      </w:r>
    </w:p>
    <w:p>
      <w:pPr>
        <w:spacing w:after="0" w:line="243"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Our focused investments for growth encompass multiple critical areas, including international growth, enterprise sales, increasing our ability to sell to the U.S. federal government and product expansion. We also intend to selectively expand our sales and go-to-market efforts in existing markets and broaden our partner ecosystem. We also plan to invest in marketing to drive awareness of the category of digital adoption. We also plan to continue our investment into research and development to extend our technology leadership, product functionality and grow the emerging Digital Adoption category. We expect to balance these investments with a focus on increased operating efficiency as we drive to increase our free cash flow and, ultimately, achieve profitability in the long term.</w:t>
      </w:r>
    </w:p>
    <w:p>
      <w:pPr>
        <w:spacing w:after="0" w:line="203" w:lineRule="exact"/>
        <w:rPr>
          <w:sz w:val="20"/>
          <w:szCs w:val="20"/>
          <w:color w:val="auto"/>
        </w:rPr>
      </w:pPr>
    </w:p>
    <w:p>
      <w:pPr>
        <w:jc w:val="both"/>
        <w:ind w:right="20" w:firstLine="441"/>
        <w:spacing w:after="0" w:line="274" w:lineRule="auto"/>
        <w:rPr>
          <w:sz w:val="20"/>
          <w:szCs w:val="20"/>
          <w:color w:val="auto"/>
        </w:rPr>
      </w:pPr>
      <w:r>
        <w:rPr>
          <w:rFonts w:ascii="Times New Roman" w:cs="Times New Roman" w:eastAsia="Times New Roman" w:hAnsi="Times New Roman"/>
          <w:sz w:val="18"/>
          <w:szCs w:val="18"/>
          <w:color w:val="auto"/>
        </w:rPr>
        <w:t>We continue to evolve our technology to ensure that we are best serving our customers’ needs. We believe this will lead to continued expansion within our current customers’ organizations and increase sales to new customers. We continue to invest in research and development to drive product innovation and development.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Ecosystem Expansion</w:t>
      </w:r>
    </w:p>
    <w:p>
      <w:pPr>
        <w:spacing w:after="0" w:line="256"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In February 2021, we launched WalkMe Beyond, our solution ecosystem which includes components such as Digital Adoption Platform professionals, a marketplace and community, product and technology integrations, open API, and a training institute. We have strong partnerships with strategic systems integrators such as Accenture, Cognizant, Deloitte, IBM and PwC, among others. We expect our partnerships to extend our sales reach and provide implementation leverage both in the United States and internationally. We intend to continue to invest in our partnership expansion and integration development efforts to build a healthy ecosystem that will contribute to the long-term growth and sustainability of our business.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COVID-19 and Recent Economic Developments</w:t>
      </w:r>
    </w:p>
    <w:p>
      <w:pPr>
        <w:spacing w:after="0" w:line="243" w:lineRule="exact"/>
        <w:rPr>
          <w:sz w:val="20"/>
          <w:szCs w:val="20"/>
          <w:color w:val="auto"/>
        </w:rPr>
      </w:pPr>
    </w:p>
    <w:p>
      <w:pPr>
        <w:jc w:val="both"/>
        <w:ind w:firstLine="441"/>
        <w:spacing w:after="0" w:line="274" w:lineRule="auto"/>
        <w:rPr>
          <w:sz w:val="20"/>
          <w:szCs w:val="20"/>
          <w:color w:val="auto"/>
        </w:rPr>
      </w:pPr>
      <w:r>
        <w:rPr>
          <w:rFonts w:ascii="Times New Roman" w:cs="Times New Roman" w:eastAsia="Times New Roman" w:hAnsi="Times New Roman"/>
          <w:sz w:val="18"/>
          <w:szCs w:val="18"/>
          <w:color w:val="auto"/>
        </w:rPr>
        <w:t>The COVID-19 pandemic continued to present challenges to our operations and business in 2022, primarily, operational challenges, but to a lesser extent than in 2021. Due to the worldwide growing trend in availability and administration of vaccines against COVID-19, many restrictions that were in place during 2020 and 2021 were gradually lifted by governments across the globe in 2022.</w:t>
      </w:r>
    </w:p>
    <w:p>
      <w:pPr>
        <w:spacing w:after="0" w:line="196"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As the global economy has emerged from the COVID-19 pandemic, rising inflation has led to rapidly rising interest rates which is increasing the cost of capital, slowing economic growth and creating uncertainty amongst our customer base including our potential customers. The closure of SVB and related impacts is contributing to the uncertainty in the market regarding macroeconomic conditions. For additional information regarding the potential impact of recent economic developments on our business, see “Risk Factors—Unfavorable conditions in our industry or the global economy or reductions in information technology spending could limit our ability to grow our business and negatively affect our results of operations.”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Key Business and Financial Metrics</w:t>
      </w:r>
    </w:p>
    <w:p>
      <w:pPr>
        <w:spacing w:after="0" w:line="243" w:lineRule="exact"/>
        <w:rPr>
          <w:sz w:val="20"/>
          <w:szCs w:val="20"/>
          <w:color w:val="auto"/>
        </w:rPr>
      </w:pPr>
    </w:p>
    <w:p>
      <w:pPr>
        <w:jc w:val="both"/>
        <w:ind w:firstLine="441"/>
        <w:spacing w:after="0" w:line="297" w:lineRule="auto"/>
        <w:rPr>
          <w:sz w:val="20"/>
          <w:szCs w:val="20"/>
          <w:color w:val="auto"/>
        </w:rPr>
      </w:pPr>
      <w:r>
        <w:rPr>
          <w:rFonts w:ascii="Times New Roman" w:cs="Times New Roman" w:eastAsia="Times New Roman" w:hAnsi="Times New Roman"/>
          <w:sz w:val="18"/>
          <w:szCs w:val="18"/>
          <w:color w:val="auto"/>
        </w:rPr>
        <w:t>We review a number of operating and financial metrics, including the following key metrics, to evaluate our business, measure our performance, identify trends affecting our business, formulate business plans, and make strategic decisions.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Annualized Recurring Revenue (“ARR”)</w:t>
      </w:r>
    </w:p>
    <w:p>
      <w:pPr>
        <w:spacing w:after="0" w:line="243" w:lineRule="exact"/>
        <w:rPr>
          <w:sz w:val="20"/>
          <w:szCs w:val="20"/>
          <w:color w:val="auto"/>
        </w:rPr>
      </w:pPr>
    </w:p>
    <w:p>
      <w:pPr>
        <w:jc w:val="both"/>
        <w:ind w:firstLine="441"/>
        <w:spacing w:after="0" w:line="264" w:lineRule="auto"/>
        <w:rPr>
          <w:sz w:val="20"/>
          <w:szCs w:val="20"/>
          <w:color w:val="auto"/>
        </w:rPr>
      </w:pPr>
      <w:r>
        <w:rPr>
          <w:rFonts w:ascii="Times New Roman" w:cs="Times New Roman" w:eastAsia="Times New Roman" w:hAnsi="Times New Roman"/>
          <w:sz w:val="18"/>
          <w:szCs w:val="18"/>
          <w:color w:val="auto"/>
        </w:rPr>
        <w:t>We use ARR as a measure of our revenue trend and as an indicator of our future revenue opportunity from existing customer contracts. We define ARR as the annualized value of customer subscription contracts as of the measurement date, assuming any contract that expires during the next 12 months is renewed on its existing terms (including contracts for which we are negotiating a renewal). Our calculation of ARR is not adjusted for the impact of any known or projected future events (such as customer cancellations, upgrades or downgrades, or price increases or decreases) that may cause any such contract not to be renewed on its existing terms. In addition, the amount of actual revenue that we recognize over any 12-month period is likely to differ from ARR at the beginning of that period, sometimes significantly. This may occur due to new bookings, cancellations, upgrades, downgrades or other changes in pending renewals, as well as the effects of professional services revenue and acquisitions or divestitures. As a result, ARR should be viewed independently of, and not as a substitute for or forecast of, revenue and deferred revenue. Our calculation of ARR may differ from similarly titled metrics presented by other companies. As of December 31, 2022, customers having 500 or more employees represented 94% of our total ARR compared to 92% of our total ARR as of December 31, 2021.</w:t>
      </w:r>
    </w:p>
    <w:p>
      <w:pPr>
        <w:spacing w:after="0" w:line="190"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14605</wp:posOffset>
            </wp:positionV>
            <wp:extent cx="156019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7" w:lineRule="exact"/>
        <w:rPr>
          <w:sz w:val="20"/>
          <w:szCs w:val="20"/>
          <w:color w:val="auto"/>
        </w:rPr>
      </w:pPr>
    </w:p>
    <w:p>
      <w:pPr>
        <w:ind w:left="9060"/>
        <w:spacing w:after="0"/>
        <w:tabs>
          <w:tab w:leader="none" w:pos="10380" w:val="left"/>
        </w:tabs>
        <w:rPr>
          <w:sz w:val="20"/>
          <w:szCs w:val="20"/>
          <w:color w:val="auto"/>
        </w:rPr>
      </w:pPr>
      <w:r>
        <w:rPr>
          <w:rFonts w:ascii="Times New Roman" w:cs="Times New Roman" w:eastAsia="Times New Roman" w:hAnsi="Times New Roman"/>
          <w:sz w:val="18"/>
          <w:szCs w:val="18"/>
          <w:b w:val="1"/>
          <w:bCs w:val="1"/>
          <w:color w:val="auto"/>
        </w:rPr>
        <w:t>2021</w:t>
      </w:r>
      <w:r>
        <w:rPr>
          <w:sz w:val="20"/>
          <w:szCs w:val="20"/>
          <w:color w:val="auto"/>
        </w:rPr>
        <w:tab/>
      </w:r>
      <w:r>
        <w:rPr>
          <w:rFonts w:ascii="Times New Roman" w:cs="Times New Roman" w:eastAsia="Times New Roman" w:hAnsi="Times New Roman"/>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28575</wp:posOffset>
            </wp:positionV>
            <wp:extent cx="156019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34" w:lineRule="exact"/>
        <w:rPr>
          <w:sz w:val="20"/>
          <w:szCs w:val="20"/>
          <w:color w:val="auto"/>
        </w:rPr>
      </w:pPr>
    </w:p>
    <w:p>
      <w:pPr>
        <w:spacing w:after="0"/>
        <w:tabs>
          <w:tab w:leader="none" w:pos="8660" w:val="left"/>
          <w:tab w:leader="none" w:pos="9380" w:val="left"/>
          <w:tab w:leader="none" w:pos="10000" w:val="left"/>
          <w:tab w:leader="none" w:pos="10700" w:val="left"/>
        </w:tabs>
        <w:rPr>
          <w:sz w:val="20"/>
          <w:szCs w:val="20"/>
          <w:color w:val="auto"/>
        </w:rPr>
      </w:pPr>
      <w:r>
        <w:rPr>
          <w:rFonts w:ascii="Times New Roman" w:cs="Times New Roman" w:eastAsia="Times New Roman" w:hAnsi="Times New Roman"/>
          <w:sz w:val="18"/>
          <w:szCs w:val="18"/>
          <w:color w:val="auto"/>
        </w:rPr>
        <w:t>Annualized Recurring Revenue (millions)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219.6</w:t>
        <w:tab/>
        <w:t>$</w:t>
      </w:r>
      <w:r>
        <w:rPr>
          <w:sz w:val="20"/>
          <w:szCs w:val="20"/>
          <w:color w:val="auto"/>
        </w:rPr>
        <w:tab/>
      </w:r>
      <w:r>
        <w:rPr>
          <w:rFonts w:ascii="Times New Roman" w:cs="Times New Roman" w:eastAsia="Times New Roman" w:hAnsi="Times New Roman"/>
          <w:sz w:val="18"/>
          <w:szCs w:val="18"/>
          <w:color w:val="auto"/>
        </w:rPr>
        <w:t>262.3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Customers with ARR Greater than $100,000</w:t>
      </w:r>
    </w:p>
    <w:p>
      <w:pPr>
        <w:spacing w:after="0" w:line="243" w:lineRule="exact"/>
        <w:rPr>
          <w:sz w:val="20"/>
          <w:szCs w:val="20"/>
          <w:color w:val="auto"/>
        </w:rPr>
      </w:pPr>
    </w:p>
    <w:p>
      <w:pPr>
        <w:jc w:val="both"/>
        <w:ind w:firstLine="441"/>
        <w:spacing w:after="0" w:line="281" w:lineRule="auto"/>
        <w:rPr>
          <w:sz w:val="20"/>
          <w:szCs w:val="20"/>
          <w:color w:val="auto"/>
        </w:rPr>
      </w:pPr>
      <w:r>
        <w:rPr>
          <w:rFonts w:ascii="Times New Roman" w:cs="Times New Roman" w:eastAsia="Times New Roman" w:hAnsi="Times New Roman"/>
          <w:sz w:val="18"/>
          <w:szCs w:val="18"/>
          <w:color w:val="auto"/>
        </w:rPr>
        <w:t>We measure the number of customers with ARR greater than $100,000 (“$100,000+ Customers”). We believe our ability to increase these customers is an indicator of our market penetration, strategic demand for our Digital Adoption Platform, the growth of our business, and our potential future business opportunities. Our calculation of this metric may differ from similarly titled metrics presented by other companies.</w:t>
      </w:r>
    </w:p>
    <w:p>
      <w:pPr>
        <w:spacing w:after="0" w:line="17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$100,000+ Customers</w:t>
            </w: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shd w:val="clear" w:color="auto" w:fill="CCEEFF"/>
          </w:tcPr>
          <w:p>
            <w:pPr>
              <w:spacing w:after="0"/>
              <w:rPr>
                <w:sz w:val="19"/>
                <w:szCs w:val="19"/>
                <w:color w:val="auto"/>
              </w:rPr>
            </w:pPr>
          </w:p>
        </w:tc>
      </w:tr>
    </w:tbl>
    <w:p>
      <w:pPr>
        <w:spacing w:after="0" w:line="211"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We also measure the number of customers within our $100,000+ Customers who have purchased enterprise-wide subscriptions or who have department-wide usage of our Digital Adoption Platform across four or more applications. We believe these customers are an indication of the success of our customer acquisition and expansion strategy and demonstrate the strategic demand for our Digital Adoption Platform, the growth of our business and our potential future business opportunities. Our calculation of this metric may differ from similarly titled metrics presented by other companies. As of December 31, 2021 and 2022, we had 126 and 173, respectively, of these customers. As of December 31, 2022, these customers represented 50% of our ARR, compared to 37% of our ARR as of December 31, 2021. Additionally, as of December 31, 2022, these customers had an average ARR of $758 thousand, compared to $637 thousand as of December 31, 2021.</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i w:val="1"/>
          <w:iCs w:val="1"/>
          <w:color w:val="auto"/>
        </w:rPr>
        <w:t>Dollar-Based Net Retention Rate</w:t>
      </w:r>
    </w:p>
    <w:p>
      <w:pPr>
        <w:spacing w:after="0" w:line="243"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We use our Dollar-Based Net Retention Rate to measure our ability to retain and expand ARR from our existing customers on a trailing four-quarter basis. Our Dollar-Based Net Retention Rate compares the ARR from the same set of subscription customers across comparable periods. In each of the trailing four quarters, the set of customers identified from 12 months prior is compared to those same customers’ subscription ARR in the respective quarter. ARR in the trailing four quarters includes customer renewals, expansion, contraction and churn. The calculation of our Dollar-Based Net Retention Rate in a particular quarter is obtained by averaging the result from that particular quarter with the corresponding results from each of the prior three quarters. Our calculation of Dollar-Based Net Retention Rate may differ from similarly titled metrics presented by other companies.</w:t>
      </w:r>
    </w:p>
    <w:p>
      <w:pPr>
        <w:spacing w:after="0" w:line="199"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1"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60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2"/>
                <w:szCs w:val="22"/>
                <w:color w:val="auto"/>
              </w:rPr>
            </w:pPr>
          </w:p>
        </w:tc>
      </w:tr>
      <w:tr>
        <w:trPr>
          <w:trHeight w:val="229"/>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Dollar-Based Net Retention Rate (all customers)</w:t>
            </w:r>
          </w:p>
        </w:tc>
        <w:tc>
          <w:tcPr>
            <w:tcW w:w="7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w:t>
            </w:r>
          </w:p>
        </w:tc>
      </w:tr>
      <w:tr>
        <w:trPr>
          <w:trHeight w:val="234"/>
        </w:trPr>
        <w:tc>
          <w:tcPr>
            <w:tcW w:w="9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Dollar Based Net Retention Rate (customers having 500 or more employees)</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56"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Our Remaining Performance Obligations represents future revenue from committed contracts that has not been recognized. This calculation includes deferred revenue and non-cancelable amounts that will be invoiced and recognized as revenue in future periods. Subscription contracts with termination for convenience and without any penalty are excluded. We expect to recognize 58% of our Remaining Performance Obligations as of December 31, 2022 as revenue over the next twelve months, and the remainder thereafter, in each case, in accordance with our revenue recognition policy; however, we cannot guarantee that any portion of our Remaining Performance Obligations will be recognized as revenue within the timeframe we expect or at all.</w:t>
      </w:r>
    </w:p>
    <w:p>
      <w:pPr>
        <w:spacing w:after="0" w:line="185"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14605</wp:posOffset>
            </wp:positionV>
            <wp:extent cx="156019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7" w:lineRule="exact"/>
        <w:rPr>
          <w:sz w:val="20"/>
          <w:szCs w:val="20"/>
          <w:color w:val="auto"/>
        </w:rPr>
      </w:pPr>
    </w:p>
    <w:p>
      <w:pPr>
        <w:ind w:left="9060"/>
        <w:spacing w:after="0"/>
        <w:tabs>
          <w:tab w:leader="none" w:pos="10380" w:val="left"/>
        </w:tabs>
        <w:rPr>
          <w:sz w:val="20"/>
          <w:szCs w:val="20"/>
          <w:color w:val="auto"/>
        </w:rPr>
      </w:pPr>
      <w:r>
        <w:rPr>
          <w:rFonts w:ascii="Times New Roman" w:cs="Times New Roman" w:eastAsia="Times New Roman" w:hAnsi="Times New Roman"/>
          <w:sz w:val="18"/>
          <w:szCs w:val="18"/>
          <w:b w:val="1"/>
          <w:bCs w:val="1"/>
          <w:color w:val="auto"/>
        </w:rPr>
        <w:t>2021</w:t>
      </w:r>
      <w:r>
        <w:rPr>
          <w:sz w:val="20"/>
          <w:szCs w:val="20"/>
          <w:color w:val="auto"/>
        </w:rPr>
        <w:tab/>
      </w:r>
      <w:r>
        <w:rPr>
          <w:rFonts w:ascii="Times New Roman" w:cs="Times New Roman" w:eastAsia="Times New Roman" w:hAnsi="Times New Roman"/>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28575</wp:posOffset>
            </wp:positionV>
            <wp:extent cx="156019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34" w:lineRule="exact"/>
        <w:rPr>
          <w:sz w:val="20"/>
          <w:szCs w:val="20"/>
          <w:color w:val="auto"/>
        </w:rPr>
      </w:pPr>
    </w:p>
    <w:p>
      <w:pPr>
        <w:spacing w:after="0"/>
        <w:tabs>
          <w:tab w:leader="none" w:pos="8660" w:val="left"/>
          <w:tab w:leader="none" w:pos="9380" w:val="left"/>
          <w:tab w:leader="none" w:pos="10000" w:val="left"/>
          <w:tab w:leader="none" w:pos="10700" w:val="left"/>
        </w:tabs>
        <w:rPr>
          <w:sz w:val="20"/>
          <w:szCs w:val="20"/>
          <w:color w:val="auto"/>
        </w:rPr>
      </w:pPr>
      <w:r>
        <w:rPr>
          <w:rFonts w:ascii="Times New Roman" w:cs="Times New Roman" w:eastAsia="Times New Roman" w:hAnsi="Times New Roman"/>
          <w:sz w:val="18"/>
          <w:szCs w:val="18"/>
          <w:color w:val="auto"/>
        </w:rPr>
        <w:t>Remaining Performance Obligations (millions)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316.2</w:t>
        <w:tab/>
        <w:t>$</w:t>
      </w:r>
      <w:r>
        <w:rPr>
          <w:sz w:val="20"/>
          <w:szCs w:val="20"/>
          <w:color w:val="auto"/>
        </w:rPr>
        <w:tab/>
      </w:r>
      <w:r>
        <w:rPr>
          <w:rFonts w:ascii="Times New Roman" w:cs="Times New Roman" w:eastAsia="Times New Roman" w:hAnsi="Times New Roman"/>
          <w:sz w:val="18"/>
          <w:szCs w:val="18"/>
          <w:color w:val="auto"/>
        </w:rPr>
        <w:t>374.0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454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43"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In addition to our financial results reported in accordance with GAAP, we believe that Free Cash Flow and Non-GAAP Operating Income (Loss), both of which are non-GAAP financial measures, are useful in evaluating the performance of our business. See tables below for a discussion regarding our use of Free Cash Flow and Non-GAAP Operating Income (Loss), including their limitations, and a reconciliation to the most directly comparable GAAP financial measures.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243"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We define Free Cash Flow as net cash used in operating activities, less cash used for purchases of property and equipment and capitalized internal-use software development costs. We believe that Free Cash Flow is a useful indicator of liquidity that provides information to management and investors, even if negative, about the amount of cash used in our business. Free Cash Flow has limitations as an analytical tool, may differ from similarly titled metrics presented by other companies, and should not be considered in isolation or as a substitute for analysis of net cash used in operating activities, the most directly comparable GAAP liquidity measure, or any other GAAP financial measures. Our Free Cash Flow may vary from period to period and be impacted as we continue to invest for growth in our business. The following table sets forth our net cash used in operating activities and the reconciliation to Free Cash Flow for each period presented (in millions).</w:t>
      </w:r>
    </w:p>
    <w:p>
      <w:pPr>
        <w:spacing w:after="0" w:line="186"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14605</wp:posOffset>
            </wp:positionV>
            <wp:extent cx="157734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7" w:lineRule="exact"/>
        <w:rPr>
          <w:sz w:val="20"/>
          <w:szCs w:val="20"/>
          <w:color w:val="auto"/>
        </w:rPr>
      </w:pPr>
    </w:p>
    <w:p>
      <w:pPr>
        <w:ind w:left="8960"/>
        <w:spacing w:after="0"/>
        <w:tabs>
          <w:tab w:leader="none" w:pos="10320" w:val="left"/>
        </w:tabs>
        <w:rPr>
          <w:sz w:val="20"/>
          <w:szCs w:val="20"/>
          <w:color w:val="auto"/>
        </w:rPr>
      </w:pPr>
      <w:r>
        <w:rPr>
          <w:rFonts w:ascii="Times New Roman" w:cs="Times New Roman" w:eastAsia="Times New Roman" w:hAnsi="Times New Roman"/>
          <w:sz w:val="18"/>
          <w:szCs w:val="18"/>
          <w:b w:val="1"/>
          <w:bCs w:val="1"/>
          <w:color w:val="auto"/>
        </w:rPr>
        <w:t>2021</w:t>
      </w:r>
      <w:r>
        <w:rPr>
          <w:sz w:val="20"/>
          <w:szCs w:val="20"/>
          <w:color w:val="auto"/>
        </w:rPr>
        <w:tab/>
      </w:r>
      <w:r>
        <w:rPr>
          <w:rFonts w:ascii="Times New Roman" w:cs="Times New Roman" w:eastAsia="Times New Roman" w:hAnsi="Times New Roman"/>
          <w:sz w:val="18"/>
          <w:szCs w:val="18"/>
          <w:b w:val="1"/>
          <w:bCs w:val="1"/>
          <w:color w:val="auto"/>
        </w:rPr>
        <w:t>2022</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86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(34.2)</w:t>
            </w: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(46.8)</w:t>
            </w:r>
          </w:p>
        </w:tc>
      </w:tr>
      <w:tr>
        <w:trPr>
          <w:trHeight w:val="230"/>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Less: Purchases of property and equipment</w:t>
            </w:r>
          </w:p>
        </w:tc>
        <w:tc>
          <w:tcPr>
            <w:tcW w:w="4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4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Capitalized software development costs</w:t>
            </w:r>
          </w:p>
        </w:tc>
        <w:tc>
          <w:tcPr>
            <w:tcW w:w="4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w:t>
            </w:r>
          </w:p>
        </w:tc>
        <w:tc>
          <w:tcPr>
            <w:tcW w:w="4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(40.8)*</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(53.9)*</w:t>
            </w:r>
          </w:p>
        </w:tc>
      </w:tr>
    </w:tbl>
    <w:p>
      <w:pPr>
        <w:spacing w:after="0" w:line="206" w:lineRule="exact"/>
        <w:rPr>
          <w:sz w:val="20"/>
          <w:szCs w:val="20"/>
          <w:color w:val="auto"/>
        </w:rPr>
      </w:pPr>
    </w:p>
    <w:p>
      <w:pPr>
        <w:ind w:right="440" w:firstLine="8"/>
        <w:spacing w:after="0" w:line="297" w:lineRule="auto"/>
        <w:tabs>
          <w:tab w:leader="none" w:pos="1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rounding, numbers presented in the above table may not add up precisely to the totals provided and percentages may not precisely reflect the absolute figures.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Operating Income (Loss)</w:t>
      </w:r>
    </w:p>
    <w:p>
      <w:pPr>
        <w:spacing w:after="0" w:line="243" w:lineRule="exact"/>
        <w:rPr>
          <w:sz w:val="20"/>
          <w:szCs w:val="20"/>
          <w:color w:val="auto"/>
        </w:rPr>
      </w:pPr>
    </w:p>
    <w:p>
      <w:pPr>
        <w:jc w:val="both"/>
        <w:ind w:firstLine="441"/>
        <w:spacing w:after="0" w:line="264" w:lineRule="auto"/>
        <w:rPr>
          <w:sz w:val="20"/>
          <w:szCs w:val="20"/>
          <w:color w:val="auto"/>
        </w:rPr>
      </w:pPr>
      <w:r>
        <w:rPr>
          <w:rFonts w:ascii="Times New Roman" w:cs="Times New Roman" w:eastAsia="Times New Roman" w:hAnsi="Times New Roman"/>
          <w:sz w:val="18"/>
          <w:szCs w:val="18"/>
          <w:color w:val="auto"/>
        </w:rPr>
        <w:t>We define Non-GAAP Operating Income (Loss) as net income (loss) from operations excluding share-based compensation and amortization and impairment of acquired intangible assets. We exclude these items because they occur for reasons that may be unrelated to our core operating performance during the period, and because we believe that such items may obscure underlying business trends and make comparisons of long-term performance difficult. We use Non-GAAP Operating Income (Loss) with traditional GAAP measures to evaluate our financial performance. We believe that Non-GAAP Operating Income (Loss) provides our management and investors with useful supplementary information by facilitating period-to-period comparisons of our results of operations. Non-GAAP Operating Income (Loss) has limitations as an analytical tool, may differ from similarly titled metrics presented by other companies, and should not be considered in isolation or as a substitute for analysis of operating loss, the most directly comparable GAAP financial performance measure, or any other GAAP financial measures. The following table sets forth our operating loss, as determined in accordance with GAAP, and the reconciliation to Non-GAAP Operating Loss for each period presented (in millions).</w:t>
      </w:r>
    </w:p>
    <w:p>
      <w:pPr>
        <w:spacing w:after="0" w:line="201" w:lineRule="exact"/>
        <w:rPr>
          <w:sz w:val="20"/>
          <w:szCs w:val="20"/>
          <w:color w:val="auto"/>
        </w:rPr>
      </w:pPr>
    </w:p>
    <w:p>
      <w:pPr>
        <w:jc w:val="center"/>
        <w:ind w:left="824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left="82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480" w:type="dxa"/>
            <w:vAlign w:val="bottom"/>
          </w:tcPr>
          <w:p>
            <w:pPr>
              <w:spacing w:after="0"/>
              <w:rPr>
                <w:sz w:val="22"/>
                <w:szCs w:val="2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38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2"/>
                <w:szCs w:val="22"/>
                <w:color w:val="auto"/>
              </w:rPr>
            </w:pPr>
          </w:p>
        </w:tc>
      </w:tr>
      <w:tr>
        <w:trPr>
          <w:trHeight w:val="230"/>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operating loss</w:t>
            </w: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(77.8)</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(109.8)</w:t>
            </w:r>
          </w:p>
        </w:tc>
      </w:tr>
      <w:tr>
        <w:trPr>
          <w:trHeight w:val="230"/>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Plus: Share-based compensation expense</w:t>
            </w:r>
          </w:p>
        </w:tc>
        <w:tc>
          <w:tcPr>
            <w:tcW w:w="740" w:type="dxa"/>
            <w:vAlign w:val="bottom"/>
          </w:tcPr>
          <w:p>
            <w:pPr>
              <w:spacing w:after="0"/>
              <w:rPr>
                <w:sz w:val="19"/>
                <w:szCs w:val="19"/>
                <w:color w:val="auto"/>
              </w:rPr>
            </w:pP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27.3</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50.1</w:t>
            </w:r>
          </w:p>
        </w:tc>
      </w:tr>
      <w:tr>
        <w:trPr>
          <w:trHeight w:val="230"/>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Amortization and impairment of acquired intangibles</w:t>
            </w:r>
          </w:p>
        </w:tc>
        <w:tc>
          <w:tcPr>
            <w:tcW w:w="7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Non-GAAP operating loss</w:t>
            </w:r>
          </w:p>
        </w:tc>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5"/>
              </w:rPr>
              <w:t>(50.2)*</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(58.3)*</w:t>
            </w:r>
          </w:p>
        </w:tc>
      </w:tr>
      <w:tr>
        <w:trPr>
          <w:trHeight w:val="230"/>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operating margin</w:t>
            </w:r>
          </w:p>
        </w:tc>
        <w:tc>
          <w:tcPr>
            <w:tcW w:w="7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4"/>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Non-GAAP operating margin</w:t>
            </w:r>
          </w:p>
        </w:tc>
        <w:tc>
          <w:tcPr>
            <w:tcW w:w="74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r>
    </w:tbl>
    <w:p>
      <w:pPr>
        <w:spacing w:after="0" w:line="193" w:lineRule="exact"/>
        <w:rPr>
          <w:sz w:val="20"/>
          <w:szCs w:val="20"/>
          <w:color w:val="auto"/>
        </w:rPr>
      </w:pPr>
    </w:p>
    <w:p>
      <w:pPr>
        <w:ind w:firstLine="8"/>
        <w:spacing w:after="0" w:line="297" w:lineRule="auto"/>
        <w:tabs>
          <w:tab w:leader="none" w:pos="15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rounding, numbers presented in the above table may not add up precisely to the totals provided and percentages may not precisely reflect the absolute figures.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 Revenue</w:t>
      </w:r>
    </w:p>
    <w:p>
      <w:pPr>
        <w:spacing w:after="0" w:line="254"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Subscription revenue primarily consists of subscription fees from our cloud-based Digital Adoption Platform. We recognize subscription revenue ratably over the subscription period, which typically varies from one to three years. Our customers are generally billed annually upfront, and amounts that have been billed are initially recorded as deferred revenue until recognized in accordance with our revenue recognition policy. Consequently, a portion of the revenue that we report in each period is attributable to the recognition of deferred revenue relating to subscriptions that we entered into during previous periods.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Professional Services Revenue</w:t>
      </w:r>
    </w:p>
    <w:p>
      <w:pPr>
        <w:spacing w:after="0" w:line="241" w:lineRule="exact"/>
        <w:rPr>
          <w:sz w:val="20"/>
          <w:szCs w:val="20"/>
          <w:color w:val="auto"/>
        </w:rPr>
      </w:pPr>
    </w:p>
    <w:p>
      <w:pPr>
        <w:jc w:val="both"/>
        <w:ind w:firstLine="441"/>
        <w:spacing w:after="0" w:line="297" w:lineRule="auto"/>
        <w:rPr>
          <w:sz w:val="20"/>
          <w:szCs w:val="20"/>
          <w:color w:val="auto"/>
        </w:rPr>
      </w:pPr>
      <w:r>
        <w:rPr>
          <w:rFonts w:ascii="Times New Roman" w:cs="Times New Roman" w:eastAsia="Times New Roman" w:hAnsi="Times New Roman"/>
          <w:sz w:val="18"/>
          <w:szCs w:val="18"/>
          <w:color w:val="auto"/>
        </w:rPr>
        <w:t>Professional services consist of services provided to our customers to help them maximize our platform capabilities in highly complex operational environments. Professional services are priced on a time and material basis and, accordingly, revenues are recognized as services are delivered.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41" w:lineRule="exact"/>
        <w:rPr>
          <w:sz w:val="20"/>
          <w:szCs w:val="20"/>
          <w:color w:val="auto"/>
        </w:rPr>
      </w:pPr>
    </w:p>
    <w:p>
      <w:pPr>
        <w:jc w:val="both"/>
        <w:ind w:firstLine="441"/>
        <w:spacing w:after="0" w:line="270" w:lineRule="auto"/>
        <w:rPr>
          <w:sz w:val="20"/>
          <w:szCs w:val="20"/>
          <w:color w:val="auto"/>
        </w:rPr>
      </w:pPr>
      <w:r>
        <w:rPr>
          <w:rFonts w:ascii="Times New Roman" w:cs="Times New Roman" w:eastAsia="Times New Roman" w:hAnsi="Times New Roman"/>
          <w:sz w:val="18"/>
          <w:szCs w:val="18"/>
          <w:color w:val="auto"/>
        </w:rPr>
        <w:t>Cost of subscription revenue primarily consists of costs related to third-party cloud infrastructure providers for hosting our platform, employee-related costs for operations and global support (including salaries, benefits, bonuses and share-based compensation), and depreciation and amortization related to acquired intangibles and internal-use software. Cost of professional services revenue primarily consists of employee-related costs (such as salaries, bonuses and share-based compensation) and subcontractor costs associated with the delivery of these services. Additionally, we allocate certain overhead costs to each of these costs of revenue.</w:t>
      </w:r>
    </w:p>
    <w:p>
      <w:pPr>
        <w:spacing w:after="0" w:line="186" w:lineRule="exact"/>
        <w:rPr>
          <w:sz w:val="20"/>
          <w:szCs w:val="20"/>
          <w:color w:val="auto"/>
        </w:rPr>
      </w:pPr>
    </w:p>
    <w:p>
      <w:pPr>
        <w:jc w:val="both"/>
        <w:ind w:firstLine="441"/>
        <w:spacing w:after="0" w:line="297" w:lineRule="auto"/>
        <w:rPr>
          <w:sz w:val="20"/>
          <w:szCs w:val="20"/>
          <w:color w:val="auto"/>
        </w:rPr>
      </w:pPr>
      <w:r>
        <w:rPr>
          <w:rFonts w:ascii="Times New Roman" w:cs="Times New Roman" w:eastAsia="Times New Roman" w:hAnsi="Times New Roman"/>
          <w:sz w:val="18"/>
          <w:szCs w:val="18"/>
          <w:color w:val="auto"/>
        </w:rPr>
        <w:t>We intend to continue to invest additional resources in our platform and our customer support organization as we grow our business. The level and timing of investment in these areas will affect our cost of revenue in the future.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 and gross margin</w:t>
      </w:r>
    </w:p>
    <w:p>
      <w:pPr>
        <w:spacing w:after="0" w:line="254"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Gross margin is gross profit expressed as a percentage of revenue. Our gross margin may fluctuate from period to period as a result of the timing and amount of investments to expand our hosting capacity, and our continued efforts to build platform support and professional services teams.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41" w:lineRule="exact"/>
        <w:rPr>
          <w:sz w:val="20"/>
          <w:szCs w:val="20"/>
          <w:color w:val="auto"/>
        </w:rPr>
      </w:pPr>
    </w:p>
    <w:p>
      <w:pPr>
        <w:jc w:val="both"/>
        <w:ind w:firstLine="441"/>
        <w:spacing w:after="0" w:line="270" w:lineRule="auto"/>
        <w:rPr>
          <w:sz w:val="20"/>
          <w:szCs w:val="20"/>
          <w:color w:val="auto"/>
        </w:rPr>
      </w:pPr>
      <w:r>
        <w:rPr>
          <w:rFonts w:ascii="Times New Roman" w:cs="Times New Roman" w:eastAsia="Times New Roman" w:hAnsi="Times New Roman"/>
          <w:sz w:val="18"/>
          <w:szCs w:val="18"/>
          <w:color w:val="auto"/>
        </w:rPr>
        <w:t>Research and development expenses consist primarily of employee-related costs (including salaries, benefits, bonuses and share-based compensation) and subcontractor costs associated with our engineering team responsible for the design, development, and testing of our products, the cost of development environments and tools, and allocated overhead. We expect that our research and development expenses will increase in absolute dollars as our business grows, particularly as we continue to invest in the development of our platform. We expect research and development expenses may fluctuate as a percentage of revenues from period to period due to the timing and extent of these expenses.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41" w:lineRule="exact"/>
        <w:rPr>
          <w:sz w:val="20"/>
          <w:szCs w:val="20"/>
          <w:color w:val="auto"/>
        </w:rPr>
      </w:pPr>
    </w:p>
    <w:p>
      <w:pPr>
        <w:jc w:val="both"/>
        <w:ind w:firstLine="441"/>
        <w:spacing w:after="0" w:line="274" w:lineRule="auto"/>
        <w:rPr>
          <w:sz w:val="20"/>
          <w:szCs w:val="20"/>
          <w:color w:val="auto"/>
        </w:rPr>
      </w:pPr>
      <w:r>
        <w:rPr>
          <w:rFonts w:ascii="Times New Roman" w:cs="Times New Roman" w:eastAsia="Times New Roman" w:hAnsi="Times New Roman"/>
          <w:sz w:val="18"/>
          <w:szCs w:val="18"/>
          <w:color w:val="auto"/>
        </w:rPr>
        <w:t>Sales and marketing expenses primarily consist of employee-related costs (such as salaries, sales commissions, bonuses and share-based compensation expenses), costs associated with marketing programs to promote our brand and awareness, demand generating activities, customer events, other sales expenses and allocated overhead.</w:t>
      </w:r>
    </w:p>
    <w:p>
      <w:pPr>
        <w:spacing w:after="0" w:line="196" w:lineRule="exact"/>
        <w:rPr>
          <w:sz w:val="20"/>
          <w:szCs w:val="20"/>
          <w:color w:val="auto"/>
        </w:rPr>
      </w:pPr>
    </w:p>
    <w:p>
      <w:pPr>
        <w:jc w:val="both"/>
        <w:ind w:firstLine="441"/>
        <w:spacing w:after="0" w:line="274" w:lineRule="auto"/>
        <w:rPr>
          <w:sz w:val="20"/>
          <w:szCs w:val="20"/>
          <w:color w:val="auto"/>
        </w:rPr>
      </w:pPr>
      <w:r>
        <w:rPr>
          <w:rFonts w:ascii="Times New Roman" w:cs="Times New Roman" w:eastAsia="Times New Roman" w:hAnsi="Times New Roman"/>
          <w:sz w:val="18"/>
          <w:szCs w:val="18"/>
          <w:color w:val="auto"/>
        </w:rPr>
        <w:t>We expect sales and marketing expenses to increase in absolute dollars as we continue to make investments in our sales and marketing organizations to drive additional revenues, further penetrate our target markets, and expand our global customer base. As a percentage of revenues, we expect our sales and marketing expenses may fluctuate as a percentage of our revenue from period to period due to the timing and extent of these expenses.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54"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primarily consist of employee-related costs (such as salaries, bonuses and share-based compensation) for executive, finance, legal, human resources, IT and other administrative personnel, professional services fees, consulting services and allocated overhead.</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anticipate general and administrative expenses to decrease as a percentage of our total revenue over time.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income (expense)</w:t>
      </w:r>
    </w:p>
    <w:p>
      <w:pPr>
        <w:spacing w:after="0" w:line="243" w:lineRule="exact"/>
        <w:rPr>
          <w:sz w:val="20"/>
          <w:szCs w:val="20"/>
          <w:color w:val="auto"/>
        </w:rPr>
      </w:pPr>
    </w:p>
    <w:p>
      <w:pPr>
        <w:jc w:val="both"/>
        <w:ind w:firstLine="441"/>
        <w:spacing w:after="0" w:line="297" w:lineRule="auto"/>
        <w:rPr>
          <w:sz w:val="20"/>
          <w:szCs w:val="20"/>
          <w:color w:val="auto"/>
        </w:rPr>
      </w:pPr>
      <w:r>
        <w:rPr>
          <w:rFonts w:ascii="Times New Roman" w:cs="Times New Roman" w:eastAsia="Times New Roman" w:hAnsi="Times New Roman"/>
          <w:sz w:val="18"/>
          <w:szCs w:val="18"/>
          <w:color w:val="auto"/>
        </w:rPr>
        <w:t>Finance income (expenses), net primarily consists of interest income earned on our cash investments and finance expenses such as bank fees, foreign exchange gains and losses.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43"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Income tax expenses primarily consist of income taxes related to U.S. and other jurisdictions in which we conduct business. We maintain a valuation allowance for deferred tax assets as we believe that it is more likely than not that the deferred tax assets will not be realized. Our effective tax rate is affected by tax rates in the jurisdictions in which we conduct business and the relative amounts of income we earn in those jurisdictions, as well as non-deductible expenses and changes in our valuation allowance.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91" w:name="page92"/>
    <w:bookmarkEnd w:id="91"/>
    <w:p>
      <w:pPr>
        <w:ind w:left="400" w:hanging="392"/>
        <w:spacing w:after="0"/>
        <w:tabs>
          <w:tab w:leader="none" w:pos="40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Results</w:t>
      </w:r>
    </w:p>
    <w:p>
      <w:pPr>
        <w:spacing w:after="0" w:line="243" w:lineRule="exact"/>
        <w:rPr>
          <w:sz w:val="20"/>
          <w:szCs w:val="20"/>
          <w:color w:val="auto"/>
        </w:rPr>
      </w:pPr>
    </w:p>
    <w:p>
      <w:pPr>
        <w:ind w:right="20" w:firstLine="441"/>
        <w:spacing w:after="0" w:line="297" w:lineRule="auto"/>
        <w:rPr>
          <w:sz w:val="20"/>
          <w:szCs w:val="20"/>
          <w:color w:val="auto"/>
        </w:rPr>
      </w:pPr>
      <w:r>
        <w:rPr>
          <w:rFonts w:ascii="Times New Roman" w:cs="Times New Roman" w:eastAsia="Times New Roman" w:hAnsi="Times New Roman"/>
          <w:sz w:val="18"/>
          <w:szCs w:val="18"/>
          <w:color w:val="auto"/>
        </w:rPr>
        <w:t>The following tables summarize key components of our results of operations data and such data as a percentage of total revenue for the periods presented. The period-to-period comparisons of our historical results are not necessarily indicative of the results that may be expected in the future.</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920" w:type="dxa"/>
            <w:vAlign w:val="bottom"/>
          </w:tcPr>
          <w:p>
            <w:pPr>
              <w:spacing w:after="0"/>
              <w:rPr>
                <w:sz w:val="22"/>
                <w:szCs w:val="22"/>
                <w:color w:val="auto"/>
              </w:rPr>
            </w:pPr>
          </w:p>
        </w:tc>
        <w:tc>
          <w:tcPr>
            <w:tcW w:w="4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0" w:type="dxa"/>
            <w:vAlign w:val="bottom"/>
            <w:gridSpan w:val="6"/>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7"/>
        </w:trPr>
        <w:tc>
          <w:tcPr>
            <w:tcW w:w="39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29"/>
        </w:trPr>
        <w:tc>
          <w:tcPr>
            <w:tcW w:w="392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w:t>
            </w:r>
          </w:p>
        </w:tc>
        <w:tc>
          <w:tcPr>
            <w:tcW w:w="134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76"/>
              </w:rPr>
              <w:t>thousands)</w:t>
            </w:r>
          </w:p>
        </w:tc>
        <w:tc>
          <w:tcPr>
            <w:tcW w:w="100" w:type="dxa"/>
            <w:vAlign w:val="bottom"/>
          </w:tcPr>
          <w:p>
            <w:pPr>
              <w:spacing w:after="0"/>
              <w:rPr>
                <w:sz w:val="19"/>
                <w:szCs w:val="19"/>
                <w:color w:val="auto"/>
              </w:rPr>
            </w:pPr>
          </w:p>
        </w:tc>
      </w:tr>
      <w:tr>
        <w:trPr>
          <w:trHeight w:val="229"/>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4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193,303</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245,006</w:t>
            </w:r>
          </w:p>
        </w:tc>
      </w:tr>
      <w:tr>
        <w:trPr>
          <w:trHeight w:val="237"/>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4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46,657</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53,884</w:t>
            </w:r>
          </w:p>
        </w:tc>
      </w:tr>
      <w:tr>
        <w:trPr>
          <w:trHeight w:val="229"/>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76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146,646</w:t>
            </w:r>
          </w:p>
        </w:tc>
        <w:tc>
          <w:tcPr>
            <w:tcW w:w="20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191,122</w:t>
            </w:r>
          </w:p>
        </w:tc>
        <w:tc>
          <w:tcPr>
            <w:tcW w:w="100" w:type="dxa"/>
            <w:vAlign w:val="bottom"/>
            <w:shd w:val="clear" w:color="auto" w:fill="CCEEFF"/>
          </w:tcPr>
          <w:p>
            <w:pPr>
              <w:spacing w:after="0"/>
              <w:rPr>
                <w:sz w:val="19"/>
                <w:szCs w:val="19"/>
                <w:color w:val="auto"/>
              </w:rPr>
            </w:pPr>
          </w:p>
        </w:tc>
      </w:tr>
      <w:tr>
        <w:trPr>
          <w:trHeight w:val="23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3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48,160</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59,468</w:t>
            </w:r>
          </w:p>
        </w:tc>
      </w:tr>
      <w:tr>
        <w:trPr>
          <w:trHeight w:val="230"/>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4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127,719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176,307</w:t>
            </w:r>
          </w:p>
        </w:tc>
      </w:tr>
      <w:tr>
        <w:trPr>
          <w:trHeight w:val="236"/>
        </w:trPr>
        <w:tc>
          <w:tcPr>
            <w:tcW w:w="3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48,557</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65,188</w:t>
            </w:r>
          </w:p>
        </w:tc>
      </w:tr>
      <w:tr>
        <w:trPr>
          <w:trHeight w:val="237"/>
        </w:trPr>
        <w:tc>
          <w:tcPr>
            <w:tcW w:w="39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4760" w:type="dxa"/>
            <w:vAlign w:val="bottom"/>
            <w:tcBorders>
              <w:top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224,436</w:t>
            </w:r>
          </w:p>
        </w:tc>
        <w:tc>
          <w:tcPr>
            <w:tcW w:w="20" w:type="dxa"/>
            <w:vAlign w:val="bottom"/>
            <w:tcBorders>
              <w:top w:val="single" w:sz="8" w:color="CCEEFF"/>
              <w:bottom w:val="single" w:sz="8" w:color="auto"/>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300,963</w:t>
            </w:r>
          </w:p>
        </w:tc>
        <w:tc>
          <w:tcPr>
            <w:tcW w:w="100" w:type="dxa"/>
            <w:vAlign w:val="bottom"/>
            <w:tcBorders>
              <w:top w:val="single" w:sz="8" w:color="CCEEFF"/>
            </w:tcBorders>
          </w:tcPr>
          <w:p>
            <w:pPr>
              <w:spacing w:after="0"/>
              <w:rPr>
                <w:sz w:val="20"/>
                <w:szCs w:val="20"/>
                <w:color w:val="auto"/>
              </w:rPr>
            </w:pPr>
          </w:p>
        </w:tc>
      </w:tr>
      <w:tr>
        <w:trPr>
          <w:trHeight w:val="229"/>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4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(77,790)</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(109,841)</w:t>
            </w:r>
          </w:p>
        </w:tc>
        <w:tc>
          <w:tcPr>
            <w:tcW w:w="100" w:type="dxa"/>
            <w:vAlign w:val="bottom"/>
            <w:shd w:val="clear" w:color="auto" w:fill="CCEEFF"/>
          </w:tcPr>
          <w:p>
            <w:pPr>
              <w:spacing w:after="0"/>
              <w:rPr>
                <w:sz w:val="19"/>
                <w:szCs w:val="19"/>
                <w:color w:val="auto"/>
              </w:rPr>
            </w:pPr>
          </w:p>
        </w:tc>
      </w:tr>
      <w:tr>
        <w:trPr>
          <w:trHeight w:val="237"/>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Financial income (expense), net</w:t>
            </w:r>
          </w:p>
        </w:tc>
        <w:tc>
          <w:tcPr>
            <w:tcW w:w="4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5,322</w:t>
            </w:r>
          </w:p>
        </w:tc>
      </w:tr>
      <w:tr>
        <w:trPr>
          <w:trHeight w:val="237"/>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47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(77,799)</w:t>
            </w:r>
          </w:p>
        </w:tc>
        <w:tc>
          <w:tcPr>
            <w:tcW w:w="220" w:type="dxa"/>
            <w:vAlign w:val="bottom"/>
            <w:tcBorders>
              <w:bottom w:val="single" w:sz="8" w:color="CCEEFF"/>
            </w:tcBorders>
            <w:gridSpan w:val="2"/>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(104,519)</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7"/>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4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(2,494)</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(3,831)</w:t>
            </w:r>
          </w:p>
        </w:tc>
      </w:tr>
      <w:tr>
        <w:trPr>
          <w:trHeight w:val="237"/>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7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(80,293)</w:t>
            </w:r>
          </w:p>
        </w:tc>
        <w:tc>
          <w:tcPr>
            <w:tcW w:w="220" w:type="dxa"/>
            <w:vAlign w:val="bottom"/>
            <w:tcBorders>
              <w:bottom w:val="single" w:sz="8" w:color="CCEEFF"/>
            </w:tcBorders>
            <w:gridSpan w:val="2"/>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(108,350)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621"/>
        </w:trPr>
        <w:tc>
          <w:tcPr>
            <w:tcW w:w="3920" w:type="dxa"/>
            <w:vAlign w:val="bottom"/>
          </w:tcPr>
          <w:p>
            <w:pPr>
              <w:spacing w:after="0"/>
              <w:rPr>
                <w:sz w:val="24"/>
                <w:szCs w:val="24"/>
                <w:color w:val="auto"/>
              </w:rPr>
            </w:pPr>
          </w:p>
        </w:tc>
        <w:tc>
          <w:tcPr>
            <w:tcW w:w="4760" w:type="dxa"/>
            <w:vAlign w:val="bottom"/>
          </w:tcPr>
          <w:p>
            <w:pPr>
              <w:jc w:val="right"/>
              <w:ind w:right="2870"/>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1"/>
        </w:trPr>
        <w:tc>
          <w:tcPr>
            <w:tcW w:w="3920" w:type="dxa"/>
            <w:vAlign w:val="bottom"/>
            <w:tcBorders>
              <w:bottom w:val="single" w:sz="8" w:color="auto"/>
            </w:tcBorders>
          </w:tcPr>
          <w:p>
            <w:pPr>
              <w:spacing w:after="0"/>
              <w:rPr>
                <w:sz w:val="5"/>
                <w:szCs w:val="5"/>
                <w:color w:val="auto"/>
              </w:rPr>
            </w:pPr>
          </w:p>
        </w:tc>
        <w:tc>
          <w:tcPr>
            <w:tcW w:w="47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347" w:right="339" w:bottom="1440" w:gutter="0" w:footer="0" w:header="0"/>
        </w:sectPr>
      </w:pPr>
    </w:p>
    <w:bookmarkStart w:id="92" w:name="page93"/>
    <w:bookmarkEnd w:id="92"/>
    <w:p>
      <w:pPr>
        <w:ind w:left="878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480" w:type="dxa"/>
            <w:vAlign w:val="bottom"/>
          </w:tcPr>
          <w:p>
            <w:pPr>
              <w:spacing w:after="0"/>
              <w:rPr>
                <w:sz w:val="22"/>
                <w:szCs w:val="22"/>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r>
      <w:tr>
        <w:trPr>
          <w:trHeight w:val="229"/>
        </w:trPr>
        <w:tc>
          <w:tcPr>
            <w:tcW w:w="8480" w:type="dxa"/>
            <w:vAlign w:val="bottom"/>
          </w:tcPr>
          <w:p>
            <w:pPr>
              <w:spacing w:after="0"/>
              <w:rPr>
                <w:sz w:val="19"/>
                <w:szCs w:val="19"/>
                <w:color w:val="auto"/>
              </w:rPr>
            </w:pP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(as a %</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of</w:t>
            </w:r>
          </w:p>
        </w:tc>
        <w:tc>
          <w:tcPr>
            <w:tcW w:w="7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3"/>
              </w:rPr>
              <w:t>revenue)</w:t>
            </w:r>
          </w:p>
        </w:tc>
        <w:tc>
          <w:tcPr>
            <w:tcW w:w="3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9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6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7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r>
      <w:tr>
        <w:trPr>
          <w:trHeight w:val="236"/>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0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320" w:type="dxa"/>
            <w:vAlign w:val="bottom"/>
            <w:tcBorders>
              <w:left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shd w:val="clear" w:color="auto" w:fill="CCEEFF"/>
          </w:tcPr>
          <w:p>
            <w:pPr>
              <w:spacing w:after="0"/>
              <w:rPr>
                <w:sz w:val="19"/>
                <w:szCs w:val="19"/>
                <w:color w:val="auto"/>
              </w:rPr>
            </w:pPr>
          </w:p>
        </w:tc>
      </w:tr>
      <w:tr>
        <w:trPr>
          <w:trHeight w:val="229"/>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9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tcBorders>
              <w:left w:val="single" w:sz="8" w:color="CCEEFF"/>
            </w:tcBorders>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9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w:t>
            </w:r>
          </w:p>
        </w:tc>
      </w:tr>
      <w:tr>
        <w:trPr>
          <w:trHeight w:val="229"/>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tcBorders>
              <w:left w:val="single" w:sz="8" w:color="CCEEFF"/>
            </w:tcBorders>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848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20" w:type="dxa"/>
            <w:vAlign w:val="bottom"/>
            <w:tcBorders>
              <w:left w:val="single" w:sz="8" w:color="CCEEFF"/>
            </w:tcBorders>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3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w:t>
            </w:r>
          </w:p>
        </w:tc>
      </w:tr>
      <w:tr>
        <w:trPr>
          <w:trHeight w:val="230"/>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80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(40)</w:t>
            </w:r>
          </w:p>
        </w:tc>
        <w:tc>
          <w:tcPr>
            <w:tcW w:w="320" w:type="dxa"/>
            <w:vAlign w:val="bottom"/>
            <w:tcBorders>
              <w:left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(45)</w:t>
            </w:r>
          </w:p>
        </w:tc>
        <w:tc>
          <w:tcPr>
            <w:tcW w:w="220" w:type="dxa"/>
            <w:vAlign w:val="bottom"/>
            <w:shd w:val="clear" w:color="auto" w:fill="CCEEFF"/>
          </w:tcPr>
          <w:p>
            <w:pPr>
              <w:spacing w:after="0"/>
              <w:rPr>
                <w:sz w:val="19"/>
                <w:szCs w:val="19"/>
                <w:color w:val="auto"/>
              </w:rPr>
            </w:pPr>
          </w:p>
        </w:tc>
      </w:tr>
      <w:tr>
        <w:trPr>
          <w:trHeight w:val="237"/>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income (expense), net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r>
      <w:tr>
        <w:trPr>
          <w:trHeight w:val="236"/>
        </w:trPr>
        <w:tc>
          <w:tcPr>
            <w:tcW w:w="8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800" w:type="dxa"/>
            <w:vAlign w:val="bottom"/>
            <w:tcBorders>
              <w:top w:val="single" w:sz="8" w:color="auto"/>
              <w:bottom w:val="single" w:sz="8" w:color="auto"/>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(40)</w:t>
            </w:r>
          </w:p>
        </w:tc>
        <w:tc>
          <w:tcPr>
            <w:tcW w:w="320" w:type="dxa"/>
            <w:vAlign w:val="bottom"/>
            <w:tcBorders>
              <w:left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(43)</w:t>
            </w:r>
          </w:p>
        </w:tc>
        <w:tc>
          <w:tcPr>
            <w:tcW w:w="220" w:type="dxa"/>
            <w:vAlign w:val="bottom"/>
            <w:tcBorders>
              <w:bottom w:val="single" w:sz="8" w:color="CCEEFF"/>
            </w:tcBorders>
            <w:shd w:val="clear" w:color="auto" w:fill="CCEEFF"/>
          </w:tcPr>
          <w:p>
            <w:pPr>
              <w:spacing w:after="0"/>
              <w:rPr>
                <w:sz w:val="20"/>
                <w:szCs w:val="20"/>
                <w:color w:val="auto"/>
              </w:rPr>
            </w:pPr>
          </w:p>
        </w:tc>
      </w:tr>
      <w:tr>
        <w:trPr>
          <w:trHeight w:val="230"/>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800" w:type="dxa"/>
            <w:vAlign w:val="bottom"/>
          </w:tcPr>
          <w:p>
            <w:pPr>
              <w:spacing w:after="0"/>
              <w:rPr>
                <w:sz w:val="19"/>
                <w:szCs w:val="19"/>
                <w:color w:val="auto"/>
              </w:rPr>
            </w:pPr>
          </w:p>
        </w:tc>
        <w:tc>
          <w:tcPr>
            <w:tcW w:w="6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84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30"/>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7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7"/>
        </w:trPr>
        <w:tc>
          <w:tcPr>
            <w:tcW w:w="848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20" w:type="dxa"/>
            <w:vAlign w:val="bottom"/>
            <w:tcBorders>
              <w:left w:val="single" w:sz="8" w:color="CCEEFF"/>
            </w:tcBorders>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Represents amounts of less than 1%</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38"/>
        </w:trPr>
        <w:tc>
          <w:tcPr>
            <w:tcW w:w="59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2021 and 2022</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5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00" w:type="dxa"/>
            <w:vAlign w:val="bottom"/>
          </w:tcPr>
          <w:p>
            <w:pPr>
              <w:spacing w:after="0"/>
              <w:rPr>
                <w:sz w:val="24"/>
                <w:szCs w:val="24"/>
                <w:color w:val="auto"/>
              </w:rPr>
            </w:pPr>
          </w:p>
        </w:tc>
        <w:tc>
          <w:tcPr>
            <w:tcW w:w="240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Period-over-Period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00" w:type="dxa"/>
            <w:vAlign w:val="bottom"/>
            <w:gridSpan w:val="5"/>
            <w:vMerge w:val="continue"/>
          </w:tcPr>
          <w:p>
            <w:pPr>
              <w:spacing w:after="0"/>
              <w:rPr>
                <w:sz w:val="21"/>
                <w:szCs w:val="21"/>
                <w:color w:val="auto"/>
              </w:rPr>
            </w:pPr>
          </w:p>
        </w:tc>
        <w:tc>
          <w:tcPr>
            <w:tcW w:w="200" w:type="dxa"/>
            <w:vAlign w:val="bottom"/>
          </w:tcPr>
          <w:p>
            <w:pPr>
              <w:spacing w:after="0"/>
              <w:rPr>
                <w:sz w:val="21"/>
                <w:szCs w:val="21"/>
                <w:color w:val="auto"/>
              </w:rPr>
            </w:pPr>
          </w:p>
        </w:tc>
        <w:tc>
          <w:tcPr>
            <w:tcW w:w="240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Dollar</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86"/>
              </w:rPr>
              <w:t>except percentages)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175,328</w:t>
            </w:r>
          </w:p>
        </w:tc>
        <w:tc>
          <w:tcPr>
            <w:tcW w:w="460" w:type="dxa"/>
            <w:vAlign w:val="bottom"/>
            <w:tcBorders>
              <w:left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220,972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45,644</w:t>
            </w: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96"/>
              </w:rPr>
              <w:t>26%</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 revenues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24,034</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6,059</w:t>
            </w: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193,303</w:t>
            </w:r>
          </w:p>
        </w:tc>
        <w:tc>
          <w:tcPr>
            <w:tcW w:w="220" w:type="dxa"/>
            <w:vAlign w:val="bottom"/>
            <w:tcBorders>
              <w:left w:val="single" w:sz="8" w:color="CCEEFF"/>
            </w:tcBorders>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245,006</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51,073</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96"/>
              </w:rPr>
              <w:t>27%</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firstLine="441"/>
        <w:spacing w:after="0" w:line="297" w:lineRule="auto"/>
        <w:rPr>
          <w:sz w:val="20"/>
          <w:szCs w:val="20"/>
          <w:color w:val="auto"/>
        </w:rPr>
      </w:pPr>
      <w:r>
        <w:rPr>
          <w:rFonts w:ascii="Times New Roman" w:cs="Times New Roman" w:eastAsia="Times New Roman" w:hAnsi="Times New Roman"/>
          <w:sz w:val="18"/>
          <w:szCs w:val="18"/>
          <w:color w:val="auto"/>
        </w:rPr>
        <w:t>The following table presents our subscription revenues and professional services revenues as a percentage of our total revenue for each period presented above.</w:t>
      </w:r>
    </w:p>
    <w:p>
      <w:pPr>
        <w:spacing w:after="0" w:line="159"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600" w:type="dxa"/>
            <w:vAlign w:val="bottom"/>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1"/>
                <w:szCs w:val="21"/>
                <w:color w:val="auto"/>
              </w:rPr>
            </w:pPr>
          </w:p>
        </w:tc>
      </w:tr>
      <w:tr>
        <w:trPr>
          <w:trHeight w:val="229"/>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revenues</w:t>
            </w:r>
          </w:p>
        </w:tc>
        <w:tc>
          <w:tcPr>
            <w:tcW w:w="7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r>
      <w:tr>
        <w:trPr>
          <w:trHeight w:val="237"/>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 revenues</w:t>
            </w:r>
          </w:p>
        </w:tc>
        <w:tc>
          <w:tcPr>
            <w:tcW w:w="7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20"/>
                <w:szCs w:val="20"/>
                <w:color w:val="auto"/>
              </w:rPr>
            </w:pPr>
          </w:p>
        </w:tc>
      </w:tr>
      <w:tr>
        <w:trPr>
          <w:trHeight w:val="229"/>
        </w:trPr>
        <w:tc>
          <w:tcPr>
            <w:tcW w:w="8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revenue</w:t>
            </w:r>
          </w:p>
        </w:tc>
        <w:tc>
          <w:tcPr>
            <w:tcW w:w="7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7"/>
        </w:trPr>
        <w:tc>
          <w:tcPr>
            <w:tcW w:w="860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 Revenues</w:t>
      </w:r>
    </w:p>
    <w:p>
      <w:pPr>
        <w:spacing w:after="0" w:line="241"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Subscription revenues increased by $45.6 million, or 26%, to $221.0 million for the year ended December 31, 2022 compared to $175.3 million for the year ended December 31, 2021. This increase was primarily due to expansion from existing customers within and across lines of business, as well as new customer additions. Approximately 72% of the increase in revenue was attributable to the growth from existing customers, and the remaining increase in revenue was attributable to new customers.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Professional Services Revenues</w:t>
      </w:r>
    </w:p>
    <w:p>
      <w:pPr>
        <w:spacing w:after="0" w:line="241" w:lineRule="exact"/>
        <w:rPr>
          <w:sz w:val="20"/>
          <w:szCs w:val="20"/>
          <w:color w:val="auto"/>
        </w:rPr>
      </w:pPr>
    </w:p>
    <w:p>
      <w:pPr>
        <w:jc w:val="both"/>
        <w:ind w:firstLine="441"/>
        <w:spacing w:after="0" w:line="281" w:lineRule="auto"/>
        <w:rPr>
          <w:sz w:val="20"/>
          <w:szCs w:val="20"/>
          <w:color w:val="auto"/>
        </w:rPr>
      </w:pPr>
      <w:r>
        <w:rPr>
          <w:rFonts w:ascii="Times New Roman" w:cs="Times New Roman" w:eastAsia="Times New Roman" w:hAnsi="Times New Roman"/>
          <w:sz w:val="18"/>
          <w:szCs w:val="18"/>
          <w:color w:val="auto"/>
        </w:rPr>
        <w:t>Professional services revenues increased by $6.1 million, or 34%, to $24.0 million for the year ended December 31, 2022 compared to $18.0 million for the year ended December 31, 2021. This increase was primarily due to the expansion of our services in order to help our customers further realize the benefits of the platform.</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38"/>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Margin</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7"/>
        </w:trPr>
        <w:tc>
          <w:tcPr>
            <w:tcW w:w="5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4"/>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0" w:type="dxa"/>
            <w:vAlign w:val="bottom"/>
            <w:gridSpan w:val="4"/>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Period-over-Period</w:t>
            </w:r>
          </w:p>
        </w:tc>
      </w:tr>
      <w:tr>
        <w:trPr>
          <w:trHeight w:val="245"/>
        </w:trPr>
        <w:tc>
          <w:tcPr>
            <w:tcW w:w="5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20" w:type="dxa"/>
            <w:vAlign w:val="bottom"/>
            <w:gridSpan w:val="6"/>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00" w:type="dxa"/>
            <w:vAlign w:val="bottom"/>
          </w:tcPr>
          <w:p>
            <w:pPr>
              <w:spacing w:after="0"/>
              <w:rPr>
                <w:sz w:val="21"/>
                <w:szCs w:val="21"/>
                <w:color w:val="auto"/>
              </w:rPr>
            </w:pPr>
          </w:p>
        </w:tc>
        <w:tc>
          <w:tcPr>
            <w:tcW w:w="2400" w:type="dxa"/>
            <w:vAlign w:val="bottom"/>
            <w:gridSpan w:val="4"/>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37"/>
        </w:trPr>
        <w:tc>
          <w:tcPr>
            <w:tcW w:w="59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Dollar</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60" w:type="dxa"/>
            <w:vAlign w:val="bottom"/>
          </w:tcPr>
          <w:p>
            <w:pPr>
              <w:spacing w:after="0"/>
              <w:rPr>
                <w:sz w:val="20"/>
                <w:szCs w:val="20"/>
                <w:color w:val="auto"/>
              </w:rPr>
            </w:pPr>
          </w:p>
        </w:tc>
      </w:tr>
      <w:tr>
        <w:trPr>
          <w:trHeight w:val="229"/>
        </w:trPr>
        <w:tc>
          <w:tcPr>
            <w:tcW w:w="5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0"/>
              </w:rPr>
              <w:t>except percentages)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30"/>
        </w:trPr>
        <w:tc>
          <w:tcPr>
            <w:tcW w:w="5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24,025</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25,990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5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Cost of professional services revenues</w:t>
            </w: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22,632</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27,894</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5,262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r>
      <w:tr>
        <w:trPr>
          <w:trHeight w:val="27"/>
        </w:trPr>
        <w:tc>
          <w:tcPr>
            <w:tcW w:w="59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29"/>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revenues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46,657</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53,884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7,227</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10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r>
      <w:tr>
        <w:trPr>
          <w:trHeight w:val="229"/>
        </w:trPr>
        <w:tc>
          <w:tcPr>
            <w:tcW w:w="5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Subscription</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0"/>
        </w:trPr>
        <w:tc>
          <w:tcPr>
            <w:tcW w:w="5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Professional services</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w:t>
            </w: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34"/>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Total gross margin</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Subscription Revenues</w:t>
      </w:r>
    </w:p>
    <w:p>
      <w:pPr>
        <w:spacing w:after="0" w:line="241"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Cost of subscription revenues increased by $2.0 million, or 8%, to $26.0 million for the year ended December 31, 2022 compared to $24.0 million for the year ended December 31, 2021. This increase was primarily attributable to an increase of $1.0 million in employee-related costs as a result of increased headcount, $0.5 million in share-based compensation expense, $0.3 million in allocated overhead expenses, $0.3 million in depreciation and amortization and $0.2 million other costs, partially offset by a $0.3 million decrease in third party cloud hosting.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Margin-Subscription</w:t>
      </w:r>
    </w:p>
    <w:p>
      <w:pPr>
        <w:spacing w:after="0" w:line="254" w:lineRule="exact"/>
        <w:rPr>
          <w:sz w:val="20"/>
          <w:szCs w:val="20"/>
          <w:color w:val="auto"/>
        </w:rPr>
      </w:pPr>
    </w:p>
    <w:p>
      <w:pPr>
        <w:jc w:val="both"/>
        <w:ind w:firstLine="441"/>
        <w:spacing w:after="0" w:line="274" w:lineRule="auto"/>
        <w:rPr>
          <w:sz w:val="20"/>
          <w:szCs w:val="20"/>
          <w:color w:val="auto"/>
        </w:rPr>
      </w:pPr>
      <w:r>
        <w:rPr>
          <w:rFonts w:ascii="Times New Roman" w:cs="Times New Roman" w:eastAsia="Times New Roman" w:hAnsi="Times New Roman"/>
          <w:sz w:val="18"/>
          <w:szCs w:val="18"/>
          <w:color w:val="auto"/>
        </w:rPr>
        <w:t>Our gross margin for subscription revenue increased during the year ended December 31, 2022, compared to the year ended December 31, 2021, mainly due to continued optimization of our cloud hosting operations. While our gross margins for subscription revenue may fluctuate in the near-term as we invest in our growth, we expect our subscription revenue gross margin to improve over the long-term as we achieve additional economies of scale.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Professional Services Revenues</w:t>
      </w:r>
    </w:p>
    <w:p>
      <w:pPr>
        <w:spacing w:after="0" w:line="241"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Cost of professional services revenues increased by $5.3 million, or 23%, to $27.9 million for the year ended December 31, 2022 compared to $22.6 million for the year ended December 31, 2021. This increase was primarily attributable to an increase of $2.1 million in employee-related costs as a result of increased headcount, $1.5 million in share-based compensation expense, $0.9 million in outsourcing and professional service fees, $0.4 million in allocated overhead expenses and $0.4 million in other costs.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Margin-Professional Services</w:t>
      </w:r>
    </w:p>
    <w:p>
      <w:pPr>
        <w:spacing w:after="0" w:line="241" w:lineRule="exact"/>
        <w:rPr>
          <w:sz w:val="20"/>
          <w:szCs w:val="20"/>
          <w:color w:val="auto"/>
        </w:rPr>
      </w:pPr>
    </w:p>
    <w:p>
      <w:pPr>
        <w:jc w:val="both"/>
        <w:ind w:firstLine="441"/>
        <w:spacing w:after="0" w:line="297" w:lineRule="auto"/>
        <w:rPr>
          <w:sz w:val="20"/>
          <w:szCs w:val="20"/>
          <w:color w:val="auto"/>
        </w:rPr>
      </w:pPr>
      <w:r>
        <w:rPr>
          <w:rFonts w:ascii="Times New Roman" w:cs="Times New Roman" w:eastAsia="Times New Roman" w:hAnsi="Times New Roman"/>
          <w:sz w:val="18"/>
          <w:szCs w:val="18"/>
          <w:color w:val="auto"/>
        </w:rPr>
        <w:t>Our gross margin for professional services revenue improved primarily due to enhanced focus on our professional services delivery practices, and better operational efficiency of our professional services organization.</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5"/>
        </w:trPr>
        <w:tc>
          <w:tcPr>
            <w:tcW w:w="5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7"/>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4"/>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Period-over-Period</w:t>
            </w:r>
          </w:p>
        </w:tc>
      </w:tr>
      <w:tr>
        <w:trPr>
          <w:trHeight w:val="245"/>
        </w:trPr>
        <w:tc>
          <w:tcPr>
            <w:tcW w:w="5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20" w:type="dxa"/>
            <w:vAlign w:val="bottom"/>
            <w:gridSpan w:val="6"/>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00" w:type="dxa"/>
            <w:vAlign w:val="bottom"/>
          </w:tcPr>
          <w:p>
            <w:pPr>
              <w:spacing w:after="0"/>
              <w:rPr>
                <w:sz w:val="21"/>
                <w:szCs w:val="21"/>
                <w:color w:val="auto"/>
              </w:rPr>
            </w:pPr>
          </w:p>
        </w:tc>
        <w:tc>
          <w:tcPr>
            <w:tcW w:w="240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36"/>
        </w:trPr>
        <w:tc>
          <w:tcPr>
            <w:tcW w:w="59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Dollar</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60" w:type="dxa"/>
            <w:vAlign w:val="bottom"/>
          </w:tcPr>
          <w:p>
            <w:pPr>
              <w:spacing w:after="0"/>
              <w:rPr>
                <w:sz w:val="20"/>
                <w:szCs w:val="20"/>
                <w:color w:val="auto"/>
              </w:rPr>
            </w:pPr>
          </w:p>
        </w:tc>
      </w:tr>
      <w:tr>
        <w:trPr>
          <w:trHeight w:val="230"/>
        </w:trPr>
        <w:tc>
          <w:tcPr>
            <w:tcW w:w="5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86"/>
              </w:rPr>
              <w:t>except percentages)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48,160</w:t>
            </w:r>
          </w:p>
        </w:tc>
        <w:tc>
          <w:tcPr>
            <w:tcW w:w="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59,468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11,308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r>
    </w:tbl>
    <w:p>
      <w:pPr>
        <w:spacing w:after="0" w:line="211"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Research and development expenses increased by $11.3 million, or 23%, to $59.5 million for the year ended December 31, 2022 compared to $48.2 million for the year ended December 31, 2021. This increase was primarily attributable to an increase of $7.4 million in employee-related costs as a result of increased headcount, $4.1 million in share-based compensation expense and $0.5 million in allocated overhead costs. These increases were partially offset by a $0.7 million increase in capitalization of software development costs.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7"/>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4"/>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Period-over-Period</w:t>
            </w:r>
          </w:p>
        </w:tc>
      </w:tr>
      <w:tr>
        <w:trPr>
          <w:trHeight w:val="259"/>
        </w:trPr>
        <w:tc>
          <w:tcPr>
            <w:tcW w:w="5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20" w:type="dxa"/>
            <w:vAlign w:val="bottom"/>
            <w:gridSpan w:val="6"/>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00" w:type="dxa"/>
            <w:vAlign w:val="bottom"/>
          </w:tcPr>
          <w:p>
            <w:pPr>
              <w:spacing w:after="0"/>
              <w:rPr>
                <w:sz w:val="22"/>
                <w:szCs w:val="22"/>
                <w:color w:val="auto"/>
              </w:rPr>
            </w:pPr>
          </w:p>
        </w:tc>
        <w:tc>
          <w:tcPr>
            <w:tcW w:w="240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36"/>
        </w:trPr>
        <w:tc>
          <w:tcPr>
            <w:tcW w:w="59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Dollar</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60" w:type="dxa"/>
            <w:vAlign w:val="bottom"/>
          </w:tcPr>
          <w:p>
            <w:pPr>
              <w:spacing w:after="0"/>
              <w:rPr>
                <w:sz w:val="20"/>
                <w:szCs w:val="20"/>
                <w:color w:val="auto"/>
              </w:rPr>
            </w:pPr>
          </w:p>
        </w:tc>
      </w:tr>
      <w:tr>
        <w:trPr>
          <w:trHeight w:val="230"/>
        </w:trPr>
        <w:tc>
          <w:tcPr>
            <w:tcW w:w="5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86"/>
              </w:rPr>
              <w:t>except percentages)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127,719</w:t>
            </w:r>
          </w:p>
        </w:tc>
        <w:tc>
          <w:tcPr>
            <w:tcW w:w="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176,307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48,588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r>
    </w:tbl>
    <w:p>
      <w:pPr>
        <w:spacing w:after="0" w:line="198" w:lineRule="exact"/>
        <w:rPr>
          <w:sz w:val="20"/>
          <w:szCs w:val="20"/>
          <w:color w:val="auto"/>
        </w:rPr>
      </w:pPr>
    </w:p>
    <w:p>
      <w:pPr>
        <w:jc w:val="both"/>
        <w:ind w:firstLine="441"/>
        <w:spacing w:after="0" w:line="270" w:lineRule="auto"/>
        <w:rPr>
          <w:sz w:val="20"/>
          <w:szCs w:val="20"/>
          <w:color w:val="auto"/>
        </w:rPr>
      </w:pPr>
      <w:r>
        <w:rPr>
          <w:rFonts w:ascii="Times New Roman" w:cs="Times New Roman" w:eastAsia="Times New Roman" w:hAnsi="Times New Roman"/>
          <w:sz w:val="18"/>
          <w:szCs w:val="18"/>
          <w:color w:val="auto"/>
        </w:rPr>
        <w:t>Sales and marketing expenses increased by $48.6 million, or 38%, to $176.3 million for the year ended December 31, 2022 compared to $127.7 million for the year ended December 31, 2021. The increase in sales and marketing expenses was primarily attributable to an increase of $21.3 million in employee-related costs (excluding commission expenses) as a result of increased headcount and payroll benefits, $10.3 million commission expenses, including amortization of deferred commission, $10.9 million in share-based compensation expense, $2.4 million in allocated overhead, $2.3 million in travel and $1.4 million in other sales and marketing expenses.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7"/>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4"/>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Period-over-Period</w:t>
            </w:r>
          </w:p>
        </w:tc>
      </w:tr>
      <w:tr>
        <w:trPr>
          <w:trHeight w:val="245"/>
        </w:trPr>
        <w:tc>
          <w:tcPr>
            <w:tcW w:w="5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20" w:type="dxa"/>
            <w:vAlign w:val="bottom"/>
            <w:gridSpan w:val="6"/>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00" w:type="dxa"/>
            <w:vAlign w:val="bottom"/>
          </w:tcPr>
          <w:p>
            <w:pPr>
              <w:spacing w:after="0"/>
              <w:rPr>
                <w:sz w:val="21"/>
                <w:szCs w:val="21"/>
                <w:color w:val="auto"/>
              </w:rPr>
            </w:pPr>
          </w:p>
        </w:tc>
        <w:tc>
          <w:tcPr>
            <w:tcW w:w="240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37"/>
        </w:trPr>
        <w:tc>
          <w:tcPr>
            <w:tcW w:w="59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Dollar</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60" w:type="dxa"/>
            <w:vAlign w:val="bottom"/>
          </w:tcPr>
          <w:p>
            <w:pPr>
              <w:spacing w:after="0"/>
              <w:rPr>
                <w:sz w:val="20"/>
                <w:szCs w:val="20"/>
                <w:color w:val="auto"/>
              </w:rPr>
            </w:pPr>
          </w:p>
        </w:tc>
      </w:tr>
      <w:tr>
        <w:trPr>
          <w:trHeight w:val="230"/>
        </w:trPr>
        <w:tc>
          <w:tcPr>
            <w:tcW w:w="5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86"/>
              </w:rPr>
              <w:t>except percentages)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48,557</w:t>
            </w:r>
          </w:p>
        </w:tc>
        <w:tc>
          <w:tcPr>
            <w:tcW w:w="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65,188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16,631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r>
    </w:tbl>
    <w:p>
      <w:pPr>
        <w:spacing w:after="0" w:line="211"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General and administrative expenses increased by $16.6 million, or 34%, to $65.2 million for the year ended December 31, 2022 compared to $48.6 million for the year ended December 31, 2021. This increase was primarily attributable to an increase of $5.5 million in employee-related costs as a result of increased headcount, $6.3 million in share-based compensation expense, $2.8 million in professional services and insurance costs, $2.0 million in other general and administrative expenses.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Financial Income (Expense), Net</w:t>
            </w: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7"/>
        </w:trPr>
        <w:tc>
          <w:tcPr>
            <w:tcW w:w="5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Period-over-Period</w:t>
            </w:r>
          </w:p>
        </w:tc>
      </w:tr>
      <w:tr>
        <w:trPr>
          <w:trHeight w:val="245"/>
        </w:trPr>
        <w:tc>
          <w:tcPr>
            <w:tcW w:w="5980" w:type="dxa"/>
            <w:vAlign w:val="bottom"/>
          </w:tcPr>
          <w:p>
            <w:pPr>
              <w:spacing w:after="0"/>
              <w:rPr>
                <w:sz w:val="21"/>
                <w:szCs w:val="21"/>
                <w:color w:val="auto"/>
              </w:rPr>
            </w:pPr>
          </w:p>
        </w:tc>
        <w:tc>
          <w:tcPr>
            <w:tcW w:w="2660" w:type="dxa"/>
            <w:vAlign w:val="bottom"/>
            <w:gridSpan w:val="7"/>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00" w:type="dxa"/>
            <w:vAlign w:val="bottom"/>
          </w:tcPr>
          <w:p>
            <w:pPr>
              <w:spacing w:after="0"/>
              <w:rPr>
                <w:sz w:val="21"/>
                <w:szCs w:val="21"/>
                <w:color w:val="auto"/>
              </w:rPr>
            </w:pPr>
          </w:p>
        </w:tc>
        <w:tc>
          <w:tcPr>
            <w:tcW w:w="240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37"/>
        </w:trPr>
        <w:tc>
          <w:tcPr>
            <w:tcW w:w="598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3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Dollar</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60" w:type="dxa"/>
            <w:vAlign w:val="bottom"/>
          </w:tcPr>
          <w:p>
            <w:pPr>
              <w:spacing w:after="0"/>
              <w:rPr>
                <w:sz w:val="20"/>
                <w:szCs w:val="20"/>
                <w:color w:val="auto"/>
              </w:rPr>
            </w:pPr>
          </w:p>
        </w:tc>
      </w:tr>
      <w:tr>
        <w:trPr>
          <w:trHeight w:val="229"/>
        </w:trPr>
        <w:tc>
          <w:tcPr>
            <w:tcW w:w="5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(in thousands,</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86"/>
              </w:rPr>
              <w:t>except percentages)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income (expense), net</w:t>
            </w:r>
          </w:p>
        </w:tc>
        <w:tc>
          <w:tcPr>
            <w:tcW w:w="76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5,322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5,331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bl>
    <w:p>
      <w:pPr>
        <w:spacing w:after="0" w:line="211"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Financial income (expense), net increase by $5.3 million for the year ended December 31, 2022 as compared to the prior year period. This increase was primarily attributable to an increase of $4.8 million in interest income and $0.5 million in foreign currency exchange rates income.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Income Tax Expenses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7"/>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4"/>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Period-over-Period</w:t>
            </w:r>
          </w:p>
        </w:tc>
      </w:tr>
      <w:tr>
        <w:trPr>
          <w:trHeight w:val="245"/>
        </w:trPr>
        <w:tc>
          <w:tcPr>
            <w:tcW w:w="5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20" w:type="dxa"/>
            <w:vAlign w:val="bottom"/>
            <w:gridSpan w:val="6"/>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00" w:type="dxa"/>
            <w:vAlign w:val="bottom"/>
          </w:tcPr>
          <w:p>
            <w:pPr>
              <w:spacing w:after="0"/>
              <w:rPr>
                <w:sz w:val="21"/>
                <w:szCs w:val="21"/>
                <w:color w:val="auto"/>
              </w:rPr>
            </w:pPr>
          </w:p>
        </w:tc>
        <w:tc>
          <w:tcPr>
            <w:tcW w:w="240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37"/>
        </w:trPr>
        <w:tc>
          <w:tcPr>
            <w:tcW w:w="59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Dollar</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60" w:type="dxa"/>
            <w:vAlign w:val="bottom"/>
          </w:tcPr>
          <w:p>
            <w:pPr>
              <w:spacing w:after="0"/>
              <w:rPr>
                <w:sz w:val="20"/>
                <w:szCs w:val="20"/>
                <w:color w:val="auto"/>
              </w:rPr>
            </w:pPr>
          </w:p>
        </w:tc>
      </w:tr>
      <w:tr>
        <w:trPr>
          <w:trHeight w:val="229"/>
        </w:trPr>
        <w:tc>
          <w:tcPr>
            <w:tcW w:w="5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86"/>
              </w:rPr>
              <w:t>except percentages)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2,494</w:t>
            </w:r>
          </w:p>
        </w:tc>
        <w:tc>
          <w:tcPr>
            <w:tcW w:w="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3,831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r>
    </w:tbl>
    <w:p>
      <w:pPr>
        <w:spacing w:after="0" w:line="211"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Income tax expenses increased by $1.3 million, or 54%, to $3.8 million for the year ended December 31, 2022 compared to $2.5 million for the year ended December 31, 2021. The increase in income tax expenses was primarily due to an increase in taxes on our operations in the United States.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Liquidity and Capital Resources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43" w:lineRule="exact"/>
        <w:rPr>
          <w:sz w:val="20"/>
          <w:szCs w:val="20"/>
          <w:color w:val="auto"/>
        </w:rPr>
      </w:pPr>
    </w:p>
    <w:p>
      <w:pPr>
        <w:jc w:val="both"/>
        <w:ind w:firstLine="441"/>
        <w:spacing w:after="0" w:line="274" w:lineRule="auto"/>
        <w:rPr>
          <w:sz w:val="20"/>
          <w:szCs w:val="20"/>
          <w:color w:val="auto"/>
        </w:rPr>
      </w:pPr>
      <w:r>
        <w:rPr>
          <w:rFonts w:ascii="Times New Roman" w:cs="Times New Roman" w:eastAsia="Times New Roman" w:hAnsi="Times New Roman"/>
          <w:sz w:val="18"/>
          <w:szCs w:val="18"/>
          <w:color w:val="auto"/>
        </w:rPr>
        <w:t>Since inception, we have financed operations primarily through our operating cash flows and the net proceeds we have received from sales of equity securities. In June 2021, upon completion of our IPO, we received net proceeds of $263.9 million, after deducting underwriters’ discounts and commissions and offering expenses of $22.8 million.</w:t>
      </w:r>
    </w:p>
    <w:p>
      <w:pPr>
        <w:spacing w:after="0" w:line="196"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As of December 31, 2022, our principal sources of liquidity were cash and cash equivalents and short-term bank deposits of $219.3 million and investments in marketable securities of $85.5 million.</w:t>
      </w:r>
    </w:p>
    <w:p>
      <w:pPr>
        <w:spacing w:after="0" w:line="189" w:lineRule="exact"/>
        <w:rPr>
          <w:sz w:val="20"/>
          <w:szCs w:val="20"/>
          <w:color w:val="auto"/>
        </w:rPr>
      </w:pPr>
    </w:p>
    <w:p>
      <w:pPr>
        <w:jc w:val="both"/>
        <w:ind w:firstLine="441"/>
        <w:spacing w:after="0" w:line="274" w:lineRule="auto"/>
        <w:rPr>
          <w:sz w:val="20"/>
          <w:szCs w:val="20"/>
          <w:color w:val="auto"/>
        </w:rPr>
      </w:pPr>
      <w:r>
        <w:rPr>
          <w:rFonts w:ascii="Times New Roman" w:cs="Times New Roman" w:eastAsia="Times New Roman" w:hAnsi="Times New Roman"/>
          <w:sz w:val="18"/>
          <w:szCs w:val="18"/>
          <w:color w:val="auto"/>
        </w:rPr>
        <w:t>In August 2021, we entered into a loan and security agreement with SVB to establish a Revolving Credit Facility to enable us to borrow, repay and re-borrow funds up to the amount of $50 million for a period of three years. As of December 31, 2022, this facility remained unutilized. At this time the Company is evaluating future accessibility to the revolving credit facility.</w:t>
      </w:r>
    </w:p>
    <w:p>
      <w:pPr>
        <w:spacing w:after="0" w:line="182" w:lineRule="exact"/>
        <w:rPr>
          <w:sz w:val="20"/>
          <w:szCs w:val="20"/>
          <w:color w:val="auto"/>
        </w:rPr>
      </w:pPr>
    </w:p>
    <w:p>
      <w:pPr>
        <w:jc w:val="both"/>
        <w:ind w:firstLine="441"/>
        <w:spacing w:after="0" w:line="281" w:lineRule="auto"/>
        <w:rPr>
          <w:sz w:val="20"/>
          <w:szCs w:val="20"/>
          <w:color w:val="auto"/>
        </w:rPr>
      </w:pPr>
      <w:r>
        <w:rPr>
          <w:rFonts w:ascii="Times New Roman" w:cs="Times New Roman" w:eastAsia="Times New Roman" w:hAnsi="Times New Roman"/>
          <w:sz w:val="17"/>
          <w:szCs w:val="17"/>
          <w:color w:val="auto"/>
        </w:rPr>
        <w:t>We believe that our existing cash and cash equivalents and short-term bank deposits and investments in marketable securities, together with cash flow from operations, will be sufficient to support our liquidity and capital requirements for at least the next 12 months. Our future capital requirements will depend on many factors, including our revenue growth, the timing and extent of investments to support such growth, the expansion of sales and marketing activities, increases in general and administrative costs and many other factors, including those described elsewhere in this section under “Key Factors Affecting Our Performance” and elsewhere in this Annual Report under “Risk Factors.” We may, in the future, enter into arrangements to acquire or invest in complementary technologies, solutions or businesses. We may be required to seek additional equity or debt financing. In the event we require additional financing, we may not be able to raise such financing on terms acceptable to us or at all. In particular, the COVID-19 pandemic, followed by inflation and rising interest rates across the global economy, has resulted in, and may continue to result in, significant disruption of global financial markets, which may reduce our ability to access capital. If we are unable to raise additional capital or generate cash flows necessary to expand our operations and invest in continued innovation, we may not be able to compete successfully, which would adversely affect our business, financial condition and results of operations.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8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7"/>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0"/>
                <w:szCs w:val="20"/>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(34,225)</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(46,808)</w:t>
            </w: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(27,523)</w:t>
            </w:r>
          </w:p>
        </w:tc>
        <w:tc>
          <w:tcPr>
            <w:tcW w:w="3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(149,956)</w:t>
            </w:r>
          </w:p>
        </w:tc>
      </w:tr>
      <w:tr>
        <w:trPr>
          <w:trHeight w:val="23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276,789</w:t>
            </w: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14,791</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currency exchange rate changes on cash, cash equivalents, and restricted cash</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(685)</w:t>
            </w:r>
          </w:p>
        </w:tc>
        <w:tc>
          <w:tcPr>
            <w:tcW w:w="3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(850)</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214,356</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(182,823)</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62,895</w:t>
            </w:r>
          </w:p>
        </w:tc>
        <w:tc>
          <w:tcPr>
            <w:tcW w:w="3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277,251</w:t>
            </w:r>
          </w:p>
        </w:tc>
      </w:tr>
      <w:tr>
        <w:trPr>
          <w:trHeight w:val="23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the year</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277,251</w:t>
            </w: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94,428</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41" w:lineRule="exact"/>
        <w:rPr>
          <w:sz w:val="20"/>
          <w:szCs w:val="20"/>
          <w:color w:val="auto"/>
        </w:rPr>
      </w:pPr>
    </w:p>
    <w:p>
      <w:pPr>
        <w:jc w:val="both"/>
        <w:ind w:firstLine="441"/>
        <w:spacing w:after="0" w:line="281" w:lineRule="auto"/>
        <w:rPr>
          <w:sz w:val="20"/>
          <w:szCs w:val="20"/>
          <w:color w:val="auto"/>
        </w:rPr>
      </w:pPr>
      <w:r>
        <w:rPr>
          <w:rFonts w:ascii="Times New Roman" w:cs="Times New Roman" w:eastAsia="Times New Roman" w:hAnsi="Times New Roman"/>
          <w:sz w:val="18"/>
          <w:szCs w:val="18"/>
          <w:color w:val="auto"/>
        </w:rPr>
        <w:t>Our largest source of operating cash is cash collection from sales of subscriptions to our customers. Our primary uses of cash from operating activities are for employee-related expenses, marketing expenses, hosting expenses and allocated overhead expenses. We have generated negative cash flows and have supplemented working capital requirements through net proceeds from the sale of equity securities.</w:t>
      </w:r>
    </w:p>
    <w:p>
      <w:pPr>
        <w:spacing w:after="0" w:line="177"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Cash used in operating activities for the year ended December 31, 2021 of $34.2 million was primarily related to our net loss of $80.3 million, adjusted for non-cash charges of $32.1 million and net cash inflows of approximately $14.0 million provided by changes in our operating assets and liabilities. Non-cash charges primarily consisted of share-based compensation, depreciation of property and equipment, amortization of capitalized software and amortization of acquired intangibles. The main drivers of the changes in operating assets and liabilities were related to a $28.6 increase in deferred revenues, mainly due to increased billing, $15.0 million increase in employee-related accruals, $4.6 million increase in accrued expenses and other liabilities and $1.7 million increase in deferred taxes, net. These amounts were partially offset by a $29.8 million increase in prepaid expenses and other assets primarily due to an increase in deferred contract acquisition costs and $7.0 million increase in trade receivables, net, due to an increase in sales.</w:t>
      </w:r>
    </w:p>
    <w:p>
      <w:pPr>
        <w:spacing w:after="0" w:line="190"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Cash used in operating activities for the year ended December 31, 2022 of $46.8 million was primarily related to our net loss of $108.3 million, adjusted for non-cash charges of $58.0 million and net cash inflows of approximately $3.5 million provided by changes in our operating assets and liabilities. Non-cash charges primarily consisted of share-based compensation, depreciation, amortization and impairments of long-lived assets. The main drivers of the changes in operating assets and liabilities were related to a $22.9 million increase in deferred revenues, mainly due to increased billing, $3.2 million increase in accrued expenses and other liabilities and $2.5 million increase in deferred taxes, net. These amounts were partially offset by a $8.9 million increase in prepaid expenses and other assets, $7.4 million increase in trade receivables, net, due to an increase in sales and $5.8 million decrease in employees and payroll accruals.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41" w:lineRule="exact"/>
        <w:rPr>
          <w:sz w:val="20"/>
          <w:szCs w:val="20"/>
          <w:color w:val="auto"/>
        </w:rPr>
      </w:pPr>
    </w:p>
    <w:p>
      <w:pPr>
        <w:jc w:val="both"/>
        <w:ind w:firstLine="441"/>
        <w:spacing w:after="0" w:line="274" w:lineRule="auto"/>
        <w:rPr>
          <w:sz w:val="20"/>
          <w:szCs w:val="20"/>
          <w:color w:val="auto"/>
        </w:rPr>
      </w:pPr>
      <w:r>
        <w:rPr>
          <w:rFonts w:ascii="Times New Roman" w:cs="Times New Roman" w:eastAsia="Times New Roman" w:hAnsi="Times New Roman"/>
          <w:sz w:val="18"/>
          <w:szCs w:val="18"/>
          <w:color w:val="auto"/>
        </w:rPr>
        <w:t>Cash used in investing activities of $27.5 million for the year ended December 31, 2021 was related to net investment in short-term and long-term bank deposits of $19.6 million, capitalization of software development costs of $3.9 million, capital expenditures of $2.6 million and $1.3 purchase of intangible assets.</w:t>
      </w:r>
    </w:p>
    <w:p>
      <w:pPr>
        <w:spacing w:after="0" w:line="196" w:lineRule="exact"/>
        <w:rPr>
          <w:sz w:val="20"/>
          <w:szCs w:val="20"/>
          <w:color w:val="auto"/>
        </w:rPr>
      </w:pPr>
    </w:p>
    <w:p>
      <w:pPr>
        <w:jc w:val="both"/>
        <w:ind w:firstLine="441"/>
        <w:spacing w:after="0" w:line="274" w:lineRule="auto"/>
        <w:rPr>
          <w:sz w:val="20"/>
          <w:szCs w:val="20"/>
          <w:color w:val="auto"/>
        </w:rPr>
      </w:pPr>
      <w:r>
        <w:rPr>
          <w:rFonts w:ascii="Times New Roman" w:cs="Times New Roman" w:eastAsia="Times New Roman" w:hAnsi="Times New Roman"/>
          <w:sz w:val="18"/>
          <w:szCs w:val="18"/>
          <w:color w:val="auto"/>
        </w:rPr>
        <w:t>Cash used in investing activities of $150.0 million for the year ended December 31, 2022 was related to investment in marketable securities of $84.9 and net investment in short-term and long-term bank deposits of $57.9 million, capitalization of software development costs of $4.3 million and capital expenditures of $2.9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54" w:lineRule="exact"/>
        <w:rPr>
          <w:sz w:val="20"/>
          <w:szCs w:val="20"/>
          <w:color w:val="auto"/>
        </w:rPr>
      </w:pPr>
    </w:p>
    <w:p>
      <w:pPr>
        <w:jc w:val="both"/>
        <w:ind w:firstLine="441"/>
        <w:spacing w:after="0" w:line="274" w:lineRule="auto"/>
        <w:rPr>
          <w:sz w:val="20"/>
          <w:szCs w:val="20"/>
          <w:color w:val="auto"/>
        </w:rPr>
      </w:pPr>
      <w:r>
        <w:rPr>
          <w:rFonts w:ascii="Times New Roman" w:cs="Times New Roman" w:eastAsia="Times New Roman" w:hAnsi="Times New Roman"/>
          <w:sz w:val="18"/>
          <w:szCs w:val="18"/>
          <w:color w:val="auto"/>
        </w:rPr>
        <w:t>Cash provided by financing activities of $276.8 million for the year ended December 31, 2021 was primarily due to net proceeds from our initial public offering of $263.9 million after deducting underwriting discounts and commissions and other issuance costs, $10.0 million in proceeds from equity financing, net of issuance costs and $2.9 million of proceeds from the exercise of share options.</w:t>
      </w:r>
    </w:p>
    <w:p>
      <w:pPr>
        <w:spacing w:after="0" w:line="182" w:lineRule="exact"/>
        <w:rPr>
          <w:sz w:val="20"/>
          <w:szCs w:val="20"/>
          <w:color w:val="auto"/>
        </w:rPr>
      </w:pPr>
    </w:p>
    <w:p>
      <w:pPr>
        <w:jc w:val="both"/>
        <w:ind w:firstLine="441"/>
        <w:spacing w:after="0" w:line="297" w:lineRule="auto"/>
        <w:rPr>
          <w:sz w:val="20"/>
          <w:szCs w:val="20"/>
          <w:color w:val="auto"/>
        </w:rPr>
      </w:pPr>
      <w:r>
        <w:rPr>
          <w:rFonts w:ascii="Times New Roman" w:cs="Times New Roman" w:eastAsia="Times New Roman" w:hAnsi="Times New Roman"/>
          <w:sz w:val="18"/>
          <w:szCs w:val="18"/>
          <w:color w:val="auto"/>
        </w:rPr>
        <w:t>Cash provided by financing activities of $14.8 million for the year ended December 31, 2022 was due to proceeds from employee share purchase plans of $9.7 million and proceeds from the exercise of share option of $5.1 million.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 for Known Contractual and Other Obligations</w:t>
      </w:r>
    </w:p>
    <w:p>
      <w:pPr>
        <w:spacing w:after="0" w:line="243" w:lineRule="exact"/>
        <w:rPr>
          <w:sz w:val="20"/>
          <w:szCs w:val="20"/>
          <w:color w:val="auto"/>
        </w:rPr>
      </w:pPr>
    </w:p>
    <w:p>
      <w:pPr>
        <w:jc w:val="both"/>
        <w:ind w:firstLine="441"/>
        <w:spacing w:after="0" w:line="270" w:lineRule="auto"/>
        <w:rPr>
          <w:sz w:val="20"/>
          <w:szCs w:val="20"/>
          <w:color w:val="auto"/>
        </w:rPr>
      </w:pPr>
      <w:r>
        <w:rPr>
          <w:rFonts w:ascii="Times New Roman" w:cs="Times New Roman" w:eastAsia="Times New Roman" w:hAnsi="Times New Roman"/>
          <w:sz w:val="18"/>
          <w:szCs w:val="18"/>
          <w:color w:val="auto"/>
        </w:rPr>
        <w:t>We are a party to many contractual obligations involving commitments to make payments to third parties. These obligations impact our short-term and long-term liquidity and capital resource needs. Certain contractual obligations are reflected on the consolidated balance sheet as of December 31, 2022, while others are considered future commitments. Our contractual obligations primarily consist of hosting services, software products and services and operating leases. For information regarding our other contractual obligations, refer to Note 7 “Commitments and Contingent Liabilities“ and Note 8, “Leases”.</w:t>
      </w:r>
    </w:p>
    <w:p>
      <w:pPr>
        <w:spacing w:after="0" w:line="186"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In addition to the obligations described above, our subscription agreements contain standard indemnification obligations. Pursuant to these agreements, we will indemnify, defend, and hold the other party harmless with respect to a claim, suit, or proceeding brought against the other party by a third party alleging that our intellectual property infringes upon the intellectual property of the third party, or results from a breach of our representations and warranties or covenants, or that results from any acts of negligence or willful misconduct. The term of these indemnification agreements is generally perpetual any time after the execution of the agreement. Typically, these indemnification provisions do not provide for a maximum potential amount of future payments we could be required to make. However, in the past we have not been obligated to make significant payments for these obligations and no liabilities have been recorded for these obligations on our consolidated balance sheets as of December 31, 2021 or 2022.</w:t>
      </w:r>
    </w:p>
    <w:p>
      <w:pPr>
        <w:spacing w:after="0" w:line="203"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We also indemnify our officers and directors for certain events or occurrences, subject to certain limits, while the officer is or was serving at our request in such capacity. The maximum amount of potential future indemnification is unlimited. However, our director and officer insurance policy limits our exposure and enables us to recover a portion of any future amounts paid. Historically, we have not been obligated to make any payments for these obligations and no liabilities have been recorded for these obligations on our consolidated balance sheet as of December 31, 2021 or 2022.</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WalkMe K.K.</w:t>
      </w:r>
    </w:p>
    <w:p>
      <w:pPr>
        <w:spacing w:after="0" w:line="243"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2018, we established WalkMe K.K., a Japanese company in which we own a controlling interest, for purposes of facilitating our entry into the Japanese market. We have consolidated the results of operations and financial condition of WalkMe K.K. since its inception. Pursuant to an agreement with the holders of the non-controlling interest in WalkMe K.K., beginning in 2027 we may redeem the non-controlling interest, or be required to redeem such interest by the holders thereof, based on a prescribed formula derived from certain financial performance indicators of WalkMe K.K. and the Company. The balance of the redeemable non-controlling interest is reported on our balance sheet below total liabilities but above shareholders’ equity at the greater of the initial carrying amount adjusted for the redeemable non-controlling interest’s share of earnings or losses and other comprehensive income or loss, or its estimated redemption value. As of December 31, 2021 and 2022, the redeemable non-controlling interest of non-controlling interests in WalkMe K.K. amounted to $23.9 million and $8.1 million, respectively.</w:t>
      </w:r>
    </w:p>
    <w:p>
      <w:pPr>
        <w:spacing w:after="0" w:line="186" w:lineRule="exact"/>
        <w:rPr>
          <w:sz w:val="20"/>
          <w:szCs w:val="20"/>
          <w:color w:val="auto"/>
        </w:rPr>
      </w:pPr>
    </w:p>
    <w:p>
      <w:pPr>
        <w:ind w:left="400" w:hanging="392"/>
        <w:spacing w:after="0"/>
        <w:tabs>
          <w:tab w:leader="none" w:pos="40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and Development, Patents and Licenses, Etc.</w:t>
      </w:r>
    </w:p>
    <w:p>
      <w:pPr>
        <w:spacing w:after="0" w:line="243" w:lineRule="exact"/>
        <w:rPr>
          <w:sz w:val="20"/>
          <w:szCs w:val="20"/>
          <w:color w:val="auto"/>
        </w:rPr>
      </w:pPr>
    </w:p>
    <w:p>
      <w:pPr>
        <w:ind w:firstLine="441"/>
        <w:spacing w:after="0" w:line="297" w:lineRule="auto"/>
        <w:rPr>
          <w:sz w:val="20"/>
          <w:szCs w:val="20"/>
          <w:color w:val="auto"/>
        </w:rPr>
      </w:pPr>
      <w:r>
        <w:rPr>
          <w:rFonts w:ascii="Times New Roman" w:cs="Times New Roman" w:eastAsia="Times New Roman" w:hAnsi="Times New Roman"/>
          <w:sz w:val="18"/>
          <w:szCs w:val="18"/>
          <w:color w:val="auto"/>
        </w:rPr>
        <w:t>For a discussion of our research and development policies for the last three years, see Item 4.B. “Research and Development” and “Our Intellectual Property” above.</w:t>
      </w:r>
    </w:p>
    <w:p>
      <w:pPr>
        <w:spacing w:after="0" w:line="159" w:lineRule="exact"/>
        <w:rPr>
          <w:sz w:val="20"/>
          <w:szCs w:val="20"/>
          <w:color w:val="auto"/>
        </w:rPr>
      </w:pPr>
    </w:p>
    <w:p>
      <w:pPr>
        <w:ind w:left="400" w:hanging="392"/>
        <w:spacing w:after="0"/>
        <w:tabs>
          <w:tab w:leader="none" w:pos="40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Trend Information</w:t>
      </w:r>
    </w:p>
    <w:p>
      <w:pPr>
        <w:spacing w:after="0" w:line="243" w:lineRule="exact"/>
        <w:rPr>
          <w:sz w:val="20"/>
          <w:szCs w:val="20"/>
          <w:color w:val="auto"/>
        </w:rPr>
      </w:pPr>
    </w:p>
    <w:p>
      <w:pPr>
        <w:jc w:val="both"/>
        <w:ind w:firstLine="441"/>
        <w:spacing w:after="0" w:line="281" w:lineRule="auto"/>
        <w:rPr>
          <w:sz w:val="20"/>
          <w:szCs w:val="20"/>
          <w:color w:val="auto"/>
        </w:rPr>
      </w:pPr>
      <w:r>
        <w:rPr>
          <w:rFonts w:ascii="Times New Roman" w:cs="Times New Roman" w:eastAsia="Times New Roman" w:hAnsi="Times New Roman"/>
          <w:sz w:val="18"/>
          <w:szCs w:val="18"/>
          <w:color w:val="auto"/>
        </w:rPr>
        <w:t>Other than as disclosed elsewhere in this Annual Report, we are not aware of any trends, uncertainties, demands, commitments or events since December 31, 2022 that are reasonably likely to have a material adverse effect on our revenues, income, profitability, liquidity or capital resources, or that would cause the disclosed financial information to be not necessarily indicative of our future operating results or financial conditions.</w:t>
      </w:r>
    </w:p>
    <w:p>
      <w:pPr>
        <w:spacing w:after="0" w:line="173" w:lineRule="exact"/>
        <w:rPr>
          <w:sz w:val="20"/>
          <w:szCs w:val="20"/>
          <w:color w:val="auto"/>
        </w:rPr>
      </w:pPr>
    </w:p>
    <w:p>
      <w:pPr>
        <w:ind w:left="400" w:hanging="392"/>
        <w:spacing w:after="0"/>
        <w:tabs>
          <w:tab w:leader="none" w:pos="40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Critical Accounting Estimates</w:t>
      </w:r>
    </w:p>
    <w:p>
      <w:pPr>
        <w:spacing w:after="0" w:line="243" w:lineRule="exact"/>
        <w:rPr>
          <w:sz w:val="20"/>
          <w:szCs w:val="20"/>
          <w:color w:val="auto"/>
        </w:rPr>
      </w:pPr>
    </w:p>
    <w:p>
      <w:pPr>
        <w:jc w:val="both"/>
        <w:ind w:firstLine="441"/>
        <w:spacing w:after="0" w:line="270" w:lineRule="auto"/>
        <w:rPr>
          <w:sz w:val="20"/>
          <w:szCs w:val="20"/>
          <w:color w:val="auto"/>
        </w:rPr>
      </w:pPr>
      <w:r>
        <w:rPr>
          <w:rFonts w:ascii="Times New Roman" w:cs="Times New Roman" w:eastAsia="Times New Roman" w:hAnsi="Times New Roman"/>
          <w:sz w:val="18"/>
          <w:szCs w:val="18"/>
          <w:color w:val="auto"/>
        </w:rPr>
        <w:t>We have provided a summary of our significant accounting policies, estimates and judgments in Note 2 to our consolidated financial statements, which are included elsewhere in this Annual Report. The following critical accounting discussion pertains to accounting policies management believes are most critical to the portrayal of our historical financial condition and results of operations and that require significant, difficult, subjective or complex judgments. Other companies in similar businesses may use different estimation policies and methodologies, which may impact the comparability of our financial condition, results of operations and cash flows to those of other companies.</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Application of Critical Accounting Policies and Estimates</w:t>
      </w:r>
    </w:p>
    <w:p>
      <w:pPr>
        <w:spacing w:after="0" w:line="256"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Our consolidated financial statements and the related notes thereto included elsewhere in this Annual Report are prepared in accordance with GAAP. The preparation of consolidated financial statements in accordance with GAAP requires us to make estimates, judgments and assumptions that affect the amounts reported in our consolidated financial statements and the related disclosures. Our management believes that the estimates, judgments and assumptions used are reasonable based upon information available at the time they are made. These estimates, judgments and assumptions can affect the reported amounts of assets and liabilities and disclosure of contingent assets and liabilities as of the dates set forth in the consolidated financial statements, and the reported amounts of revenue and expenses during the applicable reporting periods. Actual results could differ from those estimates.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00" w:name="page101"/>
    <w:bookmarkEnd w:id="100"/>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We believe that the accounting policies described below require management’s most difficult, subjective or complex judgments. Judgments or uncertainties affecting the application of these policies may result in materially different amounts being reported under different conditions or using different assumptions. Accordingly, we believe these are the most critical to aid in fully understanding and evaluating our financial condition and results of operations. See note 2 to the consolidated financial statements included elsewhere in this Annual Report for a summary of significant accounting policies and the effect on our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43" w:lineRule="exact"/>
        <w:rPr>
          <w:sz w:val="20"/>
          <w:szCs w:val="20"/>
          <w:color w:val="auto"/>
        </w:rPr>
      </w:pPr>
    </w:p>
    <w:p>
      <w:pPr>
        <w:jc w:val="both"/>
        <w:ind w:firstLine="441"/>
        <w:spacing w:after="0" w:line="270" w:lineRule="auto"/>
        <w:rPr>
          <w:sz w:val="20"/>
          <w:szCs w:val="20"/>
          <w:color w:val="auto"/>
        </w:rPr>
      </w:pPr>
      <w:r>
        <w:rPr>
          <w:rFonts w:ascii="Times New Roman" w:cs="Times New Roman" w:eastAsia="Times New Roman" w:hAnsi="Times New Roman"/>
          <w:sz w:val="18"/>
          <w:szCs w:val="18"/>
          <w:color w:val="auto"/>
        </w:rPr>
        <w:t>We generate revenue primarily from sales of subscriptions to access our Digital Adoption Platform, together with related services to our customers. Arrangements with customers do not provide the customer with the right to take possession of the software operating our platform at any time. Instead, customers are granted continuous access to our platform over the contractual period. Revenue is recognized when control of these services is transferred to our customers, which is based on the customer’s usage of the product and reflects the consideration we expect to receive in exchange for those services. Revenue excludes sales and other indirect taxes.</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account for revenue contracts with customers through the following steps:</w:t>
      </w:r>
    </w:p>
    <w:p>
      <w:pPr>
        <w:spacing w:after="0" w:line="239" w:lineRule="exact"/>
        <w:rPr>
          <w:sz w:val="20"/>
          <w:szCs w:val="20"/>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with a customer;</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we satisfy a performance obligation.</w:t>
      </w:r>
    </w:p>
    <w:p>
      <w:pPr>
        <w:spacing w:after="0" w:line="252" w:lineRule="exact"/>
        <w:rPr>
          <w:sz w:val="20"/>
          <w:szCs w:val="20"/>
          <w:color w:val="auto"/>
        </w:rPr>
      </w:pPr>
    </w:p>
    <w:p>
      <w:pPr>
        <w:jc w:val="both"/>
        <w:ind w:firstLine="441"/>
        <w:spacing w:after="0" w:line="274" w:lineRule="auto"/>
        <w:rPr>
          <w:sz w:val="20"/>
          <w:szCs w:val="20"/>
          <w:color w:val="auto"/>
        </w:rPr>
      </w:pPr>
      <w:r>
        <w:rPr>
          <w:rFonts w:ascii="Times New Roman" w:cs="Times New Roman" w:eastAsia="Times New Roman" w:hAnsi="Times New Roman"/>
          <w:sz w:val="18"/>
          <w:szCs w:val="18"/>
          <w:color w:val="auto"/>
        </w:rPr>
        <w:t>Our contracts with customers often include promises to transfer multiple performance obligations. In these contracts, we identify each performance obligation and evaluate whether the performance obligations are distinct within the context of the contract at contract inception. Performance obligations that are not distinct at contract inception are combined.</w:t>
      </w:r>
    </w:p>
    <w:p>
      <w:pPr>
        <w:spacing w:after="0" w:line="182" w:lineRule="exact"/>
        <w:rPr>
          <w:sz w:val="20"/>
          <w:szCs w:val="20"/>
          <w:color w:val="auto"/>
        </w:rPr>
      </w:pPr>
    </w:p>
    <w:p>
      <w:pPr>
        <w:jc w:val="both"/>
        <w:ind w:firstLine="441"/>
        <w:spacing w:after="0" w:line="281" w:lineRule="auto"/>
        <w:rPr>
          <w:sz w:val="20"/>
          <w:szCs w:val="20"/>
          <w:color w:val="auto"/>
        </w:rPr>
      </w:pPr>
      <w:r>
        <w:rPr>
          <w:rFonts w:ascii="Times New Roman" w:cs="Times New Roman" w:eastAsia="Times New Roman" w:hAnsi="Times New Roman"/>
          <w:sz w:val="18"/>
          <w:szCs w:val="18"/>
          <w:color w:val="auto"/>
        </w:rPr>
        <w:t>We allocate the transaction price to each distinct performance obligation based on the stand-alone selling price for each performance obligation. Judgment is required to determine the stand-alone selling price for each distinct performance obligation. We generally estimate the stand-alone selling price of our subscription and professional services based on the actual renewal prices in stand-alone transactions.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to Obtain a Contract</w:t>
      </w:r>
    </w:p>
    <w:p>
      <w:pPr>
        <w:spacing w:after="0" w:line="243" w:lineRule="exact"/>
        <w:rPr>
          <w:sz w:val="20"/>
          <w:szCs w:val="20"/>
          <w:color w:val="auto"/>
        </w:rPr>
      </w:pPr>
    </w:p>
    <w:p>
      <w:pPr>
        <w:jc w:val="both"/>
        <w:ind w:firstLine="441"/>
        <w:spacing w:after="0" w:line="281" w:lineRule="auto"/>
        <w:rPr>
          <w:sz w:val="20"/>
          <w:szCs w:val="20"/>
          <w:color w:val="auto"/>
        </w:rPr>
      </w:pPr>
      <w:r>
        <w:rPr>
          <w:rFonts w:ascii="Times New Roman" w:cs="Times New Roman" w:eastAsia="Times New Roman" w:hAnsi="Times New Roman"/>
          <w:sz w:val="18"/>
          <w:szCs w:val="18"/>
          <w:color w:val="auto"/>
        </w:rPr>
        <w:t>We capitalize sales commissions and associated payroll taxes paid to sales personnel that are incremental to the acquisition of customer contracts. These costs are recorded as deferred contract acquisition costs on the consolidated balance sheets. We determine whether costs should be deferred based on our sales compensation plans and if the commissions are incremental and would not have occurred absent the customer contract.</w:t>
      </w:r>
    </w:p>
    <w:p>
      <w:pPr>
        <w:spacing w:after="0" w:line="177" w:lineRule="exact"/>
        <w:rPr>
          <w:sz w:val="20"/>
          <w:szCs w:val="20"/>
          <w:color w:val="auto"/>
        </w:rPr>
      </w:pPr>
    </w:p>
    <w:p>
      <w:pPr>
        <w:jc w:val="both"/>
        <w:ind w:firstLine="441"/>
        <w:spacing w:after="0" w:line="270" w:lineRule="auto"/>
        <w:rPr>
          <w:sz w:val="20"/>
          <w:szCs w:val="20"/>
          <w:color w:val="auto"/>
        </w:rPr>
      </w:pPr>
      <w:r>
        <w:rPr>
          <w:rFonts w:ascii="Times New Roman" w:cs="Times New Roman" w:eastAsia="Times New Roman" w:hAnsi="Times New Roman"/>
          <w:sz w:val="18"/>
          <w:szCs w:val="18"/>
          <w:color w:val="auto"/>
        </w:rPr>
        <w:t>Sales commissions for the renewal of a contract are not considered commensurate with the sales commissions paid for the acquisition of the initial contract given a substantive difference in commission rates in proportion to their respective contract values. Sales commissions paid for the renewal of a contract to sales personnel are amortized over the contractual term of the renewals. Sales commissions paid upon the initial acquisition of a customer contract for sales personnel are amortized over a period of four years. We determine the period of benefit for sales commissions paid for the acquisition of the initial customer contract by taking into consideration the length of terms in its customer contracts, life of the technology and other factors.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01" w:name="page102"/>
    <w:bookmarkEnd w:id="101"/>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Amortization of sales commissions are included in sales and marketing expenses in the consolidated statements of operations. We have applied the practical expedient in ASC 340-40, Other assets and deferred costs, to expense costs as incurred for costs to obtain a contract with a customer when the amortization period would have been one year or less. We periodically review these deferred contract acquisition costs to determine whether events or changes in circumstances have occurred that could impact the period of benefit.</w:t>
      </w:r>
    </w:p>
    <w:p>
      <w:pPr>
        <w:spacing w:after="0" w:line="186" w:lineRule="exact"/>
        <w:rPr>
          <w:sz w:val="20"/>
          <w:szCs w:val="20"/>
          <w:color w:val="auto"/>
        </w:rPr>
      </w:pPr>
    </w:p>
    <w:p>
      <w:pPr>
        <w:jc w:val="both"/>
        <w:ind w:right="20" w:firstLine="441"/>
        <w:spacing w:after="0" w:line="297" w:lineRule="auto"/>
        <w:rPr>
          <w:sz w:val="20"/>
          <w:szCs w:val="20"/>
          <w:color w:val="auto"/>
        </w:rPr>
      </w:pPr>
      <w:r>
        <w:rPr>
          <w:rFonts w:ascii="Times New Roman" w:cs="Times New Roman" w:eastAsia="Times New Roman" w:hAnsi="Times New Roman"/>
          <w:sz w:val="18"/>
          <w:szCs w:val="18"/>
          <w:color w:val="auto"/>
        </w:rPr>
        <w:t>As of December 31, 2022, we had $66.4 million of deferred contract acquisition costs, of which $26.3 million will be amortized over the next 12 months.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43"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Share-based compensation expense related to employees, consultants, and non-employee directors is measured based on the grant-date fair value of the awards. We establish fair value as the measurement objective in accounting for share-based payment transactions and recognize expenses on a straight-line basis over the requisite service period, which is generally the vesting term of four years. The fair value of each share option granted is estimated using the Black-Scholes option-pricing model and, for ESPP awards, we used a Monte Carlo option-pricing model.</w:t>
      </w:r>
    </w:p>
    <w:p>
      <w:pPr>
        <w:spacing w:after="0" w:line="1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fair value of each RSU is based on the fair value of our ordinary shares on the date of grant.</w:t>
      </w:r>
    </w:p>
    <w:p>
      <w:pPr>
        <w:spacing w:after="0" w:line="239"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Determining the fair value of share-based awards at the grant date requires significant judgment. The determination of the grant date fair value of share-based awards using the option-pricing models was affected by our estimated ordinary share fair value as well as other subjective assumptions including the expected term of the awards, the expected volatility over the expected term of the awards, expected dividend yield and risk-free interest rates. The assumptions used in our option-pricing model represent management’s best estimates. These assumptions and estimates are as follows:</w:t>
      </w:r>
    </w:p>
    <w:p>
      <w:pPr>
        <w:spacing w:after="0" w:line="186" w:lineRule="exact"/>
        <w:rPr>
          <w:sz w:val="20"/>
          <w:szCs w:val="20"/>
          <w:color w:val="auto"/>
        </w:rPr>
      </w:pPr>
    </w:p>
    <w:p>
      <w:pPr>
        <w:jc w:val="both"/>
        <w:ind w:left="340" w:hanging="332"/>
        <w:spacing w:after="0" w:line="274"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Ordinary Shares. For the period in which our ordinary shares were not publicly traded, we estimated the fair value of our ordinary shares based on contemporaneous valuations and other factors deemed relevant by management. After the IPO, the fair value of each ordinary share was based on the closing price of our publicly traded ordinary shares as reported on the date of the grant.</w:t>
      </w:r>
    </w:p>
    <w:p>
      <w:pPr>
        <w:spacing w:after="0" w:line="195" w:lineRule="exact"/>
        <w:rPr>
          <w:rFonts w:ascii="Times New Roman" w:cs="Times New Roman" w:eastAsia="Times New Roman" w:hAnsi="Times New Roman"/>
          <w:sz w:val="18"/>
          <w:szCs w:val="18"/>
          <w:color w:val="auto"/>
        </w:rPr>
      </w:pPr>
    </w:p>
    <w:p>
      <w:pPr>
        <w:jc w:val="both"/>
        <w:ind w:left="340" w:hanging="332"/>
        <w:spacing w:after="0" w:line="274"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 The expected term of the share options reflects the period for which we believe the option will remain outstanding. To determine the expected term, we generally apply the simplified method approach. The simplified method deems the term to be the average of the time-to-vesting and the contractual life of the options.</w:t>
      </w:r>
    </w:p>
    <w:p>
      <w:pPr>
        <w:spacing w:after="0" w:line="195" w:lineRule="exact"/>
        <w:rPr>
          <w:rFonts w:ascii="Times New Roman" w:cs="Times New Roman" w:eastAsia="Times New Roman" w:hAnsi="Times New Roman"/>
          <w:sz w:val="18"/>
          <w:szCs w:val="18"/>
          <w:color w:val="auto"/>
        </w:rPr>
      </w:pPr>
    </w:p>
    <w:p>
      <w:pPr>
        <w:jc w:val="both"/>
        <w:ind w:left="340" w:right="20" w:hanging="332"/>
        <w:spacing w:after="0" w:line="274"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As we do not have sufficient trading history for our ordinary shares, the selected volatility used is representative of expected future volatility. We base expected future volatility on the historical and implied volatility of comparable publicly traded companies over a similar expected term.</w:t>
      </w:r>
    </w:p>
    <w:p>
      <w:pPr>
        <w:spacing w:after="0" w:line="195" w:lineRule="exact"/>
        <w:rPr>
          <w:rFonts w:ascii="Times New Roman" w:cs="Times New Roman" w:eastAsia="Times New Roman" w:hAnsi="Times New Roman"/>
          <w:sz w:val="18"/>
          <w:szCs w:val="18"/>
          <w:color w:val="auto"/>
        </w:rPr>
      </w:pPr>
    </w:p>
    <w:p>
      <w:pPr>
        <w:ind w:left="340" w:hanging="332"/>
        <w:spacing w:after="0" w:line="297"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Dividend Yield. We have never declared or paid any cash dividends and do not presently intend to pay cash dividends in the foreseeable future. As a result, we used an expected dividend yield of zero.</w:t>
      </w:r>
    </w:p>
    <w:p>
      <w:pPr>
        <w:spacing w:after="0" w:line="16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Rates. We use the U.S. Treasury yield for our risk-free interest rate that corresponds with the expected term.</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02" w:name="page103"/>
    <w:bookmarkEnd w:id="102"/>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weighted average assumptions used to estimate the fair value of share options and ESPP granted during the years ended December 31, 2021 and 2022:</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8600" w:type="dxa"/>
            <w:vAlign w:val="bottom"/>
          </w:tcPr>
          <w:p>
            <w:pPr>
              <w:spacing w:after="0"/>
              <w:rPr>
                <w:sz w:val="22"/>
                <w:szCs w:val="22"/>
                <w:color w:val="auto"/>
              </w:rPr>
            </w:pPr>
          </w:p>
        </w:tc>
        <w:tc>
          <w:tcPr>
            <w:tcW w:w="264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6"/>
        </w:trPr>
        <w:tc>
          <w:tcPr>
            <w:tcW w:w="860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0"/>
                <w:szCs w:val="20"/>
                <w:color w:val="auto"/>
              </w:rPr>
            </w:pPr>
          </w:p>
        </w:tc>
      </w:tr>
      <w:tr>
        <w:trPr>
          <w:trHeight w:val="23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r>
      <w:tr>
        <w:trPr>
          <w:trHeight w:val="229"/>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41%-60%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60%-91.9%</w:t>
            </w:r>
          </w:p>
        </w:tc>
      </w:tr>
      <w:tr>
        <w:trPr>
          <w:trHeight w:val="229"/>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0.57-6.55</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0.5-6.98</w:t>
            </w: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0.06-1.06%</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0.46-3.88%</w:t>
            </w:r>
          </w:p>
        </w:tc>
      </w:tr>
    </w:tbl>
    <w:p>
      <w:pPr>
        <w:spacing w:after="0" w:line="193" w:lineRule="exact"/>
        <w:rPr>
          <w:sz w:val="20"/>
          <w:szCs w:val="20"/>
          <w:color w:val="auto"/>
        </w:rPr>
      </w:pPr>
    </w:p>
    <w:p>
      <w:pPr>
        <w:jc w:val="both"/>
        <w:ind w:right="20" w:firstLine="441"/>
        <w:spacing w:after="0" w:line="297" w:lineRule="auto"/>
        <w:rPr>
          <w:sz w:val="20"/>
          <w:szCs w:val="20"/>
          <w:color w:val="auto"/>
        </w:rPr>
      </w:pPr>
      <w:r>
        <w:rPr>
          <w:rFonts w:ascii="Times New Roman" w:cs="Times New Roman" w:eastAsia="Times New Roman" w:hAnsi="Times New Roman"/>
          <w:sz w:val="18"/>
          <w:szCs w:val="18"/>
          <w:color w:val="auto"/>
        </w:rPr>
        <w:t>Assumptions used in valuing non-employee share options are generally consistent with those used for employee share options with the exception that the expected term is over the contractual life, or 10 years.</w:t>
      </w:r>
    </w:p>
    <w:p>
      <w:pPr>
        <w:spacing w:after="0" w:line="163" w:lineRule="exact"/>
        <w:rPr>
          <w:sz w:val="20"/>
          <w:szCs w:val="20"/>
          <w:color w:val="auto"/>
        </w:rPr>
      </w:pPr>
    </w:p>
    <w:p>
      <w:pPr>
        <w:jc w:val="both"/>
        <w:ind w:firstLine="441"/>
        <w:spacing w:after="0" w:line="281" w:lineRule="auto"/>
        <w:rPr>
          <w:sz w:val="20"/>
          <w:szCs w:val="20"/>
          <w:color w:val="auto"/>
        </w:rPr>
      </w:pPr>
      <w:r>
        <w:rPr>
          <w:rFonts w:ascii="Times New Roman" w:cs="Times New Roman" w:eastAsia="Times New Roman" w:hAnsi="Times New Roman"/>
          <w:sz w:val="18"/>
          <w:szCs w:val="18"/>
          <w:color w:val="auto"/>
        </w:rPr>
        <w:t>We will continue to use judgment in evaluating the assumptions related to our share-based compensation on a prospective basis. As we continue to accumulate additional data related to our ordinary shares, we may have refinements to our estimates, which could materially impact our future share-based compensation expense.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 Use Software Development Costs</w:t>
      </w:r>
    </w:p>
    <w:p>
      <w:pPr>
        <w:spacing w:after="0" w:line="243"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We capitalize certain costs related to the development of our platform and other software applications for internal use. In accordance with authoritative guidance, we begin to capitalize our costs to develop software when preliminary development efforts are successfully completed, management has authorized and committed project funding, and it is probable that the project will be completed and the software will be used as intended. We stop capitalizing these costs when the software is substantially complete and ready for its intended use, including the completion of all significant testing. These costs are amortized on a straight-line basis over the estimated useful life of the related asset, generally estimated to be three years. We also capitalize costs related to specific upgrades and enhancements when it is probable the expenditure will result in additional functionality and expense costs incurred for maintenance and minor upgrades and enhancements. Costs incurred prior to meeting these criteria together with costs incurred for training and maintenance are expensed as incurred and recorded within research and development expenses in our consolidated statements of operations.</w:t>
      </w:r>
    </w:p>
    <w:p>
      <w:pPr>
        <w:spacing w:after="0" w:line="190"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We exercise judgment in determining the point at which various projects may be capitalized, in assessing the ongoing value of the capitalized costs and in determining the estimated useful lives over which the costs are amortized. To the extent that we change the manner in which we develop and test new features and functionalities related to our platform, assess the ongoing value of capitalized assets or determine the estimated useful lives over which the costs are amortized, the amount of internal-use software development costs we capitalize and amortize could change in future periods.</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During the year ended December 31, 2022, we capitalized internal use software development costs in the amount of $5.0 million.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43" w:lineRule="exact"/>
        <w:rPr>
          <w:sz w:val="20"/>
          <w:szCs w:val="20"/>
          <w:color w:val="auto"/>
        </w:rPr>
      </w:pPr>
    </w:p>
    <w:p>
      <w:pPr>
        <w:jc w:val="both"/>
        <w:ind w:firstLine="441"/>
        <w:spacing w:after="0" w:line="297" w:lineRule="auto"/>
        <w:rPr>
          <w:sz w:val="20"/>
          <w:szCs w:val="20"/>
          <w:color w:val="auto"/>
        </w:rPr>
      </w:pPr>
      <w:r>
        <w:rPr>
          <w:rFonts w:ascii="Times New Roman" w:cs="Times New Roman" w:eastAsia="Times New Roman" w:hAnsi="Times New Roman"/>
          <w:sz w:val="18"/>
          <w:szCs w:val="18"/>
          <w:color w:val="auto"/>
        </w:rPr>
        <w:t>See the section titled “Summary of Significant Accounting Policies” in note 2 to our consolidated financial statements included elsewhere in this Annual Report for more information.</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243"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The JOBS Act provides that an emerging growth company can take advantage of an extended transition period for complying with new or revised accounting standards. This provision allows an emerging growth company to delay the adoption of certain accounting standards until those standards would otherwise apply to private companies. We have elected to take advantage of this extended transition period until the earlier of the date we (x) are no longer an emerging growth company, or (y) affirmatively and irrevocably opt out of the extended transition period. As a result, our operating results and financial statements may not be comparable to those of companies that comply with new or revised accounting pronouncements as of public company effective dates.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Directors, Senior Management and Employees</w:t>
      </w:r>
    </w:p>
    <w:p>
      <w:pPr>
        <w:spacing w:after="0" w:line="23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A.</w:t>
        <w:tab/>
        <w:t>Directors and Senior Management</w:t>
      </w:r>
    </w:p>
    <w:p>
      <w:pPr>
        <w:spacing w:after="0" w:line="2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the name and position of each of our executive officers and directors as of February 28, 2023:</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 w:type="dxa"/>
            <w:vAlign w:val="bottom"/>
          </w:tcPr>
          <w:p>
            <w:pPr>
              <w:spacing w:after="0"/>
              <w:rPr>
                <w:sz w:val="22"/>
                <w:szCs w:val="22"/>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60" w:type="dxa"/>
            <w:vAlign w:val="bottom"/>
          </w:tcPr>
          <w:p>
            <w:pPr>
              <w:spacing w:after="0"/>
              <w:rPr>
                <w:sz w:val="22"/>
                <w:szCs w:val="22"/>
                <w:color w:val="auto"/>
              </w:rPr>
            </w:pPr>
          </w:p>
        </w:tc>
        <w:tc>
          <w:tcPr>
            <w:tcW w:w="5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29"/>
        </w:trPr>
        <w:tc>
          <w:tcPr>
            <w:tcW w:w="4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300" w:type="dxa"/>
            <w:vAlign w:val="bottom"/>
          </w:tcPr>
          <w:p>
            <w:pPr>
              <w:spacing w:after="0"/>
              <w:rPr>
                <w:sz w:val="19"/>
                <w:szCs w:val="19"/>
                <w:color w:val="auto"/>
              </w:rPr>
            </w:pPr>
          </w:p>
        </w:tc>
      </w:tr>
      <w:tr>
        <w:trPr>
          <w:trHeight w:val="23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Executive Officers</w:t>
            </w: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300" w:type="dxa"/>
            <w:vAlign w:val="bottom"/>
            <w:shd w:val="clear" w:color="auto" w:fill="CCEEFF"/>
          </w:tcPr>
          <w:p>
            <w:pPr>
              <w:spacing w:after="0"/>
              <w:rPr>
                <w:sz w:val="20"/>
                <w:szCs w:val="20"/>
                <w:color w:val="auto"/>
              </w:rPr>
            </w:pPr>
          </w:p>
        </w:tc>
      </w:tr>
      <w:tr>
        <w:trPr>
          <w:trHeight w:val="209"/>
        </w:trPr>
        <w:tc>
          <w:tcPr>
            <w:tcW w:w="47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300" w:type="dxa"/>
            <w:vAlign w:val="bottom"/>
            <w:shd w:val="clear" w:color="auto" w:fill="CCEEFF"/>
          </w:tcPr>
          <w:p>
            <w:pPr>
              <w:spacing w:after="0"/>
              <w:rPr>
                <w:sz w:val="18"/>
                <w:szCs w:val="18"/>
                <w:color w:val="auto"/>
              </w:rPr>
            </w:pPr>
          </w:p>
        </w:tc>
      </w:tr>
      <w:tr>
        <w:trPr>
          <w:trHeight w:val="234"/>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Dan Adika</w:t>
            </w:r>
          </w:p>
        </w:tc>
        <w:tc>
          <w:tcPr>
            <w:tcW w:w="10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37</w:t>
            </w:r>
          </w:p>
        </w:tc>
        <w:tc>
          <w:tcPr>
            <w:tcW w:w="16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1"/>
        </w:trPr>
        <w:tc>
          <w:tcPr>
            <w:tcW w:w="478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5300" w:type="dxa"/>
            <w:vAlign w:val="bottom"/>
          </w:tcPr>
          <w:p>
            <w:pPr>
              <w:spacing w:after="0"/>
              <w:rPr>
                <w:sz w:val="18"/>
                <w:szCs w:val="18"/>
                <w:color w:val="auto"/>
              </w:rPr>
            </w:pPr>
          </w:p>
        </w:tc>
      </w:tr>
      <w:tr>
        <w:trPr>
          <w:trHeight w:val="234"/>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Hagit Ynon</w:t>
            </w:r>
          </w:p>
        </w:tc>
        <w:tc>
          <w:tcPr>
            <w:tcW w:w="100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51</w:t>
            </w:r>
          </w:p>
        </w:tc>
        <w:tc>
          <w:tcPr>
            <w:tcW w:w="160" w:type="dxa"/>
            <w:vAlign w:val="bottom"/>
            <w:shd w:val="clear" w:color="auto" w:fill="CCEEFF"/>
          </w:tcPr>
          <w:p>
            <w:pPr>
              <w:spacing w:after="0"/>
              <w:rPr>
                <w:sz w:val="20"/>
                <w:szCs w:val="20"/>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1"/>
        </w:trPr>
        <w:tc>
          <w:tcPr>
            <w:tcW w:w="47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300" w:type="dxa"/>
            <w:vAlign w:val="bottom"/>
            <w:shd w:val="clear" w:color="auto" w:fill="CCEEFF"/>
          </w:tcPr>
          <w:p>
            <w:pPr>
              <w:spacing w:after="0"/>
              <w:rPr>
                <w:sz w:val="18"/>
                <w:szCs w:val="18"/>
                <w:color w:val="auto"/>
              </w:rPr>
            </w:pPr>
          </w:p>
        </w:tc>
      </w:tr>
      <w:tr>
        <w:trPr>
          <w:trHeight w:val="234"/>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Scott Little</w:t>
            </w:r>
          </w:p>
        </w:tc>
        <w:tc>
          <w:tcPr>
            <w:tcW w:w="10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55</w:t>
            </w:r>
          </w:p>
        </w:tc>
        <w:tc>
          <w:tcPr>
            <w:tcW w:w="16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Chief Revenue Officer</w:t>
            </w:r>
          </w:p>
        </w:tc>
      </w:tr>
      <w:tr>
        <w:trPr>
          <w:trHeight w:val="211"/>
        </w:trPr>
        <w:tc>
          <w:tcPr>
            <w:tcW w:w="4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300" w:type="dxa"/>
            <w:vAlign w:val="bottom"/>
          </w:tcPr>
          <w:p>
            <w:pPr>
              <w:spacing w:after="0"/>
              <w:rPr>
                <w:sz w:val="18"/>
                <w:szCs w:val="18"/>
                <w:color w:val="auto"/>
              </w:rPr>
            </w:pPr>
          </w:p>
        </w:tc>
      </w:tr>
      <w:tr>
        <w:trPr>
          <w:trHeight w:val="23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Non-Employee Directors</w:t>
            </w: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300" w:type="dxa"/>
            <w:vAlign w:val="bottom"/>
            <w:shd w:val="clear" w:color="auto" w:fill="CCEEFF"/>
          </w:tcPr>
          <w:p>
            <w:pPr>
              <w:spacing w:after="0"/>
              <w:rPr>
                <w:sz w:val="20"/>
                <w:szCs w:val="20"/>
                <w:color w:val="auto"/>
              </w:rPr>
            </w:pPr>
          </w:p>
        </w:tc>
      </w:tr>
      <w:tr>
        <w:trPr>
          <w:trHeight w:val="209"/>
        </w:trPr>
        <w:tc>
          <w:tcPr>
            <w:tcW w:w="47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300" w:type="dxa"/>
            <w:vAlign w:val="bottom"/>
            <w:shd w:val="clear" w:color="auto" w:fill="CCEEFF"/>
          </w:tcPr>
          <w:p>
            <w:pPr>
              <w:spacing w:after="0"/>
              <w:rPr>
                <w:sz w:val="18"/>
                <w:szCs w:val="18"/>
                <w:color w:val="auto"/>
              </w:rPr>
            </w:pPr>
          </w:p>
        </w:tc>
      </w:tr>
      <w:tr>
        <w:trPr>
          <w:trHeight w:val="234"/>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Michele Bettencourt (1)</w:t>
            </w:r>
          </w:p>
        </w:tc>
        <w:tc>
          <w:tcPr>
            <w:tcW w:w="10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62</w:t>
            </w:r>
          </w:p>
        </w:tc>
        <w:tc>
          <w:tcPr>
            <w:tcW w:w="16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Chairperson of the Board</w:t>
            </w:r>
          </w:p>
        </w:tc>
      </w:tr>
      <w:tr>
        <w:trPr>
          <w:trHeight w:val="211"/>
        </w:trPr>
        <w:tc>
          <w:tcPr>
            <w:tcW w:w="478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5300" w:type="dxa"/>
            <w:vAlign w:val="bottom"/>
          </w:tcPr>
          <w:p>
            <w:pPr>
              <w:spacing w:after="0"/>
              <w:rPr>
                <w:sz w:val="18"/>
                <w:szCs w:val="18"/>
                <w:color w:val="auto"/>
              </w:rPr>
            </w:pPr>
          </w:p>
        </w:tc>
      </w:tr>
      <w:tr>
        <w:trPr>
          <w:trHeight w:val="234"/>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Haleli Barath</w:t>
            </w:r>
          </w:p>
        </w:tc>
        <w:tc>
          <w:tcPr>
            <w:tcW w:w="100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48</w:t>
            </w:r>
          </w:p>
        </w:tc>
        <w:tc>
          <w:tcPr>
            <w:tcW w:w="160" w:type="dxa"/>
            <w:vAlign w:val="bottom"/>
            <w:shd w:val="clear" w:color="auto" w:fill="CCEEFF"/>
          </w:tcPr>
          <w:p>
            <w:pPr>
              <w:spacing w:after="0"/>
              <w:rPr>
                <w:sz w:val="20"/>
                <w:szCs w:val="20"/>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1"/>
        </w:trPr>
        <w:tc>
          <w:tcPr>
            <w:tcW w:w="47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300" w:type="dxa"/>
            <w:vAlign w:val="bottom"/>
            <w:shd w:val="clear" w:color="auto" w:fill="CCEEFF"/>
          </w:tcPr>
          <w:p>
            <w:pPr>
              <w:spacing w:after="0"/>
              <w:rPr>
                <w:sz w:val="18"/>
                <w:szCs w:val="18"/>
                <w:color w:val="auto"/>
              </w:rPr>
            </w:pPr>
          </w:p>
        </w:tc>
      </w:tr>
      <w:tr>
        <w:trPr>
          <w:trHeight w:val="234"/>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Rafael Sweary</w:t>
            </w:r>
          </w:p>
        </w:tc>
        <w:tc>
          <w:tcPr>
            <w:tcW w:w="10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51</w:t>
            </w:r>
          </w:p>
        </w:tc>
        <w:tc>
          <w:tcPr>
            <w:tcW w:w="16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1"/>
        </w:trPr>
        <w:tc>
          <w:tcPr>
            <w:tcW w:w="478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5300" w:type="dxa"/>
            <w:vAlign w:val="bottom"/>
          </w:tcPr>
          <w:p>
            <w:pPr>
              <w:spacing w:after="0"/>
              <w:rPr>
                <w:sz w:val="18"/>
                <w:szCs w:val="18"/>
                <w:color w:val="auto"/>
              </w:rPr>
            </w:pPr>
          </w:p>
        </w:tc>
      </w:tr>
      <w:tr>
        <w:trPr>
          <w:trHeight w:val="234"/>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Menashe Ezra (3)</w:t>
            </w:r>
          </w:p>
        </w:tc>
        <w:tc>
          <w:tcPr>
            <w:tcW w:w="100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70</w:t>
            </w:r>
          </w:p>
        </w:tc>
        <w:tc>
          <w:tcPr>
            <w:tcW w:w="160" w:type="dxa"/>
            <w:vAlign w:val="bottom"/>
            <w:shd w:val="clear" w:color="auto" w:fill="CCEEFF"/>
          </w:tcPr>
          <w:p>
            <w:pPr>
              <w:spacing w:after="0"/>
              <w:rPr>
                <w:sz w:val="20"/>
                <w:szCs w:val="20"/>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1"/>
        </w:trPr>
        <w:tc>
          <w:tcPr>
            <w:tcW w:w="47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300" w:type="dxa"/>
            <w:vAlign w:val="bottom"/>
            <w:shd w:val="clear" w:color="auto" w:fill="CCEEFF"/>
          </w:tcPr>
          <w:p>
            <w:pPr>
              <w:spacing w:after="0"/>
              <w:rPr>
                <w:sz w:val="18"/>
                <w:szCs w:val="18"/>
                <w:color w:val="auto"/>
              </w:rPr>
            </w:pPr>
          </w:p>
        </w:tc>
      </w:tr>
      <w:tr>
        <w:trPr>
          <w:trHeight w:val="234"/>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Ron Gutler (1) (2) (3)</w:t>
            </w:r>
          </w:p>
        </w:tc>
        <w:tc>
          <w:tcPr>
            <w:tcW w:w="10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65</w:t>
            </w:r>
          </w:p>
        </w:tc>
        <w:tc>
          <w:tcPr>
            <w:tcW w:w="16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1"/>
        </w:trPr>
        <w:tc>
          <w:tcPr>
            <w:tcW w:w="478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5300" w:type="dxa"/>
            <w:vAlign w:val="bottom"/>
          </w:tcPr>
          <w:p>
            <w:pPr>
              <w:spacing w:after="0"/>
              <w:rPr>
                <w:sz w:val="18"/>
                <w:szCs w:val="18"/>
                <w:color w:val="auto"/>
              </w:rPr>
            </w:pPr>
          </w:p>
        </w:tc>
      </w:tr>
      <w:tr>
        <w:trPr>
          <w:trHeight w:val="234"/>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 Horing (3)</w:t>
            </w:r>
          </w:p>
        </w:tc>
        <w:tc>
          <w:tcPr>
            <w:tcW w:w="100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58</w:t>
            </w:r>
          </w:p>
        </w:tc>
        <w:tc>
          <w:tcPr>
            <w:tcW w:w="160" w:type="dxa"/>
            <w:vAlign w:val="bottom"/>
            <w:shd w:val="clear" w:color="auto" w:fill="CCEEFF"/>
          </w:tcPr>
          <w:p>
            <w:pPr>
              <w:spacing w:after="0"/>
              <w:rPr>
                <w:sz w:val="20"/>
                <w:szCs w:val="20"/>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1"/>
        </w:trPr>
        <w:tc>
          <w:tcPr>
            <w:tcW w:w="47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300" w:type="dxa"/>
            <w:vAlign w:val="bottom"/>
            <w:shd w:val="clear" w:color="auto" w:fill="CCEEFF"/>
          </w:tcPr>
          <w:p>
            <w:pPr>
              <w:spacing w:after="0"/>
              <w:rPr>
                <w:sz w:val="18"/>
                <w:szCs w:val="18"/>
                <w:color w:val="auto"/>
              </w:rPr>
            </w:pPr>
          </w:p>
        </w:tc>
      </w:tr>
      <w:tr>
        <w:trPr>
          <w:trHeight w:val="234"/>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Rory O’Driscoll (2)</w:t>
            </w:r>
          </w:p>
        </w:tc>
        <w:tc>
          <w:tcPr>
            <w:tcW w:w="10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58</w:t>
            </w:r>
          </w:p>
        </w:tc>
        <w:tc>
          <w:tcPr>
            <w:tcW w:w="16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1"/>
        </w:trPr>
        <w:tc>
          <w:tcPr>
            <w:tcW w:w="478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5300" w:type="dxa"/>
            <w:vAlign w:val="bottom"/>
          </w:tcPr>
          <w:p>
            <w:pPr>
              <w:spacing w:after="0"/>
              <w:rPr>
                <w:sz w:val="18"/>
                <w:szCs w:val="18"/>
                <w:color w:val="auto"/>
              </w:rPr>
            </w:pPr>
          </w:p>
        </w:tc>
      </w:tr>
      <w:tr>
        <w:trPr>
          <w:trHeight w:val="234"/>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Risman (3)</w:t>
            </w:r>
          </w:p>
        </w:tc>
        <w:tc>
          <w:tcPr>
            <w:tcW w:w="100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54</w:t>
            </w:r>
          </w:p>
        </w:tc>
        <w:tc>
          <w:tcPr>
            <w:tcW w:w="160" w:type="dxa"/>
            <w:vAlign w:val="bottom"/>
            <w:shd w:val="clear" w:color="auto" w:fill="CCEEFF"/>
          </w:tcPr>
          <w:p>
            <w:pPr>
              <w:spacing w:after="0"/>
              <w:rPr>
                <w:sz w:val="20"/>
                <w:szCs w:val="20"/>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1"/>
        </w:trPr>
        <w:tc>
          <w:tcPr>
            <w:tcW w:w="47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300" w:type="dxa"/>
            <w:vAlign w:val="bottom"/>
            <w:shd w:val="clear" w:color="auto" w:fill="CCEEFF"/>
          </w:tcPr>
          <w:p>
            <w:pPr>
              <w:spacing w:after="0"/>
              <w:rPr>
                <w:sz w:val="18"/>
                <w:szCs w:val="18"/>
                <w:color w:val="auto"/>
              </w:rPr>
            </w:pPr>
          </w:p>
        </w:tc>
      </w:tr>
      <w:tr>
        <w:trPr>
          <w:trHeight w:val="234"/>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Roy Saar (1) (2)</w:t>
            </w:r>
          </w:p>
        </w:tc>
        <w:tc>
          <w:tcPr>
            <w:tcW w:w="10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52</w:t>
            </w:r>
          </w:p>
        </w:tc>
        <w:tc>
          <w:tcPr>
            <w:tcW w:w="16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11137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111379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400" w:hanging="392"/>
        <w:spacing w:after="0"/>
        <w:tabs>
          <w:tab w:leader="none" w:pos="4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w:t>
      </w:r>
    </w:p>
    <w:p>
      <w:pPr>
        <w:spacing w:after="0" w:line="238"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compensation committee</w:t>
      </w:r>
    </w:p>
    <w:p>
      <w:pPr>
        <w:spacing w:after="0" w:line="238"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nominating, governance and sustainability committee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241" w:lineRule="exact"/>
        <w:rPr>
          <w:sz w:val="20"/>
          <w:szCs w:val="20"/>
          <w:color w:val="auto"/>
        </w:rPr>
      </w:pPr>
    </w:p>
    <w:p>
      <w:pPr>
        <w:jc w:val="both"/>
        <w:ind w:firstLine="441"/>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Dan Adika </w:t>
      </w:r>
      <w:r>
        <w:rPr>
          <w:rFonts w:ascii="Times New Roman" w:cs="Times New Roman" w:eastAsia="Times New Roman" w:hAnsi="Times New Roman"/>
          <w:sz w:val="18"/>
          <w:szCs w:val="18"/>
          <w:color w:val="auto"/>
        </w:rPr>
        <w:t>is our Co-Founder and has served as our Chief Executive Officer and a member of our board of directors since March 2012. Prior to co-founding our Company, Mr. Adika served as a software engineer at Hewlett-Packard Company, a computer and information technology company, from May 2010 to May 2011. Before that, from January 2005 to March 2010, Mr. Adika served as a computer programmer in the Israel Defense Forces. We believe that Mr. Adika’s technical experience and knowledge of our Company qualify him to serve on our board of directors.</w:t>
      </w:r>
    </w:p>
    <w:p>
      <w:pPr>
        <w:spacing w:after="0" w:line="182" w:lineRule="exact"/>
        <w:rPr>
          <w:sz w:val="20"/>
          <w:szCs w:val="20"/>
          <w:color w:val="auto"/>
        </w:rPr>
      </w:pPr>
    </w:p>
    <w:p>
      <w:pPr>
        <w:jc w:val="both"/>
        <w:ind w:firstLine="441"/>
        <w:spacing w:after="0" w:line="269" w:lineRule="auto"/>
        <w:rPr>
          <w:sz w:val="20"/>
          <w:szCs w:val="20"/>
          <w:color w:val="auto"/>
        </w:rPr>
      </w:pPr>
      <w:r>
        <w:rPr>
          <w:rFonts w:ascii="Times New Roman" w:cs="Times New Roman" w:eastAsia="Times New Roman" w:hAnsi="Times New Roman"/>
          <w:sz w:val="18"/>
          <w:szCs w:val="18"/>
          <w:i w:val="1"/>
          <w:iCs w:val="1"/>
          <w:color w:val="auto"/>
        </w:rPr>
        <w:t xml:space="preserve">Hagit Ynon </w:t>
      </w:r>
      <w:r>
        <w:rPr>
          <w:rFonts w:ascii="Times New Roman" w:cs="Times New Roman" w:eastAsia="Times New Roman" w:hAnsi="Times New Roman"/>
          <w:sz w:val="18"/>
          <w:szCs w:val="18"/>
          <w:color w:val="auto"/>
        </w:rPr>
        <w:t>has served as our Chief Financial Officer since February 2023. Prior to that, Ms. Ynon served as our interim Chief Financial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September 2022 and as our Executive Vice President, Finance and Operations since September 2019. Prior to joining WalkMe, Ms. Ynon spent 19 years in various positions in the finance department at NICE Ltd., a public company that provides cloud and on-premises platforms for AI-driven digital business solutions, most recently as Vice President, Corporate Finance. Before joining NICE Ltd., Ms. Ynon served as an Audit Manager at PricewaterhouseCoopers. Ms. Ynon holds a B.A. in Management and Accounting and an M.B.A. from the College of Management Academic Studies in Israel and is a registered CPA in Israel.</w:t>
      </w:r>
    </w:p>
    <w:p>
      <w:pPr>
        <w:spacing w:after="0" w:line="188" w:lineRule="exact"/>
        <w:rPr>
          <w:sz w:val="20"/>
          <w:szCs w:val="20"/>
          <w:color w:val="auto"/>
        </w:rPr>
      </w:pPr>
    </w:p>
    <w:p>
      <w:pPr>
        <w:jc w:val="both"/>
        <w:ind w:firstLine="441"/>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Scott Little </w:t>
      </w:r>
      <w:r>
        <w:rPr>
          <w:rFonts w:ascii="Times New Roman" w:cs="Times New Roman" w:eastAsia="Times New Roman" w:hAnsi="Times New Roman"/>
          <w:sz w:val="18"/>
          <w:szCs w:val="18"/>
          <w:color w:val="auto"/>
        </w:rPr>
        <w:t>has served as our Chief Revenue Officer since July 2022. Prior to joining our Company, Mr. Little served as Chief Revenue Officer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 AG, an enterprise SaaS software company, from January 2021 to July 2022 and as Regional President of Sales at Software AG from November 2019 to January 2021. Before that, Mr. Little served in senior sales roles in several technology companies, including interim Head of Sales at Sigga Workforce Technologies, a maintenance optimization software company, from July 2019 to November 2019, Vice President of Sales, North America at Aveva, an IT technology consulting company, from September 2018 to April 2019 and Vice President of Sales, Americas for Commvault, a data protection and management software company, from March 2015 to August 2018. Mr. Little previously spent 18 years in the sales organization at Oracle Corporation, serving most recently as Group Vice President from June 2008 to March 2015. Mr. Little holds a B.S. in electrical engineering from Texas A&amp;M University.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p>
      <w:pPr>
        <w:spacing w:after="0" w:line="2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Michele Bettencourt </w:t>
      </w:r>
      <w:r>
        <w:rPr>
          <w:rFonts w:ascii="Times New Roman" w:cs="Times New Roman" w:eastAsia="Times New Roman" w:hAnsi="Times New Roman"/>
          <w:sz w:val="18"/>
          <w:szCs w:val="18"/>
          <w:color w:val="auto"/>
        </w:rPr>
        <w:t>has served as chairperson of our board of directors since December 2022 and as a member of our board of directors since March</w:t>
      </w:r>
    </w:p>
    <w:p>
      <w:pPr>
        <w:spacing w:after="0" w:line="2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2021. From February 2017 to February 2020, Ms. Bettencourt served as Co-Chief Executive Officer of He Said She Said Productions NYC, a film production company which she founded. From August 2014 to February 2018, Ms. Bettencourt also served as chairperson of the board of directors of Imperva, Inc., a cybersecurity company, where she also served as Chief Executive Officer from August 2014 to July 2017. Before that, from November 2010 to March 2014, Ms. Bettencourt served as Chief Executive Officer of Coverity Inc., a software company, through its acquisition by Synopsys, Inc. From January 2006 to October 2009, Ms. Bettencourt served as Senior Vice President of Special Projects at Autonomy Corporation plc. Before that, from 2003 to 2005, Ms. Bettencourt served as Chief Executive Officer of Verity Inc., an enterprise search company, and led the company through its acquisition by Autonomy in 2005. Ms. Bettencourt served on the board of directors of Proofpoint, Inc., an enterprise security company, from April 2012 until January 2017, and on the board of directors of Versant Corporation from January 2012 to December 2012 through its acquisition by Actian Corporation. Ms. Bettencourt holds a B.A. in English from Santa Clara University. We believe that Ms. Bettencourt’s extensive management experience and service on the board of directors of technology companies qualifies her to serve on our board of directors.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05" w:name="page106"/>
    <w:bookmarkEnd w:id="105"/>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Haleli Barath </w:t>
      </w:r>
      <w:r>
        <w:rPr>
          <w:rFonts w:ascii="Times New Roman" w:cs="Times New Roman" w:eastAsia="Times New Roman" w:hAnsi="Times New Roman"/>
          <w:sz w:val="18"/>
          <w:szCs w:val="18"/>
          <w:color w:val="auto"/>
        </w:rPr>
        <w:t>has served as a member of our board of directors since February 2021. Since 2009, Ms. Barath has served as Managing Partner at BFP</w:t>
      </w:r>
    </w:p>
    <w:p>
      <w:pPr>
        <w:spacing w:after="0" w:line="29" w:lineRule="exact"/>
        <w:rPr>
          <w:sz w:val="20"/>
          <w:szCs w:val="20"/>
          <w:color w:val="auto"/>
        </w:rPr>
      </w:pPr>
    </w:p>
    <w:p>
      <w:pPr>
        <w:jc w:val="both"/>
        <w:ind w:firstLine="8"/>
        <w:spacing w:after="0" w:line="265" w:lineRule="auto"/>
        <w:tabs>
          <w:tab w:leader="none" w:pos="20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law firm which she co-founded. Since 2014, Ms. Barath has served as a General Partner at Cerca Partners, a venture capital firm which she co-founded and she has served as a Managing Partner since 2020. Ms. Barath also served on the board of IM Cannabis Corp., a publicly traded company, from February 2021 until September 2022. Ms. Barath currently serves on the boards of directors of several privately-held companies. Ms. Barath holds a Bachelor of Laws (LL.B.) from Hebrew University in Jerusalem, Israel. We believe that Ms. Barath’s corporate law and business expertise gained from her experience in the legal profession and in the venture capital industry, including her time spent serving on boards of directors of various companies and familiarity with Israeli companies, qualifies her to serve on our board of directors.</w:t>
      </w:r>
    </w:p>
    <w:p>
      <w:pPr>
        <w:spacing w:after="0" w:line="201"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Rafael Sweary </w:t>
      </w:r>
      <w:r>
        <w:rPr>
          <w:rFonts w:ascii="Times New Roman" w:cs="Times New Roman" w:eastAsia="Times New Roman" w:hAnsi="Times New Roman"/>
          <w:sz w:val="18"/>
          <w:szCs w:val="18"/>
          <w:color w:val="auto"/>
        </w:rPr>
        <w:t>is our Co-Founder and served as our President from March 2012 to December 2022 and as a member of our board of directors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2012. Prior to co-founding our Company, Mr. Sweary served as the Entrepreneur-in-Residence at Ocean Assets from June 2005 to November 2007. Before that, from June 2001 to June 2005, Mr. Sweary served as the President and Chief Executive Officer at Jetro Platforms, an enterprise software company which he co-founded. Mr. Sweary holds a B.A. in economics from the College of Management Academic Studies in Israel and an M.B.A. from the University of Baltimore. We believe that Mr. Sweary’s broad leadership and industry experience and knowledge of our Company qualify him to serve on our board of directors.</w:t>
      </w:r>
    </w:p>
    <w:p>
      <w:pPr>
        <w:spacing w:after="0" w:line="190"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Menashe Ezra </w:t>
      </w:r>
      <w:r>
        <w:rPr>
          <w:rFonts w:ascii="Times New Roman" w:cs="Times New Roman" w:eastAsia="Times New Roman" w:hAnsi="Times New Roman"/>
          <w:sz w:val="18"/>
          <w:szCs w:val="18"/>
          <w:color w:val="auto"/>
        </w:rPr>
        <w:t>has served as a member of our board of directors since December 2014. Since 2008, Mr. Ezra has served as Managing Partner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Gemini Israel Ventures, a venture capital firm. Before joining Gemini Israel Ventures, from October 2001 to October 2007, Mr. Ezra served as Managing Partner at BRM Capital, a venture capital firm. Before that, from 1993 to 1998, Mr. Ezra served as Chief Executive Officer at WaveAccess, a wireless communications company which he founded and which was sold to Lucent Technologies Inc., a telecommunications company, or Lucent, in 1998. From December 1998 to April 2001, Mr. Ezra served as VP Wireless Network Solutions at Lucent. Mr. Ezra also serves on the boards of directors of several privately-held companies. Mr. Ezra holds a B.Sc. in electrical engineering from Tel Aviv University. We believe that Mr. Ezra’s experience in the venture capital industry, including his time spent serving on the boards of directors of various companies and familiarity with Israeli companies, qualifies him to serve on our board of directors.</w:t>
      </w:r>
    </w:p>
    <w:p>
      <w:pPr>
        <w:spacing w:after="0" w:line="190"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Ron Gutler </w:t>
      </w:r>
      <w:r>
        <w:rPr>
          <w:rFonts w:ascii="Times New Roman" w:cs="Times New Roman" w:eastAsia="Times New Roman" w:hAnsi="Times New Roman"/>
          <w:sz w:val="18"/>
          <w:szCs w:val="18"/>
          <w:color w:val="auto"/>
        </w:rPr>
        <w:t>has served as a member of our board of directors since October 2020. Mr. Gutler has served on the boards of directors of Fiverr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International Ltd. since 2019, Wix.com Ltd. since 2013, and CyberArk Software Ltd. since 2014. From May 2002 through February 2013, Mr. Gutler served as the Chairman of the board of directors of NICE Systems Ltd., a public company specializing in voice recognition, data security and surveillance. Between 2002 and 2011, Mr. Gutler served as the Chairman of G.J.E. 121 Promoting Investments Ltd., a real estate company. Mr. Gutler is a former Managing Director and Partner of Bankers Trust Company, which is currently part of Deutsche Bank. Mr. Gutler holds a B.A. and an M.B.A. from the Hebrew University of Jerusalem. We believe that Mr. Gutler’s extensive management experience serving on the board of directors of technology companies qualifies him to serve on our board of directors.</w:t>
      </w:r>
    </w:p>
    <w:p>
      <w:pPr>
        <w:spacing w:after="0" w:line="190"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Jeff Horing </w:t>
      </w:r>
      <w:r>
        <w:rPr>
          <w:rFonts w:ascii="Times New Roman" w:cs="Times New Roman" w:eastAsia="Times New Roman" w:hAnsi="Times New Roman"/>
          <w:sz w:val="18"/>
          <w:szCs w:val="18"/>
          <w:color w:val="auto"/>
        </w:rPr>
        <w:t>has served as a member of our board of directors since December 2015. Since January 1995, Mr. Horing has served as Managing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 at Insight Venture Partners, a private equity firm which he co-founded. Mr. Horing has served on the boards of directors of monday.com Ltd., a software company, since 2017; and JFrog Ltd., a software company, since June 2018; nCino, Inc., a financial technology company, since March 2018; and Alteryx, Inc., a software company, since December 2021. Mr. Horing also currently serves on the boards of directors of several privately-held companies and has previously served on the boards of directors of numerous publicly-held companies, including the board of directors of Tintri, Inc., a software company, from February 2014 to June 2017. Mr. Horing holds a B.S. and B.A. from the University of Pennsylvania’s Moore School of Engineering and the Wharton School, respectively, and an M.B.A. from the M.I.T. Sloan School of Management. We believe that Mr. Horing’s corporate finance and business expertise gained from his experience in the venture capital industry, including his time spent serving on boards of directors of various companies and familiarity with Israeli companies, qualifies him to serve on our board of directors.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5" w:right="339" w:bottom="1440" w:gutter="0" w:footer="0" w:header="0"/>
        </w:sectPr>
      </w:pPr>
    </w:p>
    <w:bookmarkStart w:id="106" w:name="page107"/>
    <w:bookmarkEnd w:id="106"/>
    <w:p>
      <w:pPr>
        <w:jc w:val="both"/>
        <w:ind w:firstLine="441"/>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Rory O’Driscoll </w:t>
      </w:r>
      <w:r>
        <w:rPr>
          <w:rFonts w:ascii="Times New Roman" w:cs="Times New Roman" w:eastAsia="Times New Roman" w:hAnsi="Times New Roman"/>
          <w:sz w:val="18"/>
          <w:szCs w:val="18"/>
          <w:color w:val="auto"/>
        </w:rPr>
        <w:t>has served as a member of our board of directors since February 2014. Since 2007, Mr. O’Driscoll has served as a Managing Partner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Scale Venture Partners, a venture capital firm. Mr. O’Driscoll previously served as a member of the board of directors of Bill.com Holdings, Inc., a software company, from July 2013 to January 2023. He also previously served on the board of directors of Box, Inc., a data storage and file management software company, from March 2010 to July 2020, and DocuSign, Inc., an eSignature and digital transaction management company, from December 2010 to August 2018. Mr. O’Driscoll currently serves on the boards of directors of several privately held companies. Mr. O’Driscoll holds a B.Sc. in Economics from the London School of Economics. We believe that Mr. O’Driscoll’s extensive experience in the venture capital industry and his knowledge of technology companies qualify him to serve on our board of directors.</w:t>
      </w:r>
    </w:p>
    <w:p>
      <w:pPr>
        <w:spacing w:after="0" w:line="190" w:lineRule="exact"/>
        <w:rPr>
          <w:sz w:val="20"/>
          <w:szCs w:val="20"/>
          <w:color w:val="auto"/>
        </w:rPr>
      </w:pPr>
    </w:p>
    <w:p>
      <w:pPr>
        <w:jc w:val="both"/>
        <w:ind w:firstLine="441"/>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Michael Risman </w:t>
      </w:r>
      <w:r>
        <w:rPr>
          <w:rFonts w:ascii="Times New Roman" w:cs="Times New Roman" w:eastAsia="Times New Roman" w:hAnsi="Times New Roman"/>
          <w:sz w:val="18"/>
          <w:szCs w:val="18"/>
          <w:color w:val="auto"/>
        </w:rPr>
        <w:t>has served as a member of our board of directors since June 2021. Prior to then and since December 2019, he also served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representative of the former corporate director, Vitruvian Directors I Limited. Since May 2006, Mr. Risman has served as Managing Partner of Vitruvian Partners, a private equity firm which he co-founded. Prior to that, from September 1995 to May 2006, Mr. Risman served as a Global Equity Partner at Apax Partners, a private equity firm, where he led their Information Technology Investment Team in Europe. Mr. Risman has previously served on the boards of directors of Farfetch, a fashion technology company, from November 2014 to August 2020; Just Eat, an online food ordering company from April 2012 to March 2016; and Dialog Semiconductor, a semiconductor solutions manufacturer, from August 1999 to July 2006. Mr. Risman also currently serves on the board of directors of several privately-held companies in which funds managed by Vitruvian Partners have invested. Mr. Risman holds an M.A. in electrical engineering from Cambridge University and an M.B.A. from the Harvard Business School. We believe that Mr. Risman’s extensive experience in the venture capital industry and his knowledge of technology companies qualify him to serve on our board of directors.</w:t>
      </w:r>
    </w:p>
    <w:p>
      <w:pPr>
        <w:spacing w:after="0" w:line="192"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Roy Saar </w:t>
      </w:r>
      <w:r>
        <w:rPr>
          <w:rFonts w:ascii="Times New Roman" w:cs="Times New Roman" w:eastAsia="Times New Roman" w:hAnsi="Times New Roman"/>
          <w:sz w:val="18"/>
          <w:szCs w:val="18"/>
          <w:color w:val="auto"/>
        </w:rPr>
        <w:t>has served as a member of our board of directors since March 2012. Since 2008, Mr. Saar has served in positions of increasing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responsibility at Mangrove Capital Partners, an investment firm, most recently serving as Partner. In 2002, Mr. Saar co-founded RFcell Technologies Ltd., a wireless product and service provider. Before that, in 1999, he co-founded Sphera Corporation, a virtual server technology vendor for SaaS providers, which was acquired by Parallels in 2007. Since January 2007, Mr. Saar has also served as a member of the board of directors of Wix.com Ltd. Mr. Saar also currently serves on the boards of directors of several privately-held companies. Mr. Saar holds a B.A. in Business Administration and Economics from Tel Aviv University. We believe that Mr. Saar’s extensive experience in the venture capital industry and with technology companies qualify him to serve on our board of directors.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107" w:name="page108"/>
    <w:bookmarkEnd w:id="107"/>
    <w:p>
      <w:pPr>
        <w:ind w:left="440"/>
        <w:spacing w:after="0"/>
        <w:rPr>
          <w:sz w:val="20"/>
          <w:szCs w:val="20"/>
          <w:color w:val="auto"/>
        </w:rPr>
      </w:pPr>
      <w:r>
        <w:rPr>
          <w:rFonts w:ascii="Times New Roman" w:cs="Times New Roman" w:eastAsia="Times New Roman" w:hAnsi="Times New Roman"/>
          <w:sz w:val="18"/>
          <w:szCs w:val="18"/>
          <w:b w:val="1"/>
          <w:bCs w:val="1"/>
          <w:color w:val="auto"/>
        </w:rPr>
        <w:t>Board Diversity Matrix</w:t>
      </w:r>
    </w:p>
    <w:p>
      <w:pPr>
        <w:spacing w:after="0" w:line="2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table below provides certain information regarding the diversity of our board of directors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42087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32320" cy="4208780"/>
                    </a:xfrm>
                    <a:prstGeom prst="rect">
                      <a:avLst/>
                    </a:prstGeom>
                    <a:noFill/>
                  </pic:spPr>
                </pic:pic>
              </a:graphicData>
            </a:graphic>
          </wp:anchor>
        </w:drawing>
      </w:r>
    </w:p>
    <w:p>
      <w:pPr>
        <w:spacing w:after="0" w:line="2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Board Diversity Matrix</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As of the date of this Annual Report</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9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Country of Principal Executive Offices:</w:t>
            </w:r>
          </w:p>
        </w:tc>
        <w:tc>
          <w:tcPr>
            <w:tcW w:w="1400" w:type="dxa"/>
            <w:vAlign w:val="bottom"/>
            <w:tcBorders>
              <w:top w:val="single" w:sz="8" w:color="auto"/>
              <w:right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Israel</w:t>
            </w:r>
          </w:p>
        </w:tc>
        <w:tc>
          <w:tcPr>
            <w:tcW w:w="1040" w:type="dxa"/>
            <w:vAlign w:val="bottom"/>
            <w:tcBorders>
              <w:top w:val="single" w:sz="8" w:color="auto"/>
            </w:tcBorders>
          </w:tcPr>
          <w:p>
            <w:pPr>
              <w:spacing w:after="0"/>
              <w:rPr>
                <w:sz w:val="22"/>
                <w:szCs w:val="22"/>
                <w:color w:val="auto"/>
              </w:rPr>
            </w:pPr>
          </w:p>
        </w:tc>
        <w:tc>
          <w:tcPr>
            <w:tcW w:w="16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r>
      <w:tr>
        <w:trPr>
          <w:trHeight w:val="257"/>
        </w:trPr>
        <w:tc>
          <w:tcPr>
            <w:tcW w:w="4920" w:type="dxa"/>
            <w:vAlign w:val="bottom"/>
            <w:tcBorders>
              <w:bottom w:val="single" w:sz="8" w:color="auto"/>
            </w:tcBorders>
          </w:tcPr>
          <w:p>
            <w:pPr>
              <w:spacing w:after="0"/>
              <w:rPr>
                <w:sz w:val="22"/>
                <w:szCs w:val="22"/>
                <w:color w:val="auto"/>
              </w:rPr>
            </w:pPr>
          </w:p>
        </w:tc>
        <w:tc>
          <w:tcPr>
            <w:tcW w:w="14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r>
      <w:tr>
        <w:trPr>
          <w:trHeight w:val="237"/>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Private Issuer</w:t>
            </w:r>
          </w:p>
        </w:tc>
        <w:tc>
          <w:tcPr>
            <w:tcW w:w="1400" w:type="dxa"/>
            <w:vAlign w:val="bottom"/>
            <w:tcBorders>
              <w:right w:val="single" w:sz="8" w:color="auto"/>
            </w:tcBorders>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Yes</w:t>
            </w:r>
          </w:p>
        </w:tc>
        <w:tc>
          <w:tcPr>
            <w:tcW w:w="10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6"/>
        </w:trPr>
        <w:tc>
          <w:tcPr>
            <w:tcW w:w="4920" w:type="dxa"/>
            <w:vAlign w:val="bottom"/>
            <w:tcBorders>
              <w:bottom w:val="single" w:sz="8" w:color="auto"/>
            </w:tcBorders>
          </w:tcPr>
          <w:p>
            <w:pPr>
              <w:spacing w:after="0"/>
              <w:rPr>
                <w:sz w:val="22"/>
                <w:szCs w:val="22"/>
                <w:color w:val="auto"/>
              </w:rPr>
            </w:pPr>
          </w:p>
        </w:tc>
        <w:tc>
          <w:tcPr>
            <w:tcW w:w="14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r>
      <w:tr>
        <w:trPr>
          <w:trHeight w:val="237"/>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Disclosure Prohibited under Home Country Law</w:t>
            </w:r>
          </w:p>
        </w:tc>
        <w:tc>
          <w:tcPr>
            <w:tcW w:w="1400" w:type="dxa"/>
            <w:vAlign w:val="bottom"/>
            <w:tcBorders>
              <w:right w:val="single" w:sz="8" w:color="auto"/>
            </w:tcBorders>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No</w:t>
            </w:r>
          </w:p>
        </w:tc>
        <w:tc>
          <w:tcPr>
            <w:tcW w:w="10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7"/>
        </w:trPr>
        <w:tc>
          <w:tcPr>
            <w:tcW w:w="4920" w:type="dxa"/>
            <w:vAlign w:val="bottom"/>
            <w:tcBorders>
              <w:bottom w:val="single" w:sz="8" w:color="auto"/>
            </w:tcBorders>
          </w:tcPr>
          <w:p>
            <w:pPr>
              <w:spacing w:after="0"/>
              <w:rPr>
                <w:sz w:val="22"/>
                <w:szCs w:val="22"/>
                <w:color w:val="auto"/>
              </w:rPr>
            </w:pPr>
          </w:p>
        </w:tc>
        <w:tc>
          <w:tcPr>
            <w:tcW w:w="14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r>
      <w:tr>
        <w:trPr>
          <w:trHeight w:val="237"/>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Number of Directors</w:t>
            </w:r>
          </w:p>
        </w:tc>
        <w:tc>
          <w:tcPr>
            <w:tcW w:w="1400" w:type="dxa"/>
            <w:vAlign w:val="bottom"/>
            <w:tcBorders>
              <w:right w:val="single" w:sz="8" w:color="auto"/>
            </w:tcBorders>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10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7"/>
        </w:trPr>
        <w:tc>
          <w:tcPr>
            <w:tcW w:w="4920" w:type="dxa"/>
            <w:vAlign w:val="bottom"/>
            <w:tcBorders>
              <w:bottom w:val="single" w:sz="8" w:color="auto"/>
            </w:tcBorders>
          </w:tcPr>
          <w:p>
            <w:pPr>
              <w:spacing w:after="0"/>
              <w:rPr>
                <w:sz w:val="22"/>
                <w:szCs w:val="22"/>
                <w:color w:val="auto"/>
              </w:rPr>
            </w:pPr>
          </w:p>
        </w:tc>
        <w:tc>
          <w:tcPr>
            <w:tcW w:w="14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r>
      <w:tr>
        <w:trPr>
          <w:trHeight w:val="214"/>
        </w:trPr>
        <w:tc>
          <w:tcPr>
            <w:tcW w:w="4920" w:type="dxa"/>
            <w:vAlign w:val="bottom"/>
            <w:shd w:val="clear" w:color="auto" w:fill="D9D9D9"/>
          </w:tcPr>
          <w:p>
            <w:pPr>
              <w:spacing w:after="0"/>
              <w:rPr>
                <w:sz w:val="18"/>
                <w:szCs w:val="18"/>
                <w:color w:val="auto"/>
              </w:rPr>
            </w:pPr>
          </w:p>
        </w:tc>
        <w:tc>
          <w:tcPr>
            <w:tcW w:w="1400" w:type="dxa"/>
            <w:vAlign w:val="bottom"/>
            <w:tcBorders>
              <w:right w:val="single" w:sz="8" w:color="auto"/>
            </w:tcBorders>
            <w:shd w:val="clear" w:color="auto" w:fill="D9D9D9"/>
          </w:tcPr>
          <w:p>
            <w:pPr>
              <w:spacing w:after="0"/>
              <w:rPr>
                <w:sz w:val="18"/>
                <w:szCs w:val="18"/>
                <w:color w:val="auto"/>
              </w:rPr>
            </w:pPr>
          </w:p>
        </w:tc>
        <w:tc>
          <w:tcPr>
            <w:tcW w:w="1220" w:type="dxa"/>
            <w:vAlign w:val="bottom"/>
            <w:tcBorders>
              <w:right w:val="single" w:sz="8" w:color="auto"/>
            </w:tcBorders>
            <w:shd w:val="clear" w:color="auto" w:fill="D9D9D9"/>
          </w:tcPr>
          <w:p>
            <w:pPr>
              <w:spacing w:after="0"/>
              <w:rPr>
                <w:sz w:val="20"/>
                <w:szCs w:val="20"/>
                <w:color w:val="auto"/>
              </w:rPr>
            </w:pPr>
            <w:r>
              <w:rPr>
                <w:rFonts w:ascii="Times New Roman" w:cs="Times New Roman" w:eastAsia="Times New Roman" w:hAnsi="Times New Roman"/>
                <w:sz w:val="18"/>
                <w:szCs w:val="18"/>
                <w:b w:val="1"/>
                <w:bCs w:val="1"/>
                <w:color w:val="auto"/>
              </w:rPr>
              <w:t>Female</w:t>
            </w:r>
          </w:p>
        </w:tc>
        <w:tc>
          <w:tcPr>
            <w:tcW w:w="1040" w:type="dxa"/>
            <w:vAlign w:val="bottom"/>
            <w:tcBorders>
              <w:right w:val="single" w:sz="8" w:color="auto"/>
            </w:tcBorders>
            <w:shd w:val="clear" w:color="auto" w:fill="D9D9D9"/>
          </w:tcPr>
          <w:p>
            <w:pPr>
              <w:ind w:left="20"/>
              <w:spacing w:after="0"/>
              <w:rPr>
                <w:sz w:val="20"/>
                <w:szCs w:val="20"/>
                <w:color w:val="auto"/>
              </w:rPr>
            </w:pPr>
            <w:r>
              <w:rPr>
                <w:rFonts w:ascii="Times New Roman" w:cs="Times New Roman" w:eastAsia="Times New Roman" w:hAnsi="Times New Roman"/>
                <w:sz w:val="18"/>
                <w:szCs w:val="18"/>
                <w:b w:val="1"/>
                <w:bCs w:val="1"/>
                <w:color w:val="auto"/>
              </w:rPr>
              <w:t>Male</w:t>
            </w:r>
          </w:p>
        </w:tc>
        <w:tc>
          <w:tcPr>
            <w:tcW w:w="1640" w:type="dxa"/>
            <w:vAlign w:val="bottom"/>
            <w:tcBorders>
              <w:right w:val="single" w:sz="8" w:color="auto"/>
            </w:tcBorders>
            <w:shd w:val="clear" w:color="auto" w:fill="D9D9D9"/>
          </w:tcPr>
          <w:p>
            <w:pPr>
              <w:ind w:left="20"/>
              <w:spacing w:after="0"/>
              <w:rPr>
                <w:sz w:val="20"/>
                <w:szCs w:val="20"/>
                <w:color w:val="auto"/>
              </w:rPr>
            </w:pPr>
            <w:r>
              <w:rPr>
                <w:rFonts w:ascii="Times New Roman" w:cs="Times New Roman" w:eastAsia="Times New Roman" w:hAnsi="Times New Roman"/>
                <w:sz w:val="18"/>
                <w:szCs w:val="18"/>
                <w:b w:val="1"/>
                <w:bCs w:val="1"/>
                <w:color w:val="auto"/>
              </w:rPr>
              <w:t>Non-</w:t>
            </w:r>
          </w:p>
        </w:tc>
        <w:tc>
          <w:tcPr>
            <w:tcW w:w="1020" w:type="dxa"/>
            <w:vAlign w:val="bottom"/>
            <w:tcBorders>
              <w:right w:val="single" w:sz="8" w:color="D9D9D9"/>
            </w:tcBorders>
            <w:shd w:val="clear" w:color="auto" w:fill="D9D9D9"/>
          </w:tcPr>
          <w:p>
            <w:pPr>
              <w:ind w:left="20"/>
              <w:spacing w:after="0"/>
              <w:rPr>
                <w:sz w:val="20"/>
                <w:szCs w:val="20"/>
                <w:color w:val="auto"/>
              </w:rPr>
            </w:pPr>
            <w:r>
              <w:rPr>
                <w:rFonts w:ascii="Times New Roman" w:cs="Times New Roman" w:eastAsia="Times New Roman" w:hAnsi="Times New Roman"/>
                <w:sz w:val="18"/>
                <w:szCs w:val="18"/>
                <w:b w:val="1"/>
                <w:bCs w:val="1"/>
                <w:color w:val="auto"/>
              </w:rPr>
              <w:t>Did Not</w:t>
            </w:r>
          </w:p>
        </w:tc>
      </w:tr>
      <w:tr>
        <w:trPr>
          <w:trHeight w:val="230"/>
        </w:trPr>
        <w:tc>
          <w:tcPr>
            <w:tcW w:w="4920" w:type="dxa"/>
            <w:vAlign w:val="bottom"/>
            <w:shd w:val="clear" w:color="auto" w:fill="D9D9D9"/>
          </w:tcPr>
          <w:p>
            <w:pPr>
              <w:spacing w:after="0"/>
              <w:rPr>
                <w:sz w:val="19"/>
                <w:szCs w:val="19"/>
                <w:color w:val="auto"/>
              </w:rPr>
            </w:pPr>
          </w:p>
        </w:tc>
        <w:tc>
          <w:tcPr>
            <w:tcW w:w="1400" w:type="dxa"/>
            <w:vAlign w:val="bottom"/>
            <w:tcBorders>
              <w:right w:val="single" w:sz="8" w:color="auto"/>
            </w:tcBorders>
            <w:shd w:val="clear" w:color="auto" w:fill="D9D9D9"/>
          </w:tcPr>
          <w:p>
            <w:pPr>
              <w:spacing w:after="0"/>
              <w:rPr>
                <w:sz w:val="19"/>
                <w:szCs w:val="19"/>
                <w:color w:val="auto"/>
              </w:rPr>
            </w:pPr>
          </w:p>
        </w:tc>
        <w:tc>
          <w:tcPr>
            <w:tcW w:w="1220" w:type="dxa"/>
            <w:vAlign w:val="bottom"/>
            <w:tcBorders>
              <w:right w:val="single" w:sz="8" w:color="auto"/>
            </w:tcBorders>
            <w:shd w:val="clear" w:color="auto" w:fill="D9D9D9"/>
          </w:tcPr>
          <w:p>
            <w:pPr>
              <w:spacing w:after="0"/>
              <w:rPr>
                <w:sz w:val="19"/>
                <w:szCs w:val="19"/>
                <w:color w:val="auto"/>
              </w:rPr>
            </w:pPr>
          </w:p>
        </w:tc>
        <w:tc>
          <w:tcPr>
            <w:tcW w:w="1040" w:type="dxa"/>
            <w:vAlign w:val="bottom"/>
            <w:tcBorders>
              <w:right w:val="single" w:sz="8" w:color="auto"/>
            </w:tcBorders>
            <w:shd w:val="clear" w:color="auto" w:fill="D9D9D9"/>
          </w:tcPr>
          <w:p>
            <w:pPr>
              <w:spacing w:after="0"/>
              <w:rPr>
                <w:sz w:val="19"/>
                <w:szCs w:val="19"/>
                <w:color w:val="auto"/>
              </w:rPr>
            </w:pPr>
          </w:p>
        </w:tc>
        <w:tc>
          <w:tcPr>
            <w:tcW w:w="1640" w:type="dxa"/>
            <w:vAlign w:val="bottom"/>
            <w:tcBorders>
              <w:right w:val="single" w:sz="8" w:color="auto"/>
            </w:tcBorders>
            <w:shd w:val="clear" w:color="auto" w:fill="D9D9D9"/>
          </w:tcPr>
          <w:p>
            <w:pPr>
              <w:ind w:left="20"/>
              <w:spacing w:after="0"/>
              <w:rPr>
                <w:sz w:val="20"/>
                <w:szCs w:val="20"/>
                <w:color w:val="auto"/>
              </w:rPr>
            </w:pPr>
            <w:r>
              <w:rPr>
                <w:rFonts w:ascii="Times New Roman" w:cs="Times New Roman" w:eastAsia="Times New Roman" w:hAnsi="Times New Roman"/>
                <w:sz w:val="18"/>
                <w:szCs w:val="18"/>
                <w:b w:val="1"/>
                <w:bCs w:val="1"/>
                <w:color w:val="auto"/>
              </w:rPr>
              <w:t>Binary/Transgender</w:t>
            </w:r>
          </w:p>
        </w:tc>
        <w:tc>
          <w:tcPr>
            <w:tcW w:w="1020" w:type="dxa"/>
            <w:vAlign w:val="bottom"/>
            <w:tcBorders>
              <w:right w:val="single" w:sz="8" w:color="D9D9D9"/>
            </w:tcBorders>
            <w:shd w:val="clear" w:color="auto" w:fill="D9D9D9"/>
          </w:tcPr>
          <w:p>
            <w:pPr>
              <w:ind w:left="20"/>
              <w:spacing w:after="0"/>
              <w:rPr>
                <w:sz w:val="20"/>
                <w:szCs w:val="20"/>
                <w:color w:val="auto"/>
              </w:rPr>
            </w:pPr>
            <w:r>
              <w:rPr>
                <w:rFonts w:ascii="Times New Roman" w:cs="Times New Roman" w:eastAsia="Times New Roman" w:hAnsi="Times New Roman"/>
                <w:sz w:val="18"/>
                <w:szCs w:val="18"/>
                <w:b w:val="1"/>
                <w:bCs w:val="1"/>
                <w:color w:val="auto"/>
              </w:rPr>
              <w:t>Disclose</w:t>
            </w:r>
          </w:p>
        </w:tc>
      </w:tr>
      <w:tr>
        <w:trPr>
          <w:trHeight w:val="238"/>
        </w:trPr>
        <w:tc>
          <w:tcPr>
            <w:tcW w:w="4920" w:type="dxa"/>
            <w:vAlign w:val="bottom"/>
            <w:shd w:val="clear" w:color="auto" w:fill="D9D9D9"/>
          </w:tcPr>
          <w:p>
            <w:pPr>
              <w:spacing w:after="0"/>
              <w:rPr>
                <w:sz w:val="20"/>
                <w:szCs w:val="20"/>
                <w:color w:val="auto"/>
              </w:rPr>
            </w:pPr>
          </w:p>
        </w:tc>
        <w:tc>
          <w:tcPr>
            <w:tcW w:w="1400" w:type="dxa"/>
            <w:vAlign w:val="bottom"/>
            <w:tcBorders>
              <w:right w:val="single" w:sz="8" w:color="auto"/>
            </w:tcBorders>
            <w:shd w:val="clear" w:color="auto" w:fill="D9D9D9"/>
          </w:tcPr>
          <w:p>
            <w:pPr>
              <w:spacing w:after="0"/>
              <w:rPr>
                <w:sz w:val="20"/>
                <w:szCs w:val="20"/>
                <w:color w:val="auto"/>
              </w:rPr>
            </w:pPr>
          </w:p>
        </w:tc>
        <w:tc>
          <w:tcPr>
            <w:tcW w:w="1220" w:type="dxa"/>
            <w:vAlign w:val="bottom"/>
            <w:tcBorders>
              <w:right w:val="single" w:sz="8" w:color="auto"/>
            </w:tcBorders>
            <w:shd w:val="clear" w:color="auto" w:fill="D9D9D9"/>
          </w:tcPr>
          <w:p>
            <w:pPr>
              <w:spacing w:after="0"/>
              <w:rPr>
                <w:sz w:val="20"/>
                <w:szCs w:val="20"/>
                <w:color w:val="auto"/>
              </w:rPr>
            </w:pPr>
          </w:p>
        </w:tc>
        <w:tc>
          <w:tcPr>
            <w:tcW w:w="1040" w:type="dxa"/>
            <w:vAlign w:val="bottom"/>
            <w:tcBorders>
              <w:right w:val="single" w:sz="8" w:color="auto"/>
            </w:tcBorders>
            <w:shd w:val="clear" w:color="auto" w:fill="D9D9D9"/>
          </w:tcPr>
          <w:p>
            <w:pPr>
              <w:spacing w:after="0"/>
              <w:rPr>
                <w:sz w:val="20"/>
                <w:szCs w:val="20"/>
                <w:color w:val="auto"/>
              </w:rPr>
            </w:pPr>
          </w:p>
        </w:tc>
        <w:tc>
          <w:tcPr>
            <w:tcW w:w="1640" w:type="dxa"/>
            <w:vAlign w:val="bottom"/>
            <w:tcBorders>
              <w:right w:val="single" w:sz="8" w:color="auto"/>
            </w:tcBorders>
            <w:shd w:val="clear" w:color="auto" w:fill="D9D9D9"/>
          </w:tcPr>
          <w:p>
            <w:pPr>
              <w:spacing w:after="0"/>
              <w:rPr>
                <w:sz w:val="20"/>
                <w:szCs w:val="20"/>
                <w:color w:val="auto"/>
              </w:rPr>
            </w:pPr>
          </w:p>
        </w:tc>
        <w:tc>
          <w:tcPr>
            <w:tcW w:w="1020" w:type="dxa"/>
            <w:vAlign w:val="bottom"/>
            <w:tcBorders>
              <w:right w:val="single" w:sz="8" w:color="D9D9D9"/>
            </w:tcBorders>
            <w:shd w:val="clear" w:color="auto" w:fill="D9D9D9"/>
          </w:tcPr>
          <w:p>
            <w:pPr>
              <w:ind w:left="20"/>
              <w:spacing w:after="0"/>
              <w:rPr>
                <w:sz w:val="20"/>
                <w:szCs w:val="20"/>
                <w:color w:val="auto"/>
              </w:rPr>
            </w:pPr>
            <w:r>
              <w:rPr>
                <w:rFonts w:ascii="Times New Roman" w:cs="Times New Roman" w:eastAsia="Times New Roman" w:hAnsi="Times New Roman"/>
                <w:sz w:val="18"/>
                <w:szCs w:val="18"/>
                <w:b w:val="1"/>
                <w:bCs w:val="1"/>
                <w:color w:val="auto"/>
              </w:rPr>
              <w:t>Gender</w:t>
            </w:r>
          </w:p>
        </w:tc>
      </w:tr>
      <w:tr>
        <w:trPr>
          <w:trHeight w:val="270"/>
        </w:trPr>
        <w:tc>
          <w:tcPr>
            <w:tcW w:w="4920" w:type="dxa"/>
            <w:vAlign w:val="bottom"/>
            <w:tcBorders>
              <w:bottom w:val="single" w:sz="8" w:color="auto"/>
            </w:tcBorders>
            <w:shd w:val="clear" w:color="auto" w:fill="D9D9D9"/>
          </w:tcPr>
          <w:p>
            <w:pPr>
              <w:spacing w:after="0"/>
              <w:rPr>
                <w:sz w:val="23"/>
                <w:szCs w:val="23"/>
                <w:color w:val="auto"/>
              </w:rPr>
            </w:pPr>
          </w:p>
        </w:tc>
        <w:tc>
          <w:tcPr>
            <w:tcW w:w="1400" w:type="dxa"/>
            <w:vAlign w:val="bottom"/>
            <w:tcBorders>
              <w:bottom w:val="single" w:sz="8" w:color="auto"/>
              <w:right w:val="single" w:sz="8" w:color="auto"/>
            </w:tcBorders>
            <w:shd w:val="clear" w:color="auto" w:fill="D9D9D9"/>
          </w:tcPr>
          <w:p>
            <w:pPr>
              <w:spacing w:after="0"/>
              <w:rPr>
                <w:sz w:val="23"/>
                <w:szCs w:val="23"/>
                <w:color w:val="auto"/>
              </w:rPr>
            </w:pPr>
          </w:p>
        </w:tc>
        <w:tc>
          <w:tcPr>
            <w:tcW w:w="1220" w:type="dxa"/>
            <w:vAlign w:val="bottom"/>
            <w:tcBorders>
              <w:bottom w:val="single" w:sz="8" w:color="auto"/>
              <w:right w:val="single" w:sz="8" w:color="auto"/>
            </w:tcBorders>
            <w:shd w:val="clear" w:color="auto" w:fill="D9D9D9"/>
          </w:tcPr>
          <w:p>
            <w:pPr>
              <w:spacing w:after="0"/>
              <w:rPr>
                <w:sz w:val="23"/>
                <w:szCs w:val="23"/>
                <w:color w:val="auto"/>
              </w:rPr>
            </w:pPr>
          </w:p>
        </w:tc>
        <w:tc>
          <w:tcPr>
            <w:tcW w:w="1040" w:type="dxa"/>
            <w:vAlign w:val="bottom"/>
            <w:tcBorders>
              <w:bottom w:val="single" w:sz="8" w:color="auto"/>
              <w:right w:val="single" w:sz="8" w:color="auto"/>
            </w:tcBorders>
            <w:shd w:val="clear" w:color="auto" w:fill="D9D9D9"/>
          </w:tcPr>
          <w:p>
            <w:pPr>
              <w:spacing w:after="0"/>
              <w:rPr>
                <w:sz w:val="23"/>
                <w:szCs w:val="23"/>
                <w:color w:val="auto"/>
              </w:rPr>
            </w:pPr>
          </w:p>
        </w:tc>
        <w:tc>
          <w:tcPr>
            <w:tcW w:w="1640" w:type="dxa"/>
            <w:vAlign w:val="bottom"/>
            <w:tcBorders>
              <w:bottom w:val="single" w:sz="8" w:color="auto"/>
              <w:right w:val="single" w:sz="8" w:color="auto"/>
            </w:tcBorders>
            <w:shd w:val="clear" w:color="auto" w:fill="D9D9D9"/>
          </w:tcPr>
          <w:p>
            <w:pPr>
              <w:spacing w:after="0"/>
              <w:rPr>
                <w:sz w:val="23"/>
                <w:szCs w:val="23"/>
                <w:color w:val="auto"/>
              </w:rPr>
            </w:pPr>
          </w:p>
        </w:tc>
        <w:tc>
          <w:tcPr>
            <w:tcW w:w="1020" w:type="dxa"/>
            <w:vAlign w:val="bottom"/>
            <w:tcBorders>
              <w:bottom w:val="single" w:sz="8" w:color="auto"/>
              <w:right w:val="single" w:sz="8" w:color="D9D9D9"/>
            </w:tcBorders>
            <w:shd w:val="clear" w:color="auto" w:fill="D9D9D9"/>
          </w:tcPr>
          <w:p>
            <w:pPr>
              <w:spacing w:after="0"/>
              <w:rPr>
                <w:sz w:val="23"/>
                <w:szCs w:val="23"/>
                <w:color w:val="auto"/>
              </w:rPr>
            </w:pPr>
          </w:p>
        </w:tc>
      </w:tr>
      <w:tr>
        <w:trPr>
          <w:trHeight w:val="237"/>
        </w:trPr>
        <w:tc>
          <w:tcPr>
            <w:tcW w:w="4920" w:type="dxa"/>
            <w:vAlign w:val="bottom"/>
            <w:shd w:val="clear" w:color="auto" w:fill="D9D9D9"/>
          </w:tcPr>
          <w:p>
            <w:pPr>
              <w:ind w:left="40"/>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1400" w:type="dxa"/>
            <w:vAlign w:val="bottom"/>
            <w:tcBorders>
              <w:right w:val="single" w:sz="8" w:color="auto"/>
            </w:tcBorders>
            <w:shd w:val="clear" w:color="auto" w:fill="D9D9D9"/>
          </w:tcPr>
          <w:p>
            <w:pPr>
              <w:spacing w:after="0"/>
              <w:rPr>
                <w:sz w:val="20"/>
                <w:szCs w:val="20"/>
                <w:color w:val="auto"/>
              </w:rPr>
            </w:pPr>
          </w:p>
        </w:tc>
        <w:tc>
          <w:tcPr>
            <w:tcW w:w="1220" w:type="dxa"/>
            <w:vAlign w:val="bottom"/>
            <w:tcBorders>
              <w:right w:val="single" w:sz="8" w:color="D9D9D9"/>
            </w:tcBorders>
            <w:shd w:val="clear" w:color="auto" w:fill="D9D9D9"/>
          </w:tcPr>
          <w:p>
            <w:pPr>
              <w:spacing w:after="0"/>
              <w:rPr>
                <w:sz w:val="20"/>
                <w:szCs w:val="20"/>
                <w:color w:val="auto"/>
              </w:rPr>
            </w:pPr>
          </w:p>
        </w:tc>
        <w:tc>
          <w:tcPr>
            <w:tcW w:w="1040" w:type="dxa"/>
            <w:vAlign w:val="bottom"/>
            <w:tcBorders>
              <w:right w:val="single" w:sz="8" w:color="D9D9D9"/>
            </w:tcBorders>
            <w:shd w:val="clear" w:color="auto" w:fill="D9D9D9"/>
          </w:tcPr>
          <w:p>
            <w:pPr>
              <w:spacing w:after="0"/>
              <w:rPr>
                <w:sz w:val="20"/>
                <w:szCs w:val="20"/>
                <w:color w:val="auto"/>
              </w:rPr>
            </w:pPr>
          </w:p>
        </w:tc>
        <w:tc>
          <w:tcPr>
            <w:tcW w:w="1640" w:type="dxa"/>
            <w:vAlign w:val="bottom"/>
            <w:tcBorders>
              <w:right w:val="single" w:sz="8" w:color="D9D9D9"/>
            </w:tcBorders>
            <w:shd w:val="clear" w:color="auto" w:fill="D9D9D9"/>
          </w:tcPr>
          <w:p>
            <w:pPr>
              <w:spacing w:after="0"/>
              <w:rPr>
                <w:sz w:val="20"/>
                <w:szCs w:val="20"/>
                <w:color w:val="auto"/>
              </w:rPr>
            </w:pPr>
          </w:p>
        </w:tc>
        <w:tc>
          <w:tcPr>
            <w:tcW w:w="1020" w:type="dxa"/>
            <w:vAlign w:val="bottom"/>
            <w:tcBorders>
              <w:right w:val="single" w:sz="8" w:color="D9D9D9"/>
            </w:tcBorders>
            <w:shd w:val="clear" w:color="auto" w:fill="D9D9D9"/>
          </w:tcPr>
          <w:p>
            <w:pPr>
              <w:spacing w:after="0"/>
              <w:rPr>
                <w:sz w:val="20"/>
                <w:szCs w:val="20"/>
                <w:color w:val="auto"/>
              </w:rPr>
            </w:pPr>
          </w:p>
        </w:tc>
      </w:tr>
      <w:tr>
        <w:trPr>
          <w:trHeight w:val="256"/>
        </w:trPr>
        <w:tc>
          <w:tcPr>
            <w:tcW w:w="4920" w:type="dxa"/>
            <w:vAlign w:val="bottom"/>
            <w:tcBorders>
              <w:bottom w:val="single" w:sz="8" w:color="auto"/>
            </w:tcBorders>
            <w:shd w:val="clear" w:color="auto" w:fill="D9D9D9"/>
          </w:tcPr>
          <w:p>
            <w:pPr>
              <w:spacing w:after="0"/>
              <w:rPr>
                <w:sz w:val="22"/>
                <w:szCs w:val="22"/>
                <w:color w:val="auto"/>
              </w:rPr>
            </w:pPr>
          </w:p>
        </w:tc>
        <w:tc>
          <w:tcPr>
            <w:tcW w:w="1400" w:type="dxa"/>
            <w:vAlign w:val="bottom"/>
            <w:tcBorders>
              <w:bottom w:val="single" w:sz="8" w:color="auto"/>
              <w:right w:val="single" w:sz="8" w:color="auto"/>
            </w:tcBorders>
            <w:shd w:val="clear" w:color="auto" w:fill="D9D9D9"/>
          </w:tcPr>
          <w:p>
            <w:pPr>
              <w:spacing w:after="0"/>
              <w:rPr>
                <w:sz w:val="22"/>
                <w:szCs w:val="22"/>
                <w:color w:val="auto"/>
              </w:rPr>
            </w:pPr>
          </w:p>
        </w:tc>
        <w:tc>
          <w:tcPr>
            <w:tcW w:w="1220" w:type="dxa"/>
            <w:vAlign w:val="bottom"/>
            <w:tcBorders>
              <w:bottom w:val="single" w:sz="8" w:color="auto"/>
              <w:right w:val="single" w:sz="8" w:color="D9D9D9"/>
            </w:tcBorders>
            <w:shd w:val="clear" w:color="auto" w:fill="D9D9D9"/>
          </w:tcPr>
          <w:p>
            <w:pPr>
              <w:spacing w:after="0"/>
              <w:rPr>
                <w:sz w:val="22"/>
                <w:szCs w:val="22"/>
                <w:color w:val="auto"/>
              </w:rPr>
            </w:pPr>
          </w:p>
        </w:tc>
        <w:tc>
          <w:tcPr>
            <w:tcW w:w="1040" w:type="dxa"/>
            <w:vAlign w:val="bottom"/>
            <w:tcBorders>
              <w:bottom w:val="single" w:sz="8" w:color="auto"/>
              <w:right w:val="single" w:sz="8" w:color="D9D9D9"/>
            </w:tcBorders>
            <w:shd w:val="clear" w:color="auto" w:fill="D9D9D9"/>
          </w:tcPr>
          <w:p>
            <w:pPr>
              <w:spacing w:after="0"/>
              <w:rPr>
                <w:sz w:val="22"/>
                <w:szCs w:val="22"/>
                <w:color w:val="auto"/>
              </w:rPr>
            </w:pPr>
          </w:p>
        </w:tc>
        <w:tc>
          <w:tcPr>
            <w:tcW w:w="1640" w:type="dxa"/>
            <w:vAlign w:val="bottom"/>
            <w:tcBorders>
              <w:bottom w:val="single" w:sz="8" w:color="auto"/>
              <w:right w:val="single" w:sz="8" w:color="D9D9D9"/>
            </w:tcBorders>
            <w:shd w:val="clear" w:color="auto" w:fill="D9D9D9"/>
          </w:tcPr>
          <w:p>
            <w:pPr>
              <w:spacing w:after="0"/>
              <w:rPr>
                <w:sz w:val="22"/>
                <w:szCs w:val="22"/>
                <w:color w:val="auto"/>
              </w:rPr>
            </w:pPr>
          </w:p>
        </w:tc>
        <w:tc>
          <w:tcPr>
            <w:tcW w:w="1020" w:type="dxa"/>
            <w:vAlign w:val="bottom"/>
            <w:tcBorders>
              <w:bottom w:val="single" w:sz="8" w:color="auto"/>
              <w:right w:val="single" w:sz="8" w:color="D9D9D9"/>
            </w:tcBorders>
            <w:shd w:val="clear" w:color="auto" w:fill="D9D9D9"/>
          </w:tcPr>
          <w:p>
            <w:pPr>
              <w:spacing w:after="0"/>
              <w:rPr>
                <w:sz w:val="22"/>
                <w:szCs w:val="22"/>
                <w:color w:val="auto"/>
              </w:rPr>
            </w:pPr>
          </w:p>
        </w:tc>
      </w:tr>
      <w:tr>
        <w:trPr>
          <w:trHeight w:val="237"/>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Directors</w:t>
            </w:r>
          </w:p>
        </w:tc>
        <w:tc>
          <w:tcPr>
            <w:tcW w:w="140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w:t>
            </w:r>
          </w:p>
        </w:tc>
        <w:tc>
          <w:tcPr>
            <w:tcW w:w="1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6</w:t>
            </w:r>
          </w:p>
        </w:tc>
        <w:tc>
          <w:tcPr>
            <w:tcW w:w="1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w:t>
            </w:r>
          </w:p>
        </w:tc>
      </w:tr>
      <w:tr>
        <w:trPr>
          <w:trHeight w:val="257"/>
        </w:trPr>
        <w:tc>
          <w:tcPr>
            <w:tcW w:w="4920" w:type="dxa"/>
            <w:vAlign w:val="bottom"/>
            <w:tcBorders>
              <w:bottom w:val="single" w:sz="8" w:color="auto"/>
            </w:tcBorders>
          </w:tcPr>
          <w:p>
            <w:pPr>
              <w:spacing w:after="0"/>
              <w:rPr>
                <w:sz w:val="22"/>
                <w:szCs w:val="22"/>
                <w:color w:val="auto"/>
              </w:rPr>
            </w:pPr>
          </w:p>
        </w:tc>
        <w:tc>
          <w:tcPr>
            <w:tcW w:w="14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spacing w:after="0"/>
              <w:rPr>
                <w:sz w:val="22"/>
                <w:szCs w:val="22"/>
                <w:color w:val="auto"/>
              </w:rPr>
            </w:pPr>
          </w:p>
        </w:tc>
        <w:tc>
          <w:tcPr>
            <w:tcW w:w="1640" w:type="dxa"/>
            <w:vAlign w:val="bottom"/>
            <w:tcBorders>
              <w:bottom w:val="single" w:sz="8" w:color="auto"/>
              <w:right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r>
      <w:tr>
        <w:trPr>
          <w:trHeight w:val="237"/>
        </w:trPr>
        <w:tc>
          <w:tcPr>
            <w:tcW w:w="4920" w:type="dxa"/>
            <w:vAlign w:val="bottom"/>
            <w:shd w:val="clear" w:color="auto" w:fill="D9D9D9"/>
          </w:tcPr>
          <w:p>
            <w:pPr>
              <w:ind w:left="40"/>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1400" w:type="dxa"/>
            <w:vAlign w:val="bottom"/>
            <w:tcBorders>
              <w:right w:val="single" w:sz="8" w:color="auto"/>
            </w:tcBorders>
            <w:shd w:val="clear" w:color="auto" w:fill="D9D9D9"/>
          </w:tcPr>
          <w:p>
            <w:pPr>
              <w:spacing w:after="0"/>
              <w:rPr>
                <w:sz w:val="20"/>
                <w:szCs w:val="20"/>
                <w:color w:val="auto"/>
              </w:rPr>
            </w:pPr>
          </w:p>
        </w:tc>
        <w:tc>
          <w:tcPr>
            <w:tcW w:w="1220" w:type="dxa"/>
            <w:vAlign w:val="bottom"/>
            <w:tcBorders>
              <w:right w:val="single" w:sz="8" w:color="D9D9D9"/>
            </w:tcBorders>
            <w:shd w:val="clear" w:color="auto" w:fill="D9D9D9"/>
          </w:tcPr>
          <w:p>
            <w:pPr>
              <w:spacing w:after="0"/>
              <w:rPr>
                <w:sz w:val="20"/>
                <w:szCs w:val="20"/>
                <w:color w:val="auto"/>
              </w:rPr>
            </w:pPr>
          </w:p>
        </w:tc>
        <w:tc>
          <w:tcPr>
            <w:tcW w:w="1040" w:type="dxa"/>
            <w:vAlign w:val="bottom"/>
            <w:tcBorders>
              <w:right w:val="single" w:sz="8" w:color="D9D9D9"/>
            </w:tcBorders>
            <w:shd w:val="clear" w:color="auto" w:fill="D9D9D9"/>
          </w:tcPr>
          <w:p>
            <w:pPr>
              <w:spacing w:after="0"/>
              <w:rPr>
                <w:sz w:val="20"/>
                <w:szCs w:val="20"/>
                <w:color w:val="auto"/>
              </w:rPr>
            </w:pPr>
          </w:p>
        </w:tc>
        <w:tc>
          <w:tcPr>
            <w:tcW w:w="1640" w:type="dxa"/>
            <w:vAlign w:val="bottom"/>
            <w:tcBorders>
              <w:right w:val="single" w:sz="8" w:color="D9D9D9"/>
            </w:tcBorders>
            <w:shd w:val="clear" w:color="auto" w:fill="D9D9D9"/>
          </w:tcPr>
          <w:p>
            <w:pPr>
              <w:spacing w:after="0"/>
              <w:rPr>
                <w:sz w:val="20"/>
                <w:szCs w:val="20"/>
                <w:color w:val="auto"/>
              </w:rPr>
            </w:pPr>
          </w:p>
        </w:tc>
        <w:tc>
          <w:tcPr>
            <w:tcW w:w="1020" w:type="dxa"/>
            <w:vAlign w:val="bottom"/>
            <w:tcBorders>
              <w:right w:val="single" w:sz="8" w:color="D9D9D9"/>
            </w:tcBorders>
            <w:shd w:val="clear" w:color="auto" w:fill="D9D9D9"/>
          </w:tcPr>
          <w:p>
            <w:pPr>
              <w:spacing w:after="0"/>
              <w:rPr>
                <w:sz w:val="20"/>
                <w:szCs w:val="20"/>
                <w:color w:val="auto"/>
              </w:rPr>
            </w:pPr>
          </w:p>
        </w:tc>
      </w:tr>
      <w:tr>
        <w:trPr>
          <w:trHeight w:val="257"/>
        </w:trPr>
        <w:tc>
          <w:tcPr>
            <w:tcW w:w="4920" w:type="dxa"/>
            <w:vAlign w:val="bottom"/>
            <w:tcBorders>
              <w:bottom w:val="single" w:sz="8" w:color="auto"/>
            </w:tcBorders>
            <w:shd w:val="clear" w:color="auto" w:fill="D9D9D9"/>
          </w:tcPr>
          <w:p>
            <w:pPr>
              <w:spacing w:after="0"/>
              <w:rPr>
                <w:sz w:val="22"/>
                <w:szCs w:val="22"/>
                <w:color w:val="auto"/>
              </w:rPr>
            </w:pPr>
          </w:p>
        </w:tc>
        <w:tc>
          <w:tcPr>
            <w:tcW w:w="1400" w:type="dxa"/>
            <w:vAlign w:val="bottom"/>
            <w:tcBorders>
              <w:bottom w:val="single" w:sz="8" w:color="auto"/>
              <w:right w:val="single" w:sz="8" w:color="auto"/>
            </w:tcBorders>
            <w:shd w:val="clear" w:color="auto" w:fill="D9D9D9"/>
          </w:tcPr>
          <w:p>
            <w:pPr>
              <w:spacing w:after="0"/>
              <w:rPr>
                <w:sz w:val="22"/>
                <w:szCs w:val="22"/>
                <w:color w:val="auto"/>
              </w:rPr>
            </w:pPr>
          </w:p>
        </w:tc>
        <w:tc>
          <w:tcPr>
            <w:tcW w:w="1220" w:type="dxa"/>
            <w:vAlign w:val="bottom"/>
            <w:tcBorders>
              <w:bottom w:val="single" w:sz="8" w:color="auto"/>
              <w:right w:val="single" w:sz="8" w:color="D9D9D9"/>
            </w:tcBorders>
            <w:shd w:val="clear" w:color="auto" w:fill="D9D9D9"/>
          </w:tcPr>
          <w:p>
            <w:pPr>
              <w:spacing w:after="0"/>
              <w:rPr>
                <w:sz w:val="22"/>
                <w:szCs w:val="22"/>
                <w:color w:val="auto"/>
              </w:rPr>
            </w:pPr>
          </w:p>
        </w:tc>
        <w:tc>
          <w:tcPr>
            <w:tcW w:w="1040" w:type="dxa"/>
            <w:vAlign w:val="bottom"/>
            <w:tcBorders>
              <w:bottom w:val="single" w:sz="8" w:color="auto"/>
              <w:right w:val="single" w:sz="8" w:color="D9D9D9"/>
            </w:tcBorders>
            <w:shd w:val="clear" w:color="auto" w:fill="D9D9D9"/>
          </w:tcPr>
          <w:p>
            <w:pPr>
              <w:spacing w:after="0"/>
              <w:rPr>
                <w:sz w:val="22"/>
                <w:szCs w:val="22"/>
                <w:color w:val="auto"/>
              </w:rPr>
            </w:pPr>
          </w:p>
        </w:tc>
        <w:tc>
          <w:tcPr>
            <w:tcW w:w="1640" w:type="dxa"/>
            <w:vAlign w:val="bottom"/>
            <w:tcBorders>
              <w:bottom w:val="single" w:sz="8" w:color="auto"/>
              <w:right w:val="single" w:sz="8" w:color="D9D9D9"/>
            </w:tcBorders>
            <w:shd w:val="clear" w:color="auto" w:fill="D9D9D9"/>
          </w:tcPr>
          <w:p>
            <w:pPr>
              <w:spacing w:after="0"/>
              <w:rPr>
                <w:sz w:val="22"/>
                <w:szCs w:val="22"/>
                <w:color w:val="auto"/>
              </w:rPr>
            </w:pPr>
          </w:p>
        </w:tc>
        <w:tc>
          <w:tcPr>
            <w:tcW w:w="1020" w:type="dxa"/>
            <w:vAlign w:val="bottom"/>
            <w:tcBorders>
              <w:bottom w:val="single" w:sz="8" w:color="auto"/>
              <w:right w:val="single" w:sz="8" w:color="D9D9D9"/>
            </w:tcBorders>
            <w:shd w:val="clear" w:color="auto" w:fill="D9D9D9"/>
          </w:tcPr>
          <w:p>
            <w:pPr>
              <w:spacing w:after="0"/>
              <w:rPr>
                <w:sz w:val="22"/>
                <w:szCs w:val="22"/>
                <w:color w:val="auto"/>
              </w:rPr>
            </w:pPr>
          </w:p>
        </w:tc>
      </w:tr>
      <w:tr>
        <w:trPr>
          <w:trHeight w:val="236"/>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Underrepresented Individual in Home Country Jurisdiction</w:t>
            </w:r>
          </w:p>
        </w:tc>
        <w:tc>
          <w:tcPr>
            <w:tcW w:w="1400" w:type="dxa"/>
            <w:vAlign w:val="bottom"/>
            <w:tcBorders>
              <w:right w:val="single" w:sz="8" w:color="auto"/>
            </w:tcBorders>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10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7"/>
        </w:trPr>
        <w:tc>
          <w:tcPr>
            <w:tcW w:w="4920" w:type="dxa"/>
            <w:vAlign w:val="bottom"/>
            <w:tcBorders>
              <w:bottom w:val="single" w:sz="8" w:color="auto"/>
            </w:tcBorders>
          </w:tcPr>
          <w:p>
            <w:pPr>
              <w:spacing w:after="0"/>
              <w:rPr>
                <w:sz w:val="22"/>
                <w:szCs w:val="22"/>
                <w:color w:val="auto"/>
              </w:rPr>
            </w:pPr>
          </w:p>
        </w:tc>
        <w:tc>
          <w:tcPr>
            <w:tcW w:w="14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r>
      <w:tr>
        <w:trPr>
          <w:trHeight w:val="237"/>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LGBTQ+</w:t>
            </w:r>
          </w:p>
        </w:tc>
        <w:tc>
          <w:tcPr>
            <w:tcW w:w="1400" w:type="dxa"/>
            <w:vAlign w:val="bottom"/>
            <w:tcBorders>
              <w:right w:val="single" w:sz="8" w:color="auto"/>
            </w:tcBorders>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10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3"/>
        </w:trPr>
        <w:tc>
          <w:tcPr>
            <w:tcW w:w="4920" w:type="dxa"/>
            <w:vAlign w:val="bottom"/>
            <w:tcBorders>
              <w:bottom w:val="single" w:sz="8" w:color="auto"/>
            </w:tcBorders>
          </w:tcPr>
          <w:p>
            <w:pPr>
              <w:spacing w:after="0"/>
              <w:rPr>
                <w:sz w:val="23"/>
                <w:szCs w:val="23"/>
                <w:color w:val="auto"/>
              </w:rPr>
            </w:pPr>
          </w:p>
        </w:tc>
        <w:tc>
          <w:tcPr>
            <w:tcW w:w="1400" w:type="dxa"/>
            <w:vAlign w:val="bottom"/>
            <w:tcBorders>
              <w:bottom w:val="single" w:sz="8" w:color="auto"/>
              <w:right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r>
      <w:tr>
        <w:trPr>
          <w:trHeight w:val="220"/>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1400" w:type="dxa"/>
            <w:vAlign w:val="bottom"/>
            <w:tcBorders>
              <w:right w:val="single" w:sz="8" w:color="auto"/>
            </w:tcBorders>
          </w:tcPr>
          <w:p>
            <w:pPr>
              <w:spacing w:after="0"/>
              <w:rPr>
                <w:sz w:val="19"/>
                <w:szCs w:val="19"/>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10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r>
      <w:tr>
        <w:trPr>
          <w:trHeight w:val="273"/>
        </w:trPr>
        <w:tc>
          <w:tcPr>
            <w:tcW w:w="4920" w:type="dxa"/>
            <w:vAlign w:val="bottom"/>
            <w:tcBorders>
              <w:bottom w:val="single" w:sz="8" w:color="auto"/>
            </w:tcBorders>
          </w:tcPr>
          <w:p>
            <w:pPr>
              <w:spacing w:after="0"/>
              <w:rPr>
                <w:sz w:val="23"/>
                <w:szCs w:val="23"/>
                <w:color w:val="auto"/>
              </w:rPr>
            </w:pPr>
          </w:p>
        </w:tc>
        <w:tc>
          <w:tcPr>
            <w:tcW w:w="1400" w:type="dxa"/>
            <w:vAlign w:val="bottom"/>
            <w:tcBorders>
              <w:bottom w:val="single" w:sz="8" w:color="auto"/>
              <w:right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spacing w:after="0"/>
              <w:rPr>
                <w:sz w:val="23"/>
                <w:szCs w:val="23"/>
                <w:color w:val="auto"/>
              </w:rPr>
            </w:pPr>
          </w:p>
        </w:tc>
        <w:tc>
          <w:tcPr>
            <w:tcW w:w="1020" w:type="dxa"/>
            <w:vAlign w:val="bottom"/>
            <w:tcBorders>
              <w:bottom w:val="single" w:sz="8" w:color="auto"/>
              <w:right w:val="single" w:sz="8" w:color="auto"/>
            </w:tcBorders>
          </w:tcPr>
          <w:p>
            <w:pPr>
              <w:spacing w:after="0"/>
              <w:rPr>
                <w:sz w:val="23"/>
                <w:szCs w:val="23"/>
                <w:color w:val="auto"/>
              </w:rPr>
            </w:pPr>
          </w:p>
        </w:tc>
      </w:tr>
      <w:tr>
        <w:trPr>
          <w:trHeight w:val="598"/>
        </w:trPr>
        <w:tc>
          <w:tcPr>
            <w:tcW w:w="4920" w:type="dxa"/>
            <w:vAlign w:val="bottom"/>
          </w:tcPr>
          <w:p>
            <w:pPr>
              <w:spacing w:after="0"/>
              <w:rPr>
                <w:sz w:val="24"/>
                <w:szCs w:val="24"/>
                <w:color w:val="auto"/>
              </w:rPr>
            </w:pPr>
          </w:p>
        </w:tc>
        <w:tc>
          <w:tcPr>
            <w:tcW w:w="14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93</w:t>
            </w: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61"/>
        </w:trPr>
        <w:tc>
          <w:tcPr>
            <w:tcW w:w="49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17" w:right="339" w:bottom="1440" w:gutter="0" w:footer="0" w:header="0"/>
        </w:sectPr>
      </w:pPr>
    </w:p>
    <w:bookmarkStart w:id="108" w:name="page109"/>
    <w:bookmarkEnd w:id="108"/>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tab/>
        <w:t>Compensation</w:t>
      </w:r>
    </w:p>
    <w:p>
      <w:pPr>
        <w:spacing w:after="0" w:line="241" w:lineRule="exact"/>
        <w:rPr>
          <w:sz w:val="20"/>
          <w:szCs w:val="20"/>
          <w:color w:val="auto"/>
        </w:rPr>
      </w:pPr>
    </w:p>
    <w:p>
      <w:pPr>
        <w:jc w:val="both"/>
        <w:ind w:firstLine="486"/>
        <w:spacing w:after="0" w:line="270" w:lineRule="auto"/>
        <w:rPr>
          <w:sz w:val="20"/>
          <w:szCs w:val="20"/>
          <w:color w:val="auto"/>
        </w:rPr>
      </w:pPr>
      <w:r>
        <w:rPr>
          <w:rFonts w:ascii="Times New Roman" w:cs="Times New Roman" w:eastAsia="Times New Roman" w:hAnsi="Times New Roman"/>
          <w:sz w:val="18"/>
          <w:szCs w:val="18"/>
          <w:i w:val="1"/>
          <w:iCs w:val="1"/>
          <w:color w:val="auto"/>
        </w:rPr>
        <w:t xml:space="preserve">Directors. </w:t>
      </w:r>
      <w:r>
        <w:rPr>
          <w:rFonts w:ascii="Times New Roman" w:cs="Times New Roman" w:eastAsia="Times New Roman" w:hAnsi="Times New Roman"/>
          <w:sz w:val="18"/>
          <w:szCs w:val="18"/>
          <w:color w:val="auto"/>
        </w:rPr>
        <w:t>Under the Companies Law, the compensation of our directors requires the approval of our compensation committee, the subsequent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approval of the board of directors and, unless exempted under regulations promulgated under the Companies Law, the approval of the shareholders at a general meeting. If the compensation of our directors is inconsistent with our stated compensation policy, then, those provisions that must be included in the compensation policy according to the Companies Law must have been considered by the compensation committee and board of directors, and shareholder approval by a simple majority will also be required, provided that:</w:t>
      </w:r>
    </w:p>
    <w:p>
      <w:pPr>
        <w:spacing w:after="0" w:line="188" w:lineRule="exact"/>
        <w:rPr>
          <w:sz w:val="20"/>
          <w:szCs w:val="20"/>
          <w:color w:val="auto"/>
        </w:rPr>
      </w:pPr>
    </w:p>
    <w:p>
      <w:pPr>
        <w:ind w:left="340" w:hanging="332"/>
        <w:spacing w:after="0" w:line="268"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 majority of the shares held by all shareholders who are not controlling shareholders and do not have a personal interest in such matter, present and voting at such meeting, are voted in favor of the compensation package, excluding abstentions; or</w:t>
      </w:r>
    </w:p>
    <w:p>
      <w:pPr>
        <w:spacing w:after="0" w:line="1" w:lineRule="exact"/>
        <w:rPr>
          <w:rFonts w:ascii="Times New Roman" w:cs="Times New Roman" w:eastAsia="Times New Roman" w:hAnsi="Times New Roman"/>
          <w:sz w:val="18"/>
          <w:szCs w:val="18"/>
          <w:color w:val="auto"/>
        </w:rPr>
      </w:pPr>
    </w:p>
    <w:p>
      <w:pPr>
        <w:ind w:left="340" w:right="20" w:hanging="332"/>
        <w:spacing w:after="0" w:line="276"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of non-controlling shareholders and shareholders who do not have a personal interest in such matter voting against the compensation package does not exceed two percent (2%) of the aggregate voting rights in the Company.</w:t>
      </w:r>
    </w:p>
    <w:p>
      <w:pPr>
        <w:spacing w:after="0" w:line="179" w:lineRule="exact"/>
        <w:rPr>
          <w:sz w:val="20"/>
          <w:szCs w:val="20"/>
          <w:color w:val="auto"/>
        </w:rPr>
      </w:pPr>
    </w:p>
    <w:p>
      <w:pPr>
        <w:ind w:firstLine="486"/>
        <w:spacing w:after="0" w:line="270" w:lineRule="auto"/>
        <w:rPr>
          <w:sz w:val="20"/>
          <w:szCs w:val="20"/>
          <w:color w:val="auto"/>
        </w:rPr>
      </w:pPr>
      <w:r>
        <w:rPr>
          <w:rFonts w:ascii="Times New Roman" w:cs="Times New Roman" w:eastAsia="Times New Roman" w:hAnsi="Times New Roman"/>
          <w:sz w:val="18"/>
          <w:szCs w:val="18"/>
          <w:i w:val="1"/>
          <w:iCs w:val="1"/>
          <w:color w:val="auto"/>
        </w:rPr>
        <w:t>Executive Officers other than the Chief Executive Officer</w:t>
      </w:r>
      <w:r>
        <w:rPr>
          <w:rFonts w:ascii="Times New Roman" w:cs="Times New Roman" w:eastAsia="Times New Roman" w:hAnsi="Times New Roman"/>
          <w:sz w:val="18"/>
          <w:szCs w:val="18"/>
          <w:color w:val="auto"/>
        </w:rPr>
        <w:t>. The Companies Law requires the approval of the compensation of a public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officers (other than the chief executive officer) in the following order: (1) the compensation committee, (2) the company’s board of directors, and</w:t>
      </w:r>
    </w:p>
    <w:p>
      <w:pPr>
        <w:jc w:val="both"/>
        <w:ind w:firstLine="8"/>
        <w:spacing w:after="0" w:line="264" w:lineRule="auto"/>
        <w:tabs>
          <w:tab w:leader="none" w:pos="27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compensation arrangement is inconsistent with the company’s stated compensation policy, the company’s shareholders (by a special majority vote as discussed above with respect to the approval of director compensation). However, if the shareholders of the company do not approve a compensation arrangement with such executive officer that is inconsistent with the company’s stated compensation policy, the compensation committee and board of directors may override the shareholders’ decision if each of the compensation committee and the board of directors provide detailed reasons for their decision.</w:t>
      </w:r>
    </w:p>
    <w:p>
      <w:pPr>
        <w:spacing w:after="0" w:line="19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An amendment to an existing arrangement with an office holder (who is not a director) requires only the approval of the compensation committee, if the compensation committee determines that the amendment is not material in comparison to the existing arrangement. However, under the Companies Law, an amendment to an existing arrangement with an office holder (who is not a director) who is subordinate to the chief executive officer will not require the approval of the compensation committee, if (1) the amendment is approved by the chief executive officer, (2) the company’s compensation policy provides that a non-material amendment to the terms of service of an office holder (other than the chief executive officer) may be approved by the chief executive officer and (3) the engagement terms are consistent with the company’s compensation policy.</w:t>
      </w:r>
    </w:p>
    <w:p>
      <w:pPr>
        <w:spacing w:after="0" w:line="20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Chief Executive Officer</w:t>
      </w:r>
      <w:r>
        <w:rPr>
          <w:rFonts w:ascii="Times New Roman" w:cs="Times New Roman" w:eastAsia="Times New Roman" w:hAnsi="Times New Roman"/>
          <w:sz w:val="18"/>
          <w:szCs w:val="18"/>
          <w:color w:val="auto"/>
        </w:rPr>
        <w:t>. Under the Companies Law, the compensation of a public company’s chief executive officer is required to be approved by:</w:t>
      </w:r>
    </w:p>
    <w:p>
      <w:pPr>
        <w:spacing w:after="0" w:line="29" w:lineRule="exact"/>
        <w:rPr>
          <w:sz w:val="20"/>
          <w:szCs w:val="20"/>
          <w:color w:val="auto"/>
        </w:rPr>
      </w:pPr>
    </w:p>
    <w:p>
      <w:pPr>
        <w:jc w:val="both"/>
        <w:ind w:firstLine="8"/>
        <w:spacing w:after="0" w:line="262" w:lineRule="auto"/>
        <w:tabs>
          <w:tab w:leader="none" w:pos="28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compensation committee; (2) the company’s board of directors, and (3) the company’s shareholders (by a special majority vote as discussed above with respect to the approval of director compensation). However, if the shareholders of the company do not approve the compensation arrangement with the chief executive officer, the compensation committee and board of directors may override the shareholders’ decision if each of the compensation committee and the board of directors provide detailed reasons for their decision. The approval of each of the compensation committee and the board of directors should be in accordance with the company’s stated compensation policy; however, in special circumstances, they may approve compensation terms of a chief executive officer that are inconsistent with such policy provided that they have considered those provisions that must be included in the compensation policy according to the Companies Law and that shareholder approval is obtained (by a special majority vote as discussed above with respect to the approval of director compensation). In addition, the compensation committee may waive the shareholder approval requirement with regards to the approval of the engagement terms of a candidate for the chief executive officer position, if they determine that the compensation arrangement is consistent with the company’s compensation policy and that the chief executive officer candidate did not have a prior business relationship with the company or a controlling shareholder of the company and that subjecting the approval of the engagement to a shareholder vote would impede the company’s ability to employ the chief executive officer candidate.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color w:val="auto"/>
        </w:rPr>
        <w:t>Compensation of Directors and Executive Officers</w:t>
      </w:r>
    </w:p>
    <w:p>
      <w:pPr>
        <w:spacing w:after="0" w:line="243"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aggregate compensation paid by us and our subsidiaries to our directors and executive officers, including share-based compensation expenses recorded in our financial statements, for the year ended December 31, 2022, was approximately $9.4 million. This amount includes deferred or contingent compensation accrued for such year (and excludes deferred or contingent amounts accrued for during the year ended December 31, 2021 and paid during the year ended December 31, 2022). This amount includes approximately $0.1 million set aside or accrued to provide pension, severance, retirement or similar benefits or expenses, but does not include business travel, relocation, professional and business association dues and expenses reimbursed to our directors and executive officers.</w:t>
      </w:r>
    </w:p>
    <w:p>
      <w:pPr>
        <w:spacing w:after="0" w:line="203"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our directors and officers were granted options to purchase an aggregate of 500,947 ordinary shares, at a weighted average exercise price of $13.2 per share, and 356,098 restricted share units under our 2021 Share Incentive Plan.</w:t>
      </w:r>
    </w:p>
    <w:p>
      <w:pPr>
        <w:spacing w:after="0" w:line="189" w:lineRule="exact"/>
        <w:rPr>
          <w:sz w:val="20"/>
          <w:szCs w:val="20"/>
          <w:color w:val="auto"/>
        </w:rPr>
      </w:pPr>
    </w:p>
    <w:p>
      <w:pPr>
        <w:jc w:val="both"/>
        <w:ind w:firstLine="441"/>
        <w:spacing w:after="0" w:line="274" w:lineRule="auto"/>
        <w:rPr>
          <w:sz w:val="20"/>
          <w:szCs w:val="20"/>
          <w:color w:val="auto"/>
        </w:rPr>
      </w:pPr>
      <w:r>
        <w:rPr>
          <w:rFonts w:ascii="Times New Roman" w:cs="Times New Roman" w:eastAsia="Times New Roman" w:hAnsi="Times New Roman"/>
          <w:sz w:val="18"/>
          <w:szCs w:val="18"/>
          <w:color w:val="auto"/>
        </w:rPr>
        <w:t>The following is a summary of the salary expenses and social benefit costs of our five most highly compensated executive officers in 2022, or the “Covered Executives.” All amounts reported reflect the cost to the Company as recognized in our financial statements for the year ended December 31, 2022.</w:t>
      </w:r>
    </w:p>
    <w:p>
      <w:pPr>
        <w:spacing w:after="0" w:line="182" w:lineRule="exact"/>
        <w:rPr>
          <w:sz w:val="20"/>
          <w:szCs w:val="20"/>
          <w:color w:val="auto"/>
        </w:rPr>
      </w:pPr>
    </w:p>
    <w:p>
      <w:pPr>
        <w:ind w:left="340" w:right="20" w:hanging="332"/>
        <w:spacing w:after="0" w:line="268"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Dan Adika, Chief Executive Officer. Compensation expenses recorded in 2022 of $0.4 million in salary expenses and $0.1 million in social benefits costs.</w:t>
      </w:r>
    </w:p>
    <w:p>
      <w:pPr>
        <w:spacing w:after="0" w:line="1" w:lineRule="exact"/>
        <w:rPr>
          <w:rFonts w:ascii="Times New Roman" w:cs="Times New Roman" w:eastAsia="Times New Roman" w:hAnsi="Times New Roman"/>
          <w:sz w:val="18"/>
          <w:szCs w:val="18"/>
          <w:color w:val="auto"/>
        </w:rPr>
      </w:pPr>
    </w:p>
    <w:p>
      <w:pPr>
        <w:ind w:left="340" w:hanging="332"/>
        <w:spacing w:after="0" w:line="258"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Rafael Sweary, Director and former President. Compensation expenses recorded in 2022 of $0.4 million in salary expenses and $0.1 million in social benefits costs.</w:t>
      </w:r>
    </w:p>
    <w:p>
      <w:pPr>
        <w:ind w:left="340" w:hanging="332"/>
        <w:spacing w:after="0" w:line="258"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Hagit Ynon, Chief Financial Officer. Compensation expenses recorded in 2022 of $0.4 million in salary expenses and $0.1 million in social benefits costs.</w:t>
      </w:r>
    </w:p>
    <w:p>
      <w:pPr>
        <w:ind w:left="340" w:hanging="332"/>
        <w:spacing w:after="0" w:line="258"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Chelsea Pyrzenski, Chief People Officer. Compensation expenses recorded in 2022 of $0.4 million in salary expenses and $0.1 million in social benefits costs.</w:t>
      </w:r>
    </w:p>
    <w:p>
      <w:pPr>
        <w:ind w:left="340" w:hanging="332"/>
        <w:spacing w:after="0" w:line="276"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Wayne McCulloch, Chief Customer Officer. Compensation expenses recorded in 2022 of $0.4 million in salary expenses and $0.1 million in social benefits costs.</w:t>
      </w:r>
    </w:p>
    <w:p>
      <w:pPr>
        <w:spacing w:after="0" w:line="181"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salary expenses summarized above include the gross salary paid to the Covered Executives, and the benefit costs include the social benefits paid by us on behalf of the Covered Executives, convalescence pay, contributions made by the company to an insurance policy, pension fund or 401(K) fund.</w:t>
      </w:r>
    </w:p>
    <w:p>
      <w:pPr>
        <w:spacing w:after="0" w:line="189"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In accordance with our compensation policy, we also paid cash bonuses to our Covered Executives upon compliance with predetermined performance parameters as set by the compensation committee and the board of directors. The 2022 cash bonus expenses for Mr. Dan Adika, Mr. Rafael Sweary, Ms. Hagit Ynon, Ms. Chelsea Pyrzenski and Mr. Wayne McCulloch, as provided for in our 2022 financial statements, were $0.2 million, $0.2 million , $0.1 million, $0.2 million and $0.1 million, respectively.</w:t>
      </w:r>
    </w:p>
    <w:p>
      <w:pPr>
        <w:spacing w:after="0" w:line="186" w:lineRule="exact"/>
        <w:rPr>
          <w:sz w:val="20"/>
          <w:szCs w:val="20"/>
          <w:color w:val="auto"/>
        </w:rPr>
      </w:pPr>
    </w:p>
    <w:p>
      <w:pPr>
        <w:jc w:val="both"/>
        <w:ind w:firstLine="441"/>
        <w:spacing w:after="0" w:line="274" w:lineRule="auto"/>
        <w:rPr>
          <w:sz w:val="20"/>
          <w:szCs w:val="20"/>
          <w:color w:val="auto"/>
        </w:rPr>
      </w:pPr>
      <w:r>
        <w:rPr>
          <w:rFonts w:ascii="Times New Roman" w:cs="Times New Roman" w:eastAsia="Times New Roman" w:hAnsi="Times New Roman"/>
          <w:sz w:val="18"/>
          <w:szCs w:val="18"/>
          <w:color w:val="auto"/>
        </w:rPr>
        <w:t>We recorded equity-based compensation expenses in our financial statements for the year ended December 31, 2022 for Mr. Dan Adika, Mr. Rafael Sweary, Ms. Hagit Ynon, Ms. Chelsea Pyrzenski and Mr. Wayne McCulloch of $4.7 million, $4.7 million, $0.8 million, $0.9 million and $1.6 million, respectively.</w:t>
      </w:r>
    </w:p>
    <w:p>
      <w:pPr>
        <w:spacing w:after="0" w:line="196" w:lineRule="exact"/>
        <w:rPr>
          <w:sz w:val="20"/>
          <w:szCs w:val="20"/>
          <w:color w:val="auto"/>
        </w:rPr>
      </w:pPr>
    </w:p>
    <w:p>
      <w:pPr>
        <w:jc w:val="both"/>
        <w:ind w:firstLine="441"/>
        <w:spacing w:after="0" w:line="274" w:lineRule="auto"/>
        <w:rPr>
          <w:sz w:val="20"/>
          <w:szCs w:val="20"/>
          <w:color w:val="auto"/>
        </w:rPr>
      </w:pPr>
      <w:r>
        <w:rPr>
          <w:rFonts w:ascii="Times New Roman" w:cs="Times New Roman" w:eastAsia="Times New Roman" w:hAnsi="Times New Roman"/>
          <w:sz w:val="18"/>
          <w:szCs w:val="18"/>
          <w:color w:val="auto"/>
        </w:rPr>
        <w:t>All equity-based compensation grants to our Covered Executives were made in accordance with the parameters of our compensation policy and were approved by our compensation committee and board of directors. Assumptions and key variables used in the calculation of such amounts are described in Note 10 to our audited consolidated financial statements included in Item 18 of this Annual Report.</w:t>
      </w:r>
    </w:p>
    <w:p>
      <w:pPr>
        <w:spacing w:after="0" w:line="182"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Additionally, we annually pay to each of our non-employee directors a cash retainer of up to $30,000 (or $50,000 for the chairperson) with an additional annual payment for service on board committees as follows: $10,000 (or $20,000 for the chairperson) per membership of the audit committee, or $7,500 (or $15,000 for the chairperson) per membership of the compensation committee and $4,000 (or $8,000 for the chairperson) per membership of the nominating, governance and sustainability committee or any other board committee. In addition, upon election, non-employee directors, will be granted equity awards under our incentive plan at a value of $400,000, which will vest on a monthly basis over a period of three years. In addition, each non-employee director will be granted equity awards under our incentive plan (provided the director is still in office) at a value of $180,000, which will vest on the earlier of the first anniversary of the date on which such options and restricted share units were granted or the date upon which our next annual general meeting of the shareholders is convened, subject to such director’s continued service through such date. Any unvested equity grants will accelerate and fully vest upon the occurrence of a change in control transaction.</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color w:val="auto"/>
        </w:rPr>
        <w:t>Employment and consulting agreements with executive officers and directors</w:t>
      </w:r>
    </w:p>
    <w:p>
      <w:pPr>
        <w:spacing w:after="0" w:line="241" w:lineRule="exact"/>
        <w:rPr>
          <w:sz w:val="20"/>
          <w:szCs w:val="20"/>
          <w:color w:val="auto"/>
        </w:rPr>
      </w:pPr>
    </w:p>
    <w:p>
      <w:pPr>
        <w:jc w:val="both"/>
        <w:ind w:firstLine="441"/>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Employment Agreements. </w:t>
      </w:r>
      <w:r>
        <w:rPr>
          <w:rFonts w:ascii="Times New Roman" w:cs="Times New Roman" w:eastAsia="Times New Roman" w:hAnsi="Times New Roman"/>
          <w:sz w:val="18"/>
          <w:szCs w:val="18"/>
          <w:color w:val="auto"/>
        </w:rPr>
        <w:t>We have entered into employment agreements with each of our executive officers who works for us as an employee.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each contain provisions regarding noncompetition, confidentiality of information and assignment of inventions. The enforceability of covenants not to compete is subject to limitations. These agreements also provide for notice periods of varying duration for termination of the agreement by us or by the relevant executive officer, during which time the executive officer will continue to receive base salary and benefits.</w:t>
      </w:r>
    </w:p>
    <w:p>
      <w:pPr>
        <w:spacing w:after="0" w:line="184"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The provisions of certain of our executive officers’ employment agreements contain termination or change of control provisions. With respect to certain executive officers, either we or the executive officer may terminate his or her employment by giving 90 calendar days’ advance written notice to the other party. We may also terminate an executive officer’s employment agreement for good reason (as defined the applicable employment agreement) or in the event of a merger or acquisition transaction.</w:t>
      </w:r>
    </w:p>
    <w:p>
      <w:pPr>
        <w:spacing w:after="0" w:line="197" w:lineRule="exact"/>
        <w:rPr>
          <w:sz w:val="20"/>
          <w:szCs w:val="20"/>
          <w:color w:val="auto"/>
        </w:rPr>
      </w:pPr>
    </w:p>
    <w:p>
      <w:pPr>
        <w:jc w:val="both"/>
        <w:ind w:right="20" w:firstLine="441"/>
        <w:spacing w:after="0" w:line="275" w:lineRule="auto"/>
        <w:rPr>
          <w:sz w:val="20"/>
          <w:szCs w:val="20"/>
          <w:color w:val="auto"/>
        </w:rPr>
      </w:pPr>
      <w:r>
        <w:rPr>
          <w:rFonts w:ascii="Times New Roman" w:cs="Times New Roman" w:eastAsia="Times New Roman" w:hAnsi="Times New Roman"/>
          <w:sz w:val="18"/>
          <w:szCs w:val="18"/>
          <w:i w:val="1"/>
          <w:iCs w:val="1"/>
          <w:color w:val="auto"/>
        </w:rPr>
        <w:t xml:space="preserve">Equity Awards. </w:t>
      </w:r>
      <w:r>
        <w:rPr>
          <w:rFonts w:ascii="Times New Roman" w:cs="Times New Roman" w:eastAsia="Times New Roman" w:hAnsi="Times New Roman"/>
          <w:sz w:val="18"/>
          <w:szCs w:val="18"/>
          <w:color w:val="auto"/>
        </w:rPr>
        <w:t>Since our inception, we have granted options to purchase our ordinary shares to our executive officers and certain of our directors.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August 2021, we began granting restricted share units, or RSUs, to our executive officers. Such equity agreements may contain acceleration provisions upon certain merger, acquisition or change of control transactions.</w:t>
      </w:r>
    </w:p>
    <w:p>
      <w:pPr>
        <w:spacing w:after="0" w:line="179" w:lineRule="exact"/>
        <w:rPr>
          <w:sz w:val="20"/>
          <w:szCs w:val="20"/>
          <w:color w:val="auto"/>
        </w:rPr>
      </w:pPr>
    </w:p>
    <w:p>
      <w:pPr>
        <w:jc w:val="both"/>
        <w:ind w:firstLine="441"/>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Exculpation, Indemnification and Insurance. </w:t>
      </w:r>
      <w:r>
        <w:rPr>
          <w:rFonts w:ascii="Times New Roman" w:cs="Times New Roman" w:eastAsia="Times New Roman" w:hAnsi="Times New Roman"/>
          <w:sz w:val="18"/>
          <w:szCs w:val="18"/>
          <w:color w:val="auto"/>
        </w:rPr>
        <w:t>Our Articles of Association permit us to exculpate, indemnify and insure our office holders to the fullest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extent permitted by the Companies Law. We have entered into agreements with certain office holders, exculpating them from a breach of their duty of care to us to the fullest extent permitted by law and undertaking to indemnify them to the fullest extent permitted by law, subject to certain exceptions (including with respect to our IPO) to the extent that these liabilities are not covered by insurance.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2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Restated 2012 Plan</w:t>
      </w:r>
    </w:p>
    <w:p>
      <w:pPr>
        <w:spacing w:after="0" w:line="2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Restated 2012 Plan was adopted by our board of directors on June 29, 2012, amended as of December 6, 2012, amended and restated on June 4,</w:t>
      </w:r>
    </w:p>
    <w:p>
      <w:pPr>
        <w:spacing w:after="0" w:line="2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2020 and further amended on May 11, 2021. The Restated 2012 Plan provides for the grant of options to our employees, directors, office holders, consultants and other eligible service providers. The Restated 2012 Plan terminated upon the effective date of our initial public offering, or the IPO, and we will not grant any additional awards under the Restated 2012 Plan. However, the Restated 2012 Plan will continue to govern the terms and conditions of the outstanding awards previously granted under the Restated 2012 Plan.</w:t>
      </w:r>
    </w:p>
    <w:p>
      <w:pPr>
        <w:spacing w:after="0" w:line="186" w:lineRule="exact"/>
        <w:rPr>
          <w:sz w:val="20"/>
          <w:szCs w:val="20"/>
          <w:color w:val="auto"/>
        </w:rPr>
      </w:pPr>
    </w:p>
    <w:p>
      <w:pPr>
        <w:jc w:val="both"/>
        <w:ind w:firstLine="441"/>
        <w:spacing w:after="0" w:line="300" w:lineRule="auto"/>
        <w:rPr>
          <w:sz w:val="20"/>
          <w:szCs w:val="20"/>
          <w:color w:val="auto"/>
        </w:rPr>
      </w:pPr>
      <w:r>
        <w:rPr>
          <w:rFonts w:ascii="Times New Roman" w:cs="Times New Roman" w:eastAsia="Times New Roman" w:hAnsi="Times New Roman"/>
          <w:sz w:val="18"/>
          <w:szCs w:val="18"/>
          <w:i w:val="1"/>
          <w:iCs w:val="1"/>
          <w:color w:val="auto"/>
        </w:rPr>
        <w:t>Authorized Shares</w:t>
      </w:r>
      <w:r>
        <w:rPr>
          <w:rFonts w:ascii="Times New Roman" w:cs="Times New Roman" w:eastAsia="Times New Roman" w:hAnsi="Times New Roman"/>
          <w:sz w:val="18"/>
          <w:szCs w:val="18"/>
          <w:color w:val="auto"/>
        </w:rPr>
        <w:t>. Ordinary shares subject to options granted under the Restated 2012 Plan that expire or become unexercisable without having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exercised in full will become available again for future grant under the 2021 Plan.</w:t>
      </w:r>
    </w:p>
    <w:p>
      <w:pPr>
        <w:spacing w:after="0" w:line="158"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i w:val="1"/>
          <w:iCs w:val="1"/>
          <w:color w:val="auto"/>
        </w:rPr>
        <w:t>Administration</w:t>
      </w:r>
      <w:r>
        <w:rPr>
          <w:rFonts w:ascii="Times New Roman" w:cs="Times New Roman" w:eastAsia="Times New Roman" w:hAnsi="Times New Roman"/>
          <w:sz w:val="18"/>
          <w:szCs w:val="18"/>
          <w:color w:val="auto"/>
        </w:rPr>
        <w:t>. Our board of directors, or a duly authorized committee of our board of directors, or the administrator, administers the Restated 2012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Under the Restated 2012 Plan, the administrator has the authority, subject to applicable law, to interpret the terms of the Restated 2012 Plan and any notices of grant or options granted thereunder, appoint a trustee, designate recipients of option grants, designate the types of options and elect the Israel tax track with respect to the options, determine and amend the terms of awards, including the exercise price of an option award, the fair market value of an ordinary share, the time and vesting schedule applicable to an option grant or the method of payment for an award, accelerate or amend the vesting schedule applicable to an option grant, prescribe the forms of agreement for use under the Restated 2012 Plan and take all other actions and make all other determinations necessary for the administration of Restated 2012 Plan. If the administrator is a duly authorized committee of our board of directors, our board of directors will determine the grant of options to be made, if any, to members of such committee.</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administrator also has the authority to amend and rescind rules and regulations relating to the Restated 2012 Plan or terminate the Restated 2012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w:t>
      </w:r>
    </w:p>
    <w:p>
      <w:pPr>
        <w:spacing w:after="0" w:line="232" w:lineRule="exact"/>
        <w:rPr>
          <w:sz w:val="20"/>
          <w:szCs w:val="20"/>
          <w:color w:val="auto"/>
        </w:rPr>
      </w:pPr>
    </w:p>
    <w:p>
      <w:pPr>
        <w:jc w:val="both"/>
        <w:ind w:firstLine="441"/>
        <w:spacing w:after="0" w:line="275" w:lineRule="auto"/>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The Restated 2012 Plan provides for granting options in compliance with Section 102 of the Israeli Income Tax Ordinance (New Version),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5721-1961 (the “Ordinance”), or, for options granted to consultants, advisors, service providers or controlling shareholders of the company, under Section 3(i) of the Ordinance.</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11" w:name="page112"/>
    <w:bookmarkEnd w:id="111"/>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Section 102 of the Ordinance allows employees, directors and officers who are not controlling shareholders and are considered Israeli residents to receive favorable tax treatment for compensation in the form of shares or options. Our non-employee service providers and controlling shareholders may only be granted options under section 3(i) of the Ordinance, which does not provide for similar tax benefits. Section 102 includes two alternatives for tax treatment involving the issuance of options or shares to a trustee for the benefit of the grantees and also includes an additional alternative for the issuance of options or shares directly to the grantee. Section 102(b)(2) of the Ordinance, the most favorable tax treatment for the grantee, permits the issuance to a trustee under the “capital gain track.”</w:t>
      </w:r>
    </w:p>
    <w:p>
      <w:pPr>
        <w:spacing w:after="0" w:line="188" w:lineRule="exact"/>
        <w:rPr>
          <w:sz w:val="20"/>
          <w:szCs w:val="20"/>
          <w:color w:val="auto"/>
        </w:rPr>
      </w:pPr>
    </w:p>
    <w:p>
      <w:pPr>
        <w:jc w:val="both"/>
        <w:ind w:firstLine="441"/>
        <w:spacing w:after="0" w:line="283" w:lineRule="auto"/>
        <w:rPr>
          <w:sz w:val="20"/>
          <w:szCs w:val="20"/>
          <w:color w:val="auto"/>
        </w:rPr>
      </w:pPr>
      <w:r>
        <w:rPr>
          <w:rFonts w:ascii="Times New Roman" w:cs="Times New Roman" w:eastAsia="Times New Roman" w:hAnsi="Times New Roman"/>
          <w:sz w:val="18"/>
          <w:szCs w:val="18"/>
          <w:i w:val="1"/>
          <w:iCs w:val="1"/>
          <w:color w:val="auto"/>
        </w:rPr>
        <w:t>Grant</w:t>
      </w:r>
      <w:r>
        <w:rPr>
          <w:rFonts w:ascii="Times New Roman" w:cs="Times New Roman" w:eastAsia="Times New Roman" w:hAnsi="Times New Roman"/>
          <w:sz w:val="18"/>
          <w:szCs w:val="18"/>
          <w:color w:val="auto"/>
        </w:rPr>
        <w:t>. All options granted pursuant to the Restated 2012 Plan are evidenced by a notice of grant, in a form approved by the administrator in its sole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discretion. The notice of grant will set forth the terms and conditions of the option grant. Each option will expire ten years from the date of the grant thereof, unless such shorter term of expiration is otherwise designated by the administrator.</w:t>
      </w:r>
    </w:p>
    <w:p>
      <w:pPr>
        <w:spacing w:after="0" w:line="174" w:lineRule="exact"/>
        <w:rPr>
          <w:sz w:val="20"/>
          <w:szCs w:val="20"/>
          <w:color w:val="auto"/>
        </w:rPr>
      </w:pPr>
    </w:p>
    <w:p>
      <w:pPr>
        <w:jc w:val="both"/>
        <w:ind w:firstLine="441"/>
        <w:spacing w:after="0" w:line="270" w:lineRule="auto"/>
        <w:rPr>
          <w:sz w:val="20"/>
          <w:szCs w:val="20"/>
          <w:color w:val="auto"/>
        </w:rPr>
      </w:pPr>
      <w:r>
        <w:rPr>
          <w:rFonts w:ascii="Times New Roman" w:cs="Times New Roman" w:eastAsia="Times New Roman" w:hAnsi="Times New Roman"/>
          <w:sz w:val="18"/>
          <w:szCs w:val="18"/>
          <w:color w:val="auto"/>
        </w:rPr>
        <w:t>Unless otherwise determined by the administrator and stated in the option agreement, and subject to the conditions of the Restated 2012 Plan, options vest and become exercisable under the following schedule: twenty-five percent (25%) of the shares covered by the option, on the first anniversary of the vesting commencement date determined by the administrator, and 1/36 of the shares covered by the award at the end of each subsequent month thereafter over the course of the following three (3) years; provided that the grantee remains continuously as an employee or provides services to the Company throughout such vesting dates.</w:t>
      </w:r>
    </w:p>
    <w:p>
      <w:pPr>
        <w:spacing w:after="0" w:line="184" w:lineRule="exact"/>
        <w:rPr>
          <w:sz w:val="20"/>
          <w:szCs w:val="20"/>
          <w:color w:val="auto"/>
        </w:rPr>
      </w:pPr>
    </w:p>
    <w:p>
      <w:pPr>
        <w:jc w:val="both"/>
        <w:ind w:firstLine="441"/>
        <w:spacing w:after="0" w:line="272" w:lineRule="auto"/>
        <w:rPr>
          <w:sz w:val="20"/>
          <w:szCs w:val="20"/>
          <w:color w:val="auto"/>
        </w:rPr>
      </w:pPr>
      <w:r>
        <w:rPr>
          <w:rFonts w:ascii="Times New Roman" w:cs="Times New Roman" w:eastAsia="Times New Roman" w:hAnsi="Times New Roman"/>
          <w:sz w:val="18"/>
          <w:szCs w:val="18"/>
          <w:i w:val="1"/>
          <w:iCs w:val="1"/>
          <w:color w:val="auto"/>
        </w:rPr>
        <w:t>Exercise</w:t>
      </w:r>
      <w:r>
        <w:rPr>
          <w:rFonts w:ascii="Times New Roman" w:cs="Times New Roman" w:eastAsia="Times New Roman" w:hAnsi="Times New Roman"/>
          <w:sz w:val="18"/>
          <w:szCs w:val="18"/>
          <w:color w:val="auto"/>
        </w:rPr>
        <w:t>. An option under the Restated 2012 Plan may be exercised by providing the company with a written or electronic notice of exercise and full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of the exercise price for such shares with respect to which the option is exercised, in such form and method as may be determined by the administrator and permitted by applicable law, and any other deliverable as may be stipulated in the option agreement. An option may not be exercised for a fraction of a share.</w:t>
      </w:r>
    </w:p>
    <w:p>
      <w:pPr>
        <w:spacing w:after="0" w:line="182" w:lineRule="exact"/>
        <w:rPr>
          <w:sz w:val="20"/>
          <w:szCs w:val="20"/>
          <w:color w:val="auto"/>
        </w:rPr>
      </w:pPr>
    </w:p>
    <w:p>
      <w:pPr>
        <w:jc w:val="both"/>
        <w:ind w:firstLine="441"/>
        <w:spacing w:after="0" w:line="300" w:lineRule="auto"/>
        <w:rPr>
          <w:sz w:val="20"/>
          <w:szCs w:val="20"/>
          <w:color w:val="auto"/>
        </w:rPr>
      </w:pPr>
      <w:r>
        <w:rPr>
          <w:rFonts w:ascii="Times New Roman" w:cs="Times New Roman" w:eastAsia="Times New Roman" w:hAnsi="Times New Roman"/>
          <w:sz w:val="18"/>
          <w:szCs w:val="18"/>
          <w:i w:val="1"/>
          <w:iCs w:val="1"/>
          <w:color w:val="auto"/>
        </w:rPr>
        <w:t>Transferability</w:t>
      </w:r>
      <w:r>
        <w:rPr>
          <w:rFonts w:ascii="Times New Roman" w:cs="Times New Roman" w:eastAsia="Times New Roman" w:hAnsi="Times New Roman"/>
          <w:sz w:val="18"/>
          <w:szCs w:val="18"/>
          <w:color w:val="auto"/>
        </w:rPr>
        <w:t>. Other than by will, the laws of descent and distribution or as otherwise provided under the Restated 2012 Plan, neither the options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nor any right in connection with such options are assignable or transferable.</w:t>
      </w:r>
    </w:p>
    <w:p>
      <w:pPr>
        <w:spacing w:after="0" w:line="158" w:lineRule="exact"/>
        <w:rPr>
          <w:sz w:val="20"/>
          <w:szCs w:val="20"/>
          <w:color w:val="auto"/>
        </w:rPr>
      </w:pPr>
    </w:p>
    <w:p>
      <w:pPr>
        <w:jc w:val="both"/>
        <w:ind w:firstLine="441"/>
        <w:spacing w:after="0" w:line="270" w:lineRule="auto"/>
        <w:rPr>
          <w:sz w:val="20"/>
          <w:szCs w:val="20"/>
          <w:color w:val="auto"/>
        </w:rPr>
      </w:pPr>
      <w:r>
        <w:rPr>
          <w:rFonts w:ascii="Times New Roman" w:cs="Times New Roman" w:eastAsia="Times New Roman" w:hAnsi="Times New Roman"/>
          <w:sz w:val="18"/>
          <w:szCs w:val="18"/>
          <w:i w:val="1"/>
          <w:iCs w:val="1"/>
          <w:color w:val="auto"/>
        </w:rPr>
        <w:t>Termination of Employment</w:t>
      </w:r>
      <w:r>
        <w:rPr>
          <w:rFonts w:ascii="Times New Roman" w:cs="Times New Roman" w:eastAsia="Times New Roman" w:hAnsi="Times New Roman"/>
          <w:sz w:val="18"/>
          <w:szCs w:val="18"/>
          <w:color w:val="auto"/>
        </w:rPr>
        <w:t>. In the event of termination of an optionee’s employment or service with the company or any of its affiliates for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 other than “cause” (as defined in the Restated 2012 Plan) or due to such optionee’s death or disability, all vested and exercisable options held by such optionee as of the date of termination may be exercised within three months after such date of termination, unless otherwise provided by the administrator. After such three month period, all unexercised options will terminate and the shares covered by such options shall again be available for issuance under the 2021 Plan.</w:t>
      </w:r>
    </w:p>
    <w:p>
      <w:pPr>
        <w:spacing w:after="0" w:line="188"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In the event of termination of an optionee’s employment or service with the company or any of its affiliates due to such optionee’s death or disability, all vested and exercisable options held by such optionee as of the date of termination may be exercised by the optionee, the optionee’s legal guardian, the optionee’s estate, or by a person who acquired the right to exercise the option by bequest or inheritance, as applicable, within twelve months after such date of termination, unless otherwise provided by the administrator. Any options which are unvested as of the date of death or disability or which are vested but not then exercised within the twelve month period following such date, will terminate and the shares covered by such options shall again be available for issuance under the 2021 Plan.</w:t>
      </w:r>
    </w:p>
    <w:p>
      <w:pPr>
        <w:spacing w:after="0" w:line="203" w:lineRule="exact"/>
        <w:rPr>
          <w:sz w:val="20"/>
          <w:szCs w:val="20"/>
          <w:color w:val="auto"/>
        </w:rPr>
      </w:pPr>
    </w:p>
    <w:p>
      <w:pPr>
        <w:jc w:val="both"/>
        <w:ind w:firstLine="441"/>
        <w:spacing w:after="0" w:line="274" w:lineRule="auto"/>
        <w:rPr>
          <w:sz w:val="20"/>
          <w:szCs w:val="20"/>
          <w:color w:val="auto"/>
        </w:rPr>
      </w:pPr>
      <w:r>
        <w:rPr>
          <w:rFonts w:ascii="Times New Roman" w:cs="Times New Roman" w:eastAsia="Times New Roman" w:hAnsi="Times New Roman"/>
          <w:sz w:val="18"/>
          <w:szCs w:val="18"/>
          <w:color w:val="auto"/>
        </w:rPr>
        <w:t>Notwithstanding any of the foregoing, if an optionee’s employment or services with the company or any of its affiliates is terminated for “cause,” all outstanding options held by such optionee (whether vested or unvested) will terminate on the date of such termination and the shares covered by such options shall again be available for issuance under the 2021 Plan.</w:t>
      </w:r>
    </w:p>
    <w:p>
      <w:pPr>
        <w:spacing w:after="0" w:line="180" w:lineRule="exact"/>
        <w:rPr>
          <w:sz w:val="20"/>
          <w:szCs w:val="20"/>
          <w:color w:val="auto"/>
        </w:rPr>
      </w:pPr>
    </w:p>
    <w:p>
      <w:pPr>
        <w:jc w:val="both"/>
        <w:ind w:firstLine="441"/>
        <w:spacing w:after="0" w:line="270" w:lineRule="auto"/>
        <w:rPr>
          <w:sz w:val="20"/>
          <w:szCs w:val="20"/>
          <w:color w:val="auto"/>
        </w:rPr>
      </w:pPr>
      <w:r>
        <w:rPr>
          <w:rFonts w:ascii="Times New Roman" w:cs="Times New Roman" w:eastAsia="Times New Roman" w:hAnsi="Times New Roman"/>
          <w:sz w:val="18"/>
          <w:szCs w:val="18"/>
          <w:i w:val="1"/>
          <w:iCs w:val="1"/>
          <w:color w:val="auto"/>
        </w:rPr>
        <w:t>Right of Repurchase</w:t>
      </w:r>
      <w:r>
        <w:rPr>
          <w:rFonts w:ascii="Times New Roman" w:cs="Times New Roman" w:eastAsia="Times New Roman" w:hAnsi="Times New Roman"/>
          <w:sz w:val="18"/>
          <w:szCs w:val="18"/>
          <w:color w:val="auto"/>
        </w:rPr>
        <w:t>. If, after an optionee has exercised an option under the Restated 2012 Plan, an event defined as “cause” occurs while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optionee remains employed or engaged by the Company or the optionee violates the terms of any confidentiality, non-competition or other agreement with the Company, then the Company shall have the right to repurchase all of the shares held by the optionee in exchange for payment of the exercise price, forfeit all such shares, redeem all such shares at par value (or for less than that amount if allowed by applicable law), convert such shares into deferred shares entitling their holder only to their par value upon liquidation, or take any other action which may be required in order to achieve similar results.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12" w:name="page113"/>
    <w:bookmarkEnd w:id="112"/>
    <w:p>
      <w:pPr>
        <w:jc w:val="both"/>
        <w:ind w:firstLine="441"/>
        <w:spacing w:after="0" w:line="264" w:lineRule="auto"/>
        <w:rPr>
          <w:sz w:val="20"/>
          <w:szCs w:val="20"/>
          <w:color w:val="auto"/>
        </w:rPr>
      </w:pPr>
      <w:r>
        <w:rPr>
          <w:rFonts w:ascii="Times New Roman" w:cs="Times New Roman" w:eastAsia="Times New Roman" w:hAnsi="Times New Roman"/>
          <w:sz w:val="18"/>
          <w:szCs w:val="18"/>
          <w:i w:val="1"/>
          <w:iCs w:val="1"/>
          <w:color w:val="auto"/>
        </w:rPr>
        <w:t>Adjustments</w:t>
      </w:r>
      <w:r>
        <w:rPr>
          <w:rFonts w:ascii="Times New Roman" w:cs="Times New Roman" w:eastAsia="Times New Roman" w:hAnsi="Times New Roman"/>
          <w:sz w:val="18"/>
          <w:szCs w:val="18"/>
          <w:color w:val="auto"/>
        </w:rPr>
        <w:t>. In the event of a share split, reverse share split, share dividend, recapitalization, combination or reclassification of our shares, 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increase or decrease in the number of issued shares effected without receipt of consideration by the company (but not including the conversion of any convertible securities of the company), the administrator shall make an appropriate adjustment in the number of shares related to each outstanding option and to the number of shares reserved for issuance under the Restated 2012 Plan, to the class and kind of shares subject to the Restated 2012 Plan, as well as the exercise price per share of each outstanding option, provided however, that any fractional shares resulting from such adjustment shall be rounded down to the nearest whole share unless otherwise determined by the administrator. Except as expressly provided herein, no issuance by the company of shares of any class, or securities convertible into shares of any class, shall affect, and no adjustment by reason thereof shall be made with respect to, the number or price of shares subject to an option.</w:t>
      </w:r>
    </w:p>
    <w:p>
      <w:pPr>
        <w:spacing w:after="0" w:line="204" w:lineRule="exact"/>
        <w:rPr>
          <w:sz w:val="20"/>
          <w:szCs w:val="20"/>
          <w:color w:val="auto"/>
        </w:rPr>
      </w:pPr>
    </w:p>
    <w:p>
      <w:pPr>
        <w:jc w:val="both"/>
        <w:ind w:firstLine="441"/>
        <w:spacing w:after="0" w:line="264" w:lineRule="auto"/>
        <w:rPr>
          <w:sz w:val="20"/>
          <w:szCs w:val="20"/>
          <w:color w:val="auto"/>
        </w:rPr>
      </w:pPr>
      <w:r>
        <w:rPr>
          <w:rFonts w:ascii="Times New Roman" w:cs="Times New Roman" w:eastAsia="Times New Roman" w:hAnsi="Times New Roman"/>
          <w:sz w:val="18"/>
          <w:szCs w:val="18"/>
          <w:i w:val="1"/>
          <w:iCs w:val="1"/>
          <w:color w:val="auto"/>
        </w:rPr>
        <w:t>Merger or Acquisition</w:t>
      </w:r>
      <w:r>
        <w:rPr>
          <w:rFonts w:ascii="Times New Roman" w:cs="Times New Roman" w:eastAsia="Times New Roman" w:hAnsi="Times New Roman"/>
          <w:sz w:val="18"/>
          <w:szCs w:val="18"/>
          <w:color w:val="auto"/>
        </w:rPr>
        <w:t>. In the event of a sale of all or substantially all of the assets or shares of the company, or a merger or other reorganization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with or into another corporation or a scheme of arrangement for the purpose of effecting such sale or merger, the administrator shall have discretion to (i) cause any outstanding option to be assumed or an equivalent award substituted by the successor company or one of its affiliates, or (ii) in the event such options are not assumed or substituted for, provide the optionee the right to exercise the award as to all or part of the shares, including discretion to accelerate vesting of unvested awards and provide for cancellation of unexercised options upon closing of the transaction, and/or provided for cancellation of each outstanding option in exchange for a cash payment for each vested share equal to the fair market value foregoing of the underlying shares, as reflected in the terms of the transaction, less the exercise price, or (iii) notwithstanding the foregoing, provide that upon completion of the transaction that the terms of any option will be otherwise amended, modified or terminated and/or that the option will confer the right to receive any other security or asset, including cash, as the administrator shall deem in good faith to be appropriate.</w:t>
      </w:r>
    </w:p>
    <w:p>
      <w:pPr>
        <w:spacing w:after="0" w:line="192"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i w:val="1"/>
          <w:iCs w:val="1"/>
          <w:color w:val="auto"/>
        </w:rPr>
        <w:t>U.S. Appendix</w:t>
      </w:r>
      <w:r>
        <w:rPr>
          <w:rFonts w:ascii="Times New Roman" w:cs="Times New Roman" w:eastAsia="Times New Roman" w:hAnsi="Times New Roman"/>
          <w:sz w:val="18"/>
          <w:szCs w:val="18"/>
          <w:color w:val="auto"/>
        </w:rPr>
        <w:t>. Our United States Appendix to the Restated 2012 Plan (the “U.S. Appendix”) governs option awards granted to our United States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or service providers, including those who are deemed to be residents of the United States for tax purposes. The U.S. Appendix will share in the option pool discussed above. Each option will be evidenced by a notice of grant, which will contain the terms and conditions upon which such option will be issued and exercised. Each option which is intended to be an incentive stock option will be granted in compliance with the requirements of Section 422 of the Code and applicable law. Only our United States employees are eligible to be granted incentive stock options. With respect to any option granted to a United States optionee, in the event of a conflict between the terms of the U.S. Appendix and the Restated 2012 Plan, the terms of the U.S. Appendix will prevail.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Share Incentive Plan</w:t>
      </w:r>
    </w:p>
    <w:p>
      <w:pPr>
        <w:spacing w:after="0" w:line="254" w:lineRule="exact"/>
        <w:rPr>
          <w:sz w:val="20"/>
          <w:szCs w:val="20"/>
          <w:color w:val="auto"/>
        </w:rPr>
      </w:pPr>
    </w:p>
    <w:p>
      <w:pPr>
        <w:jc w:val="both"/>
        <w:ind w:firstLine="441"/>
        <w:spacing w:after="0" w:line="274" w:lineRule="auto"/>
        <w:rPr>
          <w:sz w:val="20"/>
          <w:szCs w:val="20"/>
          <w:color w:val="auto"/>
        </w:rPr>
      </w:pPr>
      <w:r>
        <w:rPr>
          <w:rFonts w:ascii="Times New Roman" w:cs="Times New Roman" w:eastAsia="Times New Roman" w:hAnsi="Times New Roman"/>
          <w:sz w:val="18"/>
          <w:szCs w:val="18"/>
          <w:color w:val="auto"/>
        </w:rPr>
        <w:t>We adopted the 2021 Plan immediately prior to the IPO. The 2021 Plan provides for the grant of equity-based incentive awards to our employees, directors, office holders, service providers and consultants in order to incentivize them to increase their efforts on behalf of the Company and to promote the success of the Company’s business.</w:t>
      </w:r>
    </w:p>
    <w:p>
      <w:pPr>
        <w:spacing w:after="0" w:line="180"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Shares Available for Grants. </w:t>
      </w:r>
      <w:r>
        <w:rPr>
          <w:rFonts w:ascii="Times New Roman" w:cs="Times New Roman" w:eastAsia="Times New Roman" w:hAnsi="Times New Roman"/>
          <w:sz w:val="18"/>
          <w:szCs w:val="18"/>
          <w:color w:val="auto"/>
        </w:rPr>
        <w:t>The maximum number ordinary shares available for issuance under the 2021 Plan is equal to the sum of (i) 9,954,480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(ii) any shares subject to awards under the Restated 2012 Plan which have expired, or were cancelled, terminated, forfeited or settled in cash in lieu of issuance of shares or became unexercisable without having been exercised and (iii) an annual increase on the first day of each year beginning in 2022 and on January 1st of each calendar year thereafter and ending on January 1, 2031, equal to the lesser of (A) 5% of the outstanding ordinary shares of the Company on the last day of the immediately preceding calendar year; and (B) such amount as determined by our board of directors if so determined prior to January 1 of a calendar year, provided that no more than 99,544,800 ordinary shares may be issued upon the exercise of Incentive Stock Options. If permitted by our board of directors, shares tendered to pay the exercise price or withholding tax obligations with respect to an award granted under the 2021 Plan or the Restated 2012 Plan may again be available for issuance under the 2021 Plan, unless determined otherwise by the Board. Our board of directors may also reduce the number of ordinary shares reserved and available for issuance under the 2021 Plan in its discretion.</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113" w:name="page114"/>
    <w:bookmarkEnd w:id="113"/>
    <w:p>
      <w:pPr>
        <w:jc w:val="both"/>
        <w:ind w:firstLine="441"/>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Our board of directors, or a duly authorized committee of our board of directors, or the administrator, will administer the 2021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2021 Plan, the administrator has the authority, subject to applicable law, to interpret the terms of the 2021 Plan and any award agreements or awards granted thereunder, designate recipients of awards, determine and amend the terms of awards, including the exercise price of an option award, the fair market value of an ordinary share, the time and vesting schedule applicable to an award or the method of payment for an award, accelerate or amend the vesting schedule applicable to an award, prescribe the forms of agreement for use under the 2021 Plan and take all other actions and make all other determinations necessary for the administration of the 2021 Plan.</w:t>
      </w:r>
    </w:p>
    <w:p>
      <w:pPr>
        <w:spacing w:after="0" w:line="192"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The administrator also has the authority to approve the conversion, substitution, cancellation or suspension under and in accordance with the 2021 Plan of any or all option awards or ordinary shares, and the authority to modify option awards to eligible individuals who are foreign nationals or are individuals who are employed outside Israel to recognize differences in local law, tax policy or custom, in order to effectuate the purposes of the 2021 Plan but without amending the 2021 Plan.</w:t>
      </w:r>
    </w:p>
    <w:p>
      <w:pPr>
        <w:spacing w:after="0" w:line="199"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administrator also has the authority to amend and rescind rules and regulations relating to the 2021 Plan or terminate the 2021 Plan at any time before the date of expiration of its ten year term.</w:t>
      </w:r>
    </w:p>
    <w:p>
      <w:pPr>
        <w:spacing w:after="0" w:line="187" w:lineRule="exact"/>
        <w:rPr>
          <w:sz w:val="20"/>
          <w:szCs w:val="20"/>
          <w:color w:val="auto"/>
        </w:rPr>
      </w:pPr>
    </w:p>
    <w:p>
      <w:pPr>
        <w:jc w:val="both"/>
        <w:ind w:firstLine="441"/>
        <w:spacing w:after="0" w:line="275" w:lineRule="auto"/>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The 2021 Plan provides for granting awards under various tax regimes, including, without limitation, in compliance with Section 102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Ordinance, and Section 3(i) of the Ordinance and for awards granted to our United States employees or service providers, including those who are deemed to be residents of the United States for tax purposes, Section 422 of the Code and Section 409A of the Code.</w:t>
      </w:r>
    </w:p>
    <w:p>
      <w:pPr>
        <w:spacing w:after="0" w:line="179" w:lineRule="exact"/>
        <w:rPr>
          <w:sz w:val="20"/>
          <w:szCs w:val="20"/>
          <w:color w:val="auto"/>
        </w:rPr>
      </w:pPr>
    </w:p>
    <w:p>
      <w:pPr>
        <w:jc w:val="both"/>
        <w:ind w:firstLine="441"/>
        <w:spacing w:after="0" w:line="270" w:lineRule="auto"/>
        <w:rPr>
          <w:sz w:val="20"/>
          <w:szCs w:val="20"/>
          <w:color w:val="auto"/>
        </w:rPr>
      </w:pPr>
      <w:r>
        <w:rPr>
          <w:rFonts w:ascii="Times New Roman" w:cs="Times New Roman" w:eastAsia="Times New Roman" w:hAnsi="Times New Roman"/>
          <w:sz w:val="18"/>
          <w:szCs w:val="18"/>
          <w:i w:val="1"/>
          <w:iCs w:val="1"/>
          <w:color w:val="auto"/>
        </w:rPr>
        <w:t xml:space="preserve">Grants. </w:t>
      </w:r>
      <w:r>
        <w:rPr>
          <w:rFonts w:ascii="Times New Roman" w:cs="Times New Roman" w:eastAsia="Times New Roman" w:hAnsi="Times New Roman"/>
          <w:sz w:val="18"/>
          <w:szCs w:val="18"/>
          <w:color w:val="auto"/>
        </w:rPr>
        <w:t>All awards granted pursuant to the 2021 Plan will be evidenced by an award agreement, in a form approved, from time to time,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in its sole discretion. The award agreement will set forth the terms and conditions of the award, including the type of award, number of shares subject to such award, vesting schedule and conditions (including performance goals or measures) and the exercise price, if applicable. Certain awards under the 2021 Plan may constitute or provide for a deferral of compensation, subject to Section 409A of the Code, which may impose additional requirements on the terms and conditions of such awards.</w:t>
      </w:r>
    </w:p>
    <w:p>
      <w:pPr>
        <w:spacing w:after="0" w:line="188" w:lineRule="exact"/>
        <w:rPr>
          <w:sz w:val="20"/>
          <w:szCs w:val="20"/>
          <w:color w:val="auto"/>
        </w:rPr>
      </w:pPr>
    </w:p>
    <w:p>
      <w:pPr>
        <w:jc w:val="both"/>
        <w:ind w:firstLine="441"/>
        <w:spacing w:after="0" w:line="270" w:lineRule="auto"/>
        <w:rPr>
          <w:sz w:val="20"/>
          <w:szCs w:val="20"/>
          <w:color w:val="auto"/>
        </w:rPr>
      </w:pPr>
      <w:r>
        <w:rPr>
          <w:rFonts w:ascii="Times New Roman" w:cs="Times New Roman" w:eastAsia="Times New Roman" w:hAnsi="Times New Roman"/>
          <w:sz w:val="18"/>
          <w:szCs w:val="18"/>
          <w:color w:val="auto"/>
        </w:rPr>
        <w:t>Unless otherwise determined by the administrator and stated in the award agreement, and subject to the conditions of the 2021 Plan, awards vest and become exercisable under the following schedule: 25% of the shares covered by the award on the first anniversary of the vesting commencement date determined by the administrator (and in the absence of such determination, the date on which such award was granted) and 6.25% of the shares covered by the award at the end of each subsequent three-month period thereafter over the course of the following three years; provided that the grantee remains continuously as an employee or provides services to the company throughout such vesting dates.</w:t>
      </w:r>
    </w:p>
    <w:p>
      <w:pPr>
        <w:spacing w:after="0" w:line="186" w:lineRule="exact"/>
        <w:rPr>
          <w:sz w:val="20"/>
          <w:szCs w:val="20"/>
          <w:color w:val="auto"/>
        </w:rPr>
      </w:pPr>
    </w:p>
    <w:p>
      <w:pPr>
        <w:jc w:val="both"/>
        <w:ind w:firstLine="441"/>
        <w:spacing w:after="0" w:line="297" w:lineRule="auto"/>
        <w:rPr>
          <w:sz w:val="20"/>
          <w:szCs w:val="20"/>
          <w:color w:val="auto"/>
        </w:rPr>
      </w:pPr>
      <w:r>
        <w:rPr>
          <w:rFonts w:ascii="Times New Roman" w:cs="Times New Roman" w:eastAsia="Times New Roman" w:hAnsi="Times New Roman"/>
          <w:sz w:val="18"/>
          <w:szCs w:val="18"/>
          <w:color w:val="auto"/>
        </w:rPr>
        <w:t>Each award will expire ten years from the date of the grant thereof, unless such shorter term of expiration is otherwise designated by the administrator.</w:t>
      </w:r>
    </w:p>
    <w:p>
      <w:pPr>
        <w:spacing w:after="0" w:line="161" w:lineRule="exact"/>
        <w:rPr>
          <w:sz w:val="20"/>
          <w:szCs w:val="20"/>
          <w:color w:val="auto"/>
        </w:rPr>
      </w:pPr>
    </w:p>
    <w:p>
      <w:pPr>
        <w:jc w:val="both"/>
        <w:ind w:firstLine="441"/>
        <w:spacing w:after="0" w:line="300" w:lineRule="auto"/>
        <w:rPr>
          <w:sz w:val="20"/>
          <w:szCs w:val="20"/>
          <w:color w:val="auto"/>
        </w:rPr>
      </w:pPr>
      <w:r>
        <w:rPr>
          <w:rFonts w:ascii="Times New Roman" w:cs="Times New Roman" w:eastAsia="Times New Roman" w:hAnsi="Times New Roman"/>
          <w:sz w:val="18"/>
          <w:szCs w:val="18"/>
          <w:i w:val="1"/>
          <w:iCs w:val="1"/>
          <w:color w:val="auto"/>
        </w:rPr>
        <w:t xml:space="preserve">Awards. </w:t>
      </w:r>
      <w:r>
        <w:rPr>
          <w:rFonts w:ascii="Times New Roman" w:cs="Times New Roman" w:eastAsia="Times New Roman" w:hAnsi="Times New Roman"/>
          <w:sz w:val="18"/>
          <w:szCs w:val="18"/>
          <w:color w:val="auto"/>
        </w:rPr>
        <w:t>The 2021 Plan provides for the grant of stock options (including incentive stock options and nonqualified stock options), ordinary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shares, RSUs, stock appreciation rights and other share-based awards.</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114" w:name="page115"/>
    <w:bookmarkEnd w:id="114"/>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Options granted under the 2021 Plan to the Company employees who are U.S. residents may qualify as “incentive stock options” within the meaning of Section 422 of the Code, or may be non-qualified stock options. The exercise price of an option may not be less than the par value of the shares (if the shares bear a par value) for which such option is exercisable. The exercise price of an Incentive Stock Option may not be less than 100% of the fair market value of the underlying share on the date of grant or such other amount as may be required pursuant to the Code, and in the case of Incentive Stock Options granted to ten percent stockholders, not less than 110%.</w:t>
      </w:r>
    </w:p>
    <w:p>
      <w:pPr>
        <w:spacing w:after="0" w:line="201"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Exercise. </w:t>
      </w:r>
      <w:r>
        <w:rPr>
          <w:rFonts w:ascii="Times New Roman" w:cs="Times New Roman" w:eastAsia="Times New Roman" w:hAnsi="Times New Roman"/>
          <w:sz w:val="18"/>
          <w:szCs w:val="18"/>
          <w:color w:val="auto"/>
        </w:rPr>
        <w:t>An option award under the 2021 Plan may be exercised by providing the Company with a written or electronic notice of exercise and full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of the exercise price for such shares underlying the award, if applicable, in such form and method as may be determined by the administrator and permitted by applicable law. An option award may not be exercised for a fraction of a share. With regard to tax withholding, exercise price and purchase price obligations arising in connection with awards under the 2021 Plan, the administrator may, in its discretion, accept cash, provide for net withholding of shares in a cashless exercise mechanism or direct a securities broker to sell shares and deliver all or a part of the proceeds to the Company or the trustee.</w:t>
      </w:r>
    </w:p>
    <w:p>
      <w:pPr>
        <w:spacing w:after="0" w:line="203" w:lineRule="exact"/>
        <w:rPr>
          <w:sz w:val="20"/>
          <w:szCs w:val="20"/>
          <w:color w:val="auto"/>
        </w:rPr>
      </w:pPr>
    </w:p>
    <w:p>
      <w:pPr>
        <w:jc w:val="both"/>
        <w:ind w:firstLine="44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Transferability. </w:t>
      </w:r>
      <w:r>
        <w:rPr>
          <w:rFonts w:ascii="Times New Roman" w:cs="Times New Roman" w:eastAsia="Times New Roman" w:hAnsi="Times New Roman"/>
          <w:sz w:val="18"/>
          <w:szCs w:val="18"/>
          <w:color w:val="auto"/>
        </w:rPr>
        <w:t>Other than by will, the laws of descent and distribution or as otherwise provided under the 2021 Plan, neither the options nor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 in connection with such options are assignable or transferable.</w:t>
      </w:r>
    </w:p>
    <w:p>
      <w:pPr>
        <w:spacing w:after="0" w:line="185" w:lineRule="exact"/>
        <w:rPr>
          <w:sz w:val="20"/>
          <w:szCs w:val="20"/>
          <w:color w:val="auto"/>
        </w:rPr>
      </w:pPr>
    </w:p>
    <w:p>
      <w:pPr>
        <w:jc w:val="both"/>
        <w:ind w:firstLine="44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Termination of Employment. </w:t>
      </w:r>
      <w:r>
        <w:rPr>
          <w:rFonts w:ascii="Times New Roman" w:cs="Times New Roman" w:eastAsia="Times New Roman" w:hAnsi="Times New Roman"/>
          <w:sz w:val="18"/>
          <w:szCs w:val="18"/>
          <w:color w:val="auto"/>
        </w:rPr>
        <w:t>In the event of termination of a grantee’s employment or service with the Company or any of its affiliates, all vested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exercisable awards held by such grantee as of the date of termination may be exercised within three months after such date of termination, unless otherwise determined by the administrator, but in no event later than the date of expiration of the award as set forth in the award agreement. After such three-month period, all such unexercised awards will terminate and the shares covered by such awards shall again be available for issuance under the 2021 Plan.</w:t>
      </w:r>
    </w:p>
    <w:p>
      <w:pPr>
        <w:spacing w:after="0" w:line="201"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In the event of termination of a grantee’s employment or service with the Company or any of its affiliates due to such grantee’s death or permanent disability, or in the event of the grantee’s death within the three month period (or such longer period as determined by the administrator) following his or her termination of service, all vested and exercisable awards held by such grantee as of the date of termination may be exercised by the grantee or the grantee’s legal guardian, estate or by a person who acquired the right to exercise the award by bequest or inheritance, as applicable, within one year after such date of termination, unless otherwise provided by the administrator, but in no event later than the date of expiration of the award as set forth in the award agreement. Any awards which are unvested as of the date of such termination or which are vested but not then exercised within the one year period following such date, will terminate and the shares covered by such awards shall again be available for issuance under the 2021 Plan.</w:t>
      </w:r>
    </w:p>
    <w:p>
      <w:pPr>
        <w:spacing w:after="0" w:line="190" w:lineRule="exact"/>
        <w:rPr>
          <w:sz w:val="20"/>
          <w:szCs w:val="20"/>
          <w:color w:val="auto"/>
        </w:rPr>
      </w:pPr>
    </w:p>
    <w:p>
      <w:pPr>
        <w:jc w:val="both"/>
        <w:ind w:firstLine="441"/>
        <w:spacing w:after="0" w:line="274" w:lineRule="auto"/>
        <w:rPr>
          <w:sz w:val="20"/>
          <w:szCs w:val="20"/>
          <w:color w:val="auto"/>
        </w:rPr>
      </w:pPr>
      <w:r>
        <w:rPr>
          <w:rFonts w:ascii="Times New Roman" w:cs="Times New Roman" w:eastAsia="Times New Roman" w:hAnsi="Times New Roman"/>
          <w:sz w:val="18"/>
          <w:szCs w:val="18"/>
          <w:color w:val="auto"/>
        </w:rPr>
        <w:t>Notwithstanding any of the foregoing, if a grantee’s employment or services with the Company or any of its affiliates is terminated for “cause” (as defined in the 2021 Plan), all outstanding awards held by such grantee (whether vested or unvested) will terminate on the date of such termination and the shares covered by such awards shall again be available for issuance under the 2021 Plan.</w:t>
      </w:r>
    </w:p>
    <w:p>
      <w:pPr>
        <w:spacing w:after="0" w:line="194" w:lineRule="exact"/>
        <w:rPr>
          <w:sz w:val="20"/>
          <w:szCs w:val="20"/>
          <w:color w:val="auto"/>
        </w:rPr>
      </w:pPr>
    </w:p>
    <w:p>
      <w:pPr>
        <w:jc w:val="both"/>
        <w:ind w:firstLine="441"/>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Except with respect to restricted share awards, grantees will not have the rights as a shareholder of the Company with respect to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covered by an award until the award has vested and/or the grantee has exercised such award, paid any exercise price for such award and becomes the record holder of the shares. With respect to restricted share awards, grantees will possess all incidents of ownership of the restricted shares, including the right to vote and receive dividends on such shares.</w:t>
      </w:r>
    </w:p>
    <w:p>
      <w:pPr>
        <w:spacing w:after="0" w:line="182" w:lineRule="exact"/>
        <w:rPr>
          <w:sz w:val="20"/>
          <w:szCs w:val="20"/>
          <w:color w:val="auto"/>
        </w:rPr>
      </w:pPr>
    </w:p>
    <w:p>
      <w:pPr>
        <w:jc w:val="both"/>
        <w:ind w:firstLine="441"/>
        <w:spacing w:after="0" w:line="275"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Grantees holding restricted share awards will be entitled to receive dividends and other distributions with respect to the shares underlying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restricted share award. Any stock split, stock dividend, combination of shares or similar transaction will be subject to the restrictions of the original restricted share award. Grantees holding RSUs will not be eligible to receive dividend but may be eligible to receive dividend equivalents.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15" w:name="page116"/>
    <w:bookmarkEnd w:id="115"/>
    <w:p>
      <w:pPr>
        <w:jc w:val="both"/>
        <w:ind w:firstLine="441"/>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Transactions. </w:t>
      </w:r>
      <w:r>
        <w:rPr>
          <w:rFonts w:ascii="Times New Roman" w:cs="Times New Roman" w:eastAsia="Times New Roman" w:hAnsi="Times New Roman"/>
          <w:sz w:val="18"/>
          <w:szCs w:val="18"/>
          <w:color w:val="auto"/>
        </w:rPr>
        <w:t>In the event of a share split, reverse share split, share dividend, recapitalization, combination or reclassification of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the administrator in its sole discretion may, and where required by applicable law shall, without the need for a consent of any holder, make an appropriate adjustment in order to adjust (i) the number and class of shares reserved and available for the outstanding awards, (ii) the number and class of shares covered by outstanding awards, (iii) the exercise price per share covered by any award, (iv) the terms and conditions concerning vesting and exercisability and the term and duration of the outstanding awards, (v) the type or class of security, asset or right underlying the award (which need not be only that of the Company, and may be that of the surviving corporation or any affiliate thereof or such other entity party to any of the above transactions), and (vi) any other terms of the award that in the opinion of the administrator should be adjusted; provided that any fractional shares resulting from such adjustment shall be rounded to the nearest whole share unless otherwise determined by the administrator. In the event of a distribution of a cash dividend to all shareholders, the administrator may determine, without the consent of any holder of an award, that the exercise price of an outstanding and unexercised award shall be reduced by an amount equal to the per share gross dividend amount distributed by the Company, subject to applicable law.</w:t>
      </w:r>
    </w:p>
    <w:p>
      <w:pPr>
        <w:spacing w:after="0" w:line="196" w:lineRule="exact"/>
        <w:rPr>
          <w:sz w:val="20"/>
          <w:szCs w:val="20"/>
          <w:color w:val="auto"/>
        </w:rPr>
      </w:pPr>
    </w:p>
    <w:p>
      <w:pPr>
        <w:jc w:val="both"/>
        <w:ind w:firstLine="441"/>
        <w:spacing w:after="0" w:line="263" w:lineRule="auto"/>
        <w:rPr>
          <w:sz w:val="20"/>
          <w:szCs w:val="20"/>
          <w:color w:val="auto"/>
        </w:rPr>
      </w:pPr>
      <w:r>
        <w:rPr>
          <w:rFonts w:ascii="Times New Roman" w:cs="Times New Roman" w:eastAsia="Times New Roman" w:hAnsi="Times New Roman"/>
          <w:sz w:val="18"/>
          <w:szCs w:val="18"/>
          <w:color w:val="auto"/>
        </w:rPr>
        <w:t>In the event of a merger or consolidation of the Company or a sale of all, or substantially all, of the Company’s shares or assets or other transaction having a similar effect on the Company, or change in the composition of the board of directors, or liquidation or dissolution, or such other transaction or circumstances that our board of directors determines to be a relevant transaction, then without the consent of the grantee, (i) unless otherwise determined by the administrator, any outstanding award will be assumed or substituted by such successor corporation, or (ii) regardless of whether or not the successor corporation assumes or substitutes the award (a) provide the grantee with the option to exercise the award as to all or part of the shares, and may provide for an acceleration of vesting of unvested awards, (b) cancel the award and pay in cash, shares of the Company, the acquirer or other corporation which is a party to such transaction or other property as determined by the administrator as fair in the circumstances, or (c) provide that the terms of any award shall be otherwise amended, modified or terminated, as determined by the administrator to be fair in the circumstances.</w:t>
      </w:r>
    </w:p>
    <w:p>
      <w:pPr>
        <w:spacing w:after="0" w:line="2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2021 Employee Share Purchase Plan</w:t>
      </w:r>
    </w:p>
    <w:p>
      <w:pPr>
        <w:spacing w:after="0" w:line="241"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We adopted the ESPP immediately prior to the IPO. The ESPP is comprised of two distinct components: (1) the component intended to qualify for favorable U.S. federal tax treatment under Section 423 of the Code (the “Section 423 Component”) and (2) the component not intended to be tax qualified under Section 423 of the Code to facilitate participation for employees who are not eligible to benefit from favorable U.S. federal tax treatment and, to the extent applicable, to provide flexibility to comply with non U.S. law and other considerations (the “Non Section 423 Component”).</w:t>
      </w:r>
    </w:p>
    <w:p>
      <w:pPr>
        <w:spacing w:after="0" w:line="184" w:lineRule="exact"/>
        <w:rPr>
          <w:sz w:val="20"/>
          <w:szCs w:val="20"/>
          <w:color w:val="auto"/>
        </w:rPr>
      </w:pPr>
    </w:p>
    <w:p>
      <w:pPr>
        <w:jc w:val="both"/>
        <w:ind w:firstLine="441"/>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Authorized Shares. </w:t>
      </w:r>
      <w:r>
        <w:rPr>
          <w:rFonts w:ascii="Times New Roman" w:cs="Times New Roman" w:eastAsia="Times New Roman" w:hAnsi="Times New Roman"/>
          <w:sz w:val="18"/>
          <w:szCs w:val="18"/>
          <w:color w:val="auto"/>
        </w:rPr>
        <w:t>A total of 1,824,988 of our ordinary shares remains available for sale under the ESPP, subject to adjustment as provided for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ESPP. In addition, on the first day of each fiscal year beginning with our 2022 fiscal year and through our 2031 fiscal year, such pool of ordinary shares shall be increased by that number of our ordinary shares equal to the lesser of:</w:t>
      </w:r>
    </w:p>
    <w:p>
      <w:pPr>
        <w:spacing w:after="0" w:line="174" w:lineRule="exact"/>
        <w:rPr>
          <w:sz w:val="20"/>
          <w:szCs w:val="20"/>
          <w:color w:val="auto"/>
        </w:rPr>
      </w:pPr>
    </w:p>
    <w:p>
      <w:pPr>
        <w:ind w:left="340" w:hanging="332"/>
        <w:spacing w:after="0"/>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outstanding ordinary shares as of the last day of the immediately preceding fiscal year, determined on a fully diluted basis; or</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amount as our board of directors may determine.</w:t>
      </w:r>
    </w:p>
    <w:p>
      <w:pPr>
        <w:spacing w:after="0" w:line="2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no event will more than ordinary shares be available for issuance under the Section 423 Component.</w:t>
      </w:r>
    </w:p>
    <w:p>
      <w:pPr>
        <w:spacing w:after="0" w:line="237"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ESPP Administration. </w:t>
      </w:r>
      <w:r>
        <w:rPr>
          <w:rFonts w:ascii="Times New Roman" w:cs="Times New Roman" w:eastAsia="Times New Roman" w:hAnsi="Times New Roman"/>
          <w:sz w:val="18"/>
          <w:szCs w:val="18"/>
          <w:color w:val="auto"/>
        </w:rPr>
        <w:t>Unless otherwise determined by our board of directors, the compensation committee of our board of directors;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will administer the ESPP and will have the authority to interpret the terms of the ESPP and determine eligibility under the ESPP, to impose a mandatory holding period under which employees may not dispose or transfer shares under the ESPP, prescribe, revoke and amend forms, rules and procedures relating to the ESPP, and otherwise exercise such powers and to perform such acts as the administrator deems necessary or expedient to promote the best interests of the Company and its subsidiaries and to carry out the intent that the ESPP be treated as an “employee stock purchase plan” within the meaning of Section 423 of the Code for the Section 423 Component.</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116" w:name="page117"/>
    <w:bookmarkEnd w:id="116"/>
    <w:p>
      <w:pPr>
        <w:jc w:val="both"/>
        <w:ind w:firstLine="441"/>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Participation in the Section 423 Component may be limited in the terms of any offering to employees of the Company and any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designated subsidiaries (a) who customarily work 20 hours or more per week, (b) whose customary employment is for more than five months per calendar year and (c) who satisfy the procedural enrollment and other requirements set forth in the ESPP. Under the Section 423 Component, designated subsidiaries include any subsidiary (within the meaning of Section 424(f) of the Code) of the Company that has been designated by our board of directors or the compensation committee as eligible to participate in the ESPP (and if an entity does not so qualify within the meaning of Section 424(f) of the Code, it shall automatically be deemed to be a designated subsidiary in the Non-Section 423 Component). In addition, with respect to the Non-Section 423 Component, designated subsidiaries may include any corporate or noncorporate entity in which the Company has a direct or indirect equity interest or significant business relationship. Under the Section 423 Component, no employee may be granted a purchase right if, immediately after the purchase right is granted, the employee would own (or, under applicable statutory attribution rules, would be deemed to own) shares possessing 5% or more of the total combined voting power or value of all classes of shares of the Company or any of its subsidiaries. In addition, in order to facilitate participation in the ESPP, the compensation committee may provide for such special terms applicable to participants who are citizens or residents of a non-U.S. jurisdiction, or who are employed by a designated subsidiary outside of the U.S., as the compensation committee may consider necessary or appropriate to accommodate differences in local law, tax policy or custom. Except as permitted by Section 423 of the Code, with respect to the Section 423 Component, such special terms may not be more favorable than the terms of rights granted under the Section 423 Component to eligible employees who are residents of the United States.</w:t>
      </w:r>
    </w:p>
    <w:p>
      <w:pPr>
        <w:spacing w:after="0" w:line="202" w:lineRule="exact"/>
        <w:rPr>
          <w:sz w:val="20"/>
          <w:szCs w:val="20"/>
          <w:color w:val="auto"/>
        </w:rPr>
      </w:pPr>
    </w:p>
    <w:p>
      <w:pPr>
        <w:jc w:val="both"/>
        <w:ind w:firstLine="441"/>
        <w:spacing w:after="0" w:line="272" w:lineRule="auto"/>
        <w:rPr>
          <w:sz w:val="20"/>
          <w:szCs w:val="20"/>
          <w:color w:val="auto"/>
        </w:rPr>
      </w:pPr>
      <w:r>
        <w:rPr>
          <w:rFonts w:ascii="Times New Roman" w:cs="Times New Roman" w:eastAsia="Times New Roman" w:hAnsi="Times New Roman"/>
          <w:sz w:val="18"/>
          <w:szCs w:val="18"/>
          <w:i w:val="1"/>
          <w:iCs w:val="1"/>
          <w:color w:val="auto"/>
        </w:rPr>
        <w:t>Offering Periods</w:t>
      </w:r>
      <w:r>
        <w:rPr>
          <w:rFonts w:ascii="Times New Roman" w:cs="Times New Roman" w:eastAsia="Times New Roman" w:hAnsi="Times New Roman"/>
          <w:sz w:val="18"/>
          <w:szCs w:val="18"/>
          <w:color w:val="auto"/>
        </w:rPr>
        <w:t>. The ESPP provides for offering periods, not to exceed 27 months each, during which we will grant rights to purchase our ordinary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to our employees. The timing of the offering periods will be determined by the administrator. The terms and conditions applicable to each offering period will be set forth in an offering document adopted by the administrator for the particular offering period. The provisions of offerings during separate offering periods under the ESPP need not be identical.</w:t>
      </w:r>
    </w:p>
    <w:p>
      <w:pPr>
        <w:spacing w:after="0" w:line="182" w:lineRule="exact"/>
        <w:rPr>
          <w:sz w:val="20"/>
          <w:szCs w:val="20"/>
          <w:color w:val="auto"/>
        </w:rPr>
      </w:pPr>
    </w:p>
    <w:p>
      <w:pPr>
        <w:jc w:val="both"/>
        <w:ind w:firstLine="441"/>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Contributions. </w:t>
      </w:r>
      <w:r>
        <w:rPr>
          <w:rFonts w:ascii="Times New Roman" w:cs="Times New Roman" w:eastAsia="Times New Roman" w:hAnsi="Times New Roman"/>
          <w:sz w:val="18"/>
          <w:szCs w:val="18"/>
          <w:color w:val="auto"/>
        </w:rPr>
        <w:t>The ESPP will permit participants to purchase our ordinary shares through contributions (in the form of payroll deductions,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to the extent permitted by the administrator). The percentage of compensation designated by an eligible employee as payroll deductions for participation in an offering may not be less than 1% and may not be more than the maximum percentage specified by the administrator in the applicable offering document (which maximum percentage shall be 20% in the absence of any such specification). A participant may increase or decrease the percentage of compensation designated in his or her subscription agreement, or may suspend his or her payroll deductions, at any time during an offering period; provided, however, that the administrator may limit the number of changes a participant may make in the applicable offering document. In the absence of any specific designation by the administrator, a participant may decrease (but not increase) his or her payroll deduction elections one time during each offering period Exercise of Purchase Right. Amounts contributed and accumulated by the participant will be used to purchase our ordinary shares at the end of each offering period. Unless otherwise determined by the administrator, the purchase price of the shares will be 85% of the lower of the fair market value of our ordinary shares on (i) the first trading day of the offering period or (ii) the last trading day of the offering period (and may not be lower than such amount with respect to the Section 423 Component).</w:t>
      </w:r>
    </w:p>
    <w:p>
      <w:pPr>
        <w:spacing w:after="0" w:line="197" w:lineRule="exact"/>
        <w:rPr>
          <w:sz w:val="20"/>
          <w:szCs w:val="20"/>
          <w:color w:val="auto"/>
        </w:rPr>
      </w:pPr>
    </w:p>
    <w:p>
      <w:pPr>
        <w:jc w:val="both"/>
        <w:ind w:firstLine="441"/>
        <w:spacing w:after="0" w:line="297" w:lineRule="auto"/>
        <w:rPr>
          <w:sz w:val="20"/>
          <w:szCs w:val="20"/>
          <w:color w:val="auto"/>
        </w:rPr>
      </w:pPr>
      <w:r>
        <w:rPr>
          <w:rFonts w:ascii="Times New Roman" w:cs="Times New Roman" w:eastAsia="Times New Roman" w:hAnsi="Times New Roman"/>
          <w:sz w:val="18"/>
          <w:szCs w:val="18"/>
          <w:color w:val="auto"/>
        </w:rPr>
        <w:t>Participants may end their participation at any time during an offering period and will be paid their accrued contributions that have not yet been used to purchase our ordinary shares. Participation ends automatically upon termination of employment with us.</w:t>
      </w:r>
    </w:p>
    <w:p>
      <w:pPr>
        <w:spacing w:after="0" w:line="161" w:lineRule="exact"/>
        <w:rPr>
          <w:sz w:val="20"/>
          <w:szCs w:val="20"/>
          <w:color w:val="auto"/>
        </w:rPr>
      </w:pPr>
    </w:p>
    <w:p>
      <w:pPr>
        <w:jc w:val="both"/>
        <w:ind w:right="20" w:firstLine="441"/>
        <w:spacing w:after="0" w:line="300" w:lineRule="auto"/>
        <w:rPr>
          <w:sz w:val="20"/>
          <w:szCs w:val="20"/>
          <w:color w:val="auto"/>
        </w:rPr>
      </w:pPr>
      <w:r>
        <w:rPr>
          <w:rFonts w:ascii="Times New Roman" w:cs="Times New Roman" w:eastAsia="Times New Roman" w:hAnsi="Times New Roman"/>
          <w:sz w:val="18"/>
          <w:szCs w:val="18"/>
          <w:i w:val="1"/>
          <w:iCs w:val="1"/>
          <w:color w:val="auto"/>
        </w:rPr>
        <w:t xml:space="preserve">Non-Transferability. </w:t>
      </w:r>
      <w:r>
        <w:rPr>
          <w:rFonts w:ascii="Times New Roman" w:cs="Times New Roman" w:eastAsia="Times New Roman" w:hAnsi="Times New Roman"/>
          <w:sz w:val="18"/>
          <w:szCs w:val="18"/>
          <w:color w:val="auto"/>
        </w:rPr>
        <w:t>A participant may not transfer contributions credited to his or her account nor any rights granted under the ESPP other than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the laws of descent and distribution or as otherwise provided under the ESPP.</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117" w:name="page118"/>
    <w:bookmarkEnd w:id="117"/>
    <w:p>
      <w:pPr>
        <w:jc w:val="both"/>
        <w:ind w:firstLine="441"/>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Corporate Transactions. </w:t>
      </w:r>
      <w:r>
        <w:rPr>
          <w:rFonts w:ascii="Times New Roman" w:cs="Times New Roman" w:eastAsia="Times New Roman" w:hAnsi="Times New Roman"/>
          <w:sz w:val="18"/>
          <w:szCs w:val="18"/>
          <w:color w:val="auto"/>
        </w:rPr>
        <w:t>In the event of certain transactions or events such as a consolidation, merger or similar transaction, a sale or transfer of all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substantially all of the Company’s assets, or a dissolution or liquidation of the Company, with respect to which the administrator determines that an adjustment is appropriate in order to prevent dilution or enlargement of the benefits or potential benefits intended by the Company to be made available under the ESPP or with respect to any outstanding purchase rights under the ESPP, the administrator shall make equitable adjustments, if any, to reflect such change with respect to (a) the aggregate number and type of shares that may be issued under the ESPP; (b) the class(es) and number of shares and price per share subject to outstanding rights; and (c) the purchase price with respect to any outstanding rights. In addition, in any such situation, the administrator may, in its discretion, make other adjustments, including:</w:t>
      </w:r>
    </w:p>
    <w:p>
      <w:pPr>
        <w:spacing w:after="0" w:line="192" w:lineRule="exact"/>
        <w:rPr>
          <w:sz w:val="20"/>
          <w:szCs w:val="20"/>
          <w:color w:val="auto"/>
        </w:rPr>
      </w:pPr>
    </w:p>
    <w:p>
      <w:pPr>
        <w:ind w:left="340" w:hanging="332"/>
        <w:spacing w:after="0" w:line="268"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either (i) termination of any outstanding right in exchange for an amount of cash, or (ii) the replacement of such outstanding right with other rights or property;</w:t>
      </w:r>
    </w:p>
    <w:p>
      <w:pPr>
        <w:spacing w:after="0" w:line="1" w:lineRule="exact"/>
        <w:rPr>
          <w:rFonts w:ascii="Times New Roman" w:cs="Times New Roman" w:eastAsia="Times New Roman" w:hAnsi="Times New Roman"/>
          <w:sz w:val="18"/>
          <w:szCs w:val="18"/>
          <w:color w:val="auto"/>
        </w:rPr>
      </w:pPr>
    </w:p>
    <w:p>
      <w:pPr>
        <w:ind w:left="340" w:hanging="332"/>
        <w:spacing w:after="0" w:line="258"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the outstanding rights under the ESPP shall be assumed by the successor or survivor corporation, with appropriate adjustments as to the number and kind of shares and prices;</w:t>
      </w:r>
    </w:p>
    <w:p>
      <w:pPr>
        <w:ind w:left="340" w:hanging="332"/>
        <w:spacing w:after="0" w:line="258"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adjustments in the number and type of shares (or other securities or property) subject to outstanding rights under the ESPP and/or in the terms and conditions of outstanding rights and rights that may be granted in the future;</w:t>
      </w:r>
    </w:p>
    <w:p>
      <w:pPr>
        <w:ind w:left="340" w:hanging="332"/>
        <w:spacing w:after="0" w:line="258"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participants’ accumulated payroll deductions may be used to purchase shares prior to the next occurring purchase date on such date as the administrator determines and the participants’ rights under the ongoing offering period(s) shall be terminated; and</w:t>
      </w:r>
    </w:p>
    <w:p>
      <w:pPr>
        <w:ind w:left="340" w:hanging="332"/>
        <w:spacing w:after="0"/>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all outstanding rights shall terminate without being exercised.</w:t>
      </w:r>
    </w:p>
    <w:p>
      <w:pPr>
        <w:spacing w:after="0" w:line="232" w:lineRule="exact"/>
        <w:rPr>
          <w:sz w:val="20"/>
          <w:szCs w:val="20"/>
          <w:color w:val="auto"/>
        </w:rPr>
      </w:pPr>
    </w:p>
    <w:p>
      <w:pPr>
        <w:jc w:val="both"/>
        <w:ind w:right="20" w:firstLine="44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Amendment; Termination. </w:t>
      </w:r>
      <w:r>
        <w:rPr>
          <w:rFonts w:ascii="Times New Roman" w:cs="Times New Roman" w:eastAsia="Times New Roman" w:hAnsi="Times New Roman"/>
          <w:sz w:val="18"/>
          <w:szCs w:val="18"/>
          <w:color w:val="auto"/>
        </w:rPr>
        <w:t>The administrator will have the authority to amend, suspend or terminate the ESPP. The ESPP is not subject to a specific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termination date.</w:t>
      </w:r>
    </w:p>
    <w:p>
      <w:pPr>
        <w:spacing w:after="0" w:line="185" w:lineRule="exact"/>
        <w:rPr>
          <w:sz w:val="20"/>
          <w:szCs w:val="20"/>
          <w:color w:val="auto"/>
        </w:rPr>
      </w:pPr>
    </w:p>
    <w:p>
      <w:pPr>
        <w:jc w:val="both"/>
        <w:ind w:firstLine="441"/>
        <w:spacing w:after="0" w:line="264" w:lineRule="auto"/>
        <w:rPr>
          <w:sz w:val="20"/>
          <w:szCs w:val="20"/>
          <w:color w:val="auto"/>
        </w:rPr>
      </w:pPr>
      <w:r>
        <w:rPr>
          <w:rFonts w:ascii="Times New Roman" w:cs="Times New Roman" w:eastAsia="Times New Roman" w:hAnsi="Times New Roman"/>
          <w:sz w:val="18"/>
          <w:szCs w:val="18"/>
          <w:i w:val="1"/>
          <w:iCs w:val="1"/>
          <w:color w:val="auto"/>
        </w:rPr>
        <w:t>Additional Jurisdictions</w:t>
      </w:r>
      <w:r>
        <w:rPr>
          <w:rFonts w:ascii="Times New Roman" w:cs="Times New Roman" w:eastAsia="Times New Roman" w:hAnsi="Times New Roman"/>
          <w:sz w:val="18"/>
          <w:szCs w:val="18"/>
          <w:color w:val="auto"/>
        </w:rPr>
        <w:t>. The administrator may adopt, amend and terminate one or more sub-plans to the ESPP to permit employees in a country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than the United States to participate in the ESPP on the terms described in the applicable sub-plan, in compliance with that country’s securities, tax and other laws (including, but not limited to an Israeli appendix as attached to the ESPP); provided, however, that such sub-plans shall be a separate offering from any offering intended to comply with the requirements of Section 423 and in no event shall the provisions of such sub-plans cause the ESPP to fail to satisfy the requirements of Section 423. In the event that employees in a country other than the United States participate in an offering that is intended to comply with the requirements of Section 423, the terms of the offering may be changed for such employees by the administrator if, in order to comply with the laws of a foreign jurisdiction, the terms for such employees are less favorable than the terms of the offering to employees resident in the United States.</w:t>
      </w:r>
    </w:p>
    <w:p>
      <w:pPr>
        <w:spacing w:after="0" w:line="190" w:lineRule="exact"/>
        <w:rPr>
          <w:sz w:val="20"/>
          <w:szCs w:val="20"/>
          <w:color w:val="auto"/>
        </w:rPr>
      </w:pPr>
    </w:p>
    <w:p>
      <w:pPr>
        <w:jc w:val="both"/>
        <w:ind w:firstLine="441"/>
        <w:spacing w:after="0" w:line="300" w:lineRule="auto"/>
        <w:rPr>
          <w:sz w:val="20"/>
          <w:szCs w:val="20"/>
          <w:color w:val="auto"/>
        </w:rPr>
      </w:pPr>
      <w:r>
        <w:rPr>
          <w:rFonts w:ascii="Times New Roman" w:cs="Times New Roman" w:eastAsia="Times New Roman" w:hAnsi="Times New Roman"/>
          <w:sz w:val="18"/>
          <w:szCs w:val="18"/>
          <w:i w:val="1"/>
          <w:iCs w:val="1"/>
          <w:color w:val="auto"/>
        </w:rPr>
        <w:t>Israeli Appendix</w:t>
      </w:r>
      <w:r>
        <w:rPr>
          <w:rFonts w:ascii="Times New Roman" w:cs="Times New Roman" w:eastAsia="Times New Roman" w:hAnsi="Times New Roman"/>
          <w:sz w:val="18"/>
          <w:szCs w:val="18"/>
          <w:color w:val="auto"/>
        </w:rPr>
        <w:t>. The administrator, in its discretion, may grant a right to purchase awards in compliance with Section 102 of the Ordinance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eligible employees who are, or are deemed to be, residents of the State of Israel for Israeli tax purposes.</w:t>
      </w:r>
    </w:p>
    <w:p>
      <w:pPr>
        <w:spacing w:after="0" w:line="15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Board Practices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Practices</w:t>
      </w:r>
    </w:p>
    <w:p>
      <w:pPr>
        <w:spacing w:after="0" w:line="243" w:lineRule="exact"/>
        <w:rPr>
          <w:sz w:val="20"/>
          <w:szCs w:val="20"/>
          <w:color w:val="auto"/>
        </w:rPr>
      </w:pPr>
    </w:p>
    <w:p>
      <w:pPr>
        <w:jc w:val="both"/>
        <w:ind w:firstLine="441"/>
        <w:spacing w:after="0" w:line="264" w:lineRule="auto"/>
        <w:rPr>
          <w:sz w:val="20"/>
          <w:szCs w:val="20"/>
          <w:color w:val="auto"/>
        </w:rPr>
      </w:pPr>
      <w:r>
        <w:rPr>
          <w:rFonts w:ascii="Times New Roman" w:cs="Times New Roman" w:eastAsia="Times New Roman" w:hAnsi="Times New Roman"/>
          <w:sz w:val="18"/>
          <w:szCs w:val="18"/>
          <w:color w:val="auto"/>
        </w:rPr>
        <w:t>As an Israeli company, we are subject to various corporate governance requirements under the Companies Law. However, pursuant to regulations promulgated under the Companies Law, companies with shares traded on certain U.S. stock exchanges, including Nasdaq, may, subject to certain conditions, “opt out” from the Companies Law requirements to appoint external directors and related Companies Law rules concerning the composition of the audit committee and compensation committee of the board of directors (other than the gender diversification rule under the Companies Law, which requires the appointment of a director from the other gender if at the time a director is appointed all members of the board of directors are of the same gender). In accordance with these regulations, we elected to “opt out” from those requirements of the Companies Law. Under these regulations, the exemptions from such Companies Law requirements will continue to be available to us so long as: (i) we do not have a “controlling shareholder” (as such term is defined under the Companies Law), (ii) our shares are traded on certain U.S. stock exchanges, including Nasdaq, and (iii) we comply with the director independence requirements and the audit committee and compensation committee composition requirements under U.S. laws (including applicable rules of Nasdaq) applicable to U.S. domestic issuers.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118" w:name="page119"/>
    <w:bookmarkEnd w:id="118"/>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We are a “foreign private issuer” (as such term is defined in Rule 3b-4 under the Exchange Act). As a foreign private issuer, we are permitted to comply with Israeli corporate governance practices instead of the corporate governance rules of Nasdaq, provided that we disclose which requirements we are not following and the equivalent Israeli requirement. As a foreign private issuer, we are exempt under the Exchange Act from, among other things, the rules prescribing the furnishing and content of proxy statements, and our officers, directors and principal shareholders are exempt from the reporting and short-swing profit recovery provisions contained in Section 16 of the Exchange Act. In addition, we are not be required under the Exchange Act to file periodic reports and financial statements with the SEC as frequently or as promptly as U.S. companies whose securities are registered under the Exchange Act. For more information regarding our corporate governance practices and foreign private issuer status, see Item 16G. “Corporate Governance.”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43" w:lineRule="exact"/>
        <w:rPr>
          <w:sz w:val="20"/>
          <w:szCs w:val="20"/>
          <w:color w:val="auto"/>
        </w:rPr>
      </w:pPr>
    </w:p>
    <w:p>
      <w:pPr>
        <w:jc w:val="both"/>
        <w:ind w:firstLine="441"/>
        <w:spacing w:after="0" w:line="269" w:lineRule="auto"/>
        <w:rPr>
          <w:sz w:val="20"/>
          <w:szCs w:val="20"/>
          <w:color w:val="auto"/>
        </w:rPr>
      </w:pPr>
      <w:r>
        <w:rPr>
          <w:rFonts w:ascii="Times New Roman" w:cs="Times New Roman" w:eastAsia="Times New Roman" w:hAnsi="Times New Roman"/>
          <w:sz w:val="18"/>
          <w:szCs w:val="18"/>
          <w:color w:val="auto"/>
        </w:rPr>
        <w:t>Under the Companies Law and our Articles of Association, our business and affairs are managed under the direction of our board of directors. Our board of directors may exercise all powers and may take all actions that are not specifically granted to our shareholders or to executive management. Our Chief Executive Officer (referred to as a “general manager” under the Companies Law) is responsible for our day-to-day management. Our Chief Executive Officer is appointed by, and serves at the discretion of, our board of directors, subject to the employment agreement that we have entered into with him. All other executive officers are appointed by the Chief Executive Officer, subject to applicable corporate approvals, and are subject to the terms of any applicable employment or consulting agreements that we may enter into with them.</w:t>
      </w:r>
    </w:p>
    <w:p>
      <w:pPr>
        <w:spacing w:after="0" w:line="188"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Under our Articles of Association, our board of directors must consist of not less than three but no more than ten directors divided into three classes, as nearly equal in number as practicable, with staggered three-year terms, provided, however, that in the event at any time our board of directors is comprised of nine or less members, the maximum number of members permitted under our Articles of Association shall not exceed nine. Each class of directors consists, as nearly as possible, of one-third of the total number of directors constituting the entire board of directors. At each annual general meeting of our shareholders, the election or re-election of directors following the expiration of the term of office of the directors of that class of directors will be for a term of office that expires on the third annual general meeting following such election or re-election, such that from the annual general meeting of 2022 and thereafter, each year the term of office of only one class of directors will expire.</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directors are divided among the three classes as follows:</w:t>
      </w:r>
    </w:p>
    <w:p>
      <w:pPr>
        <w:spacing w:after="0" w:line="239" w:lineRule="exact"/>
        <w:rPr>
          <w:sz w:val="20"/>
          <w:szCs w:val="20"/>
          <w:color w:val="auto"/>
        </w:rPr>
      </w:pPr>
    </w:p>
    <w:p>
      <w:pPr>
        <w:ind w:left="340" w:hanging="332"/>
        <w:spacing w:after="0" w:line="268" w:lineRule="auto"/>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are Roy Saar, Michael Risman, Menashe Ezra and Dan Adika, and their terms will expire at our annual general meeting of our shareholders to be held in 2025;</w:t>
      </w:r>
    </w:p>
    <w:p>
      <w:pPr>
        <w:spacing w:after="0" w:line="1" w:lineRule="exact"/>
        <w:rPr>
          <w:rFonts w:ascii="Times New Roman" w:cs="Times New Roman" w:eastAsia="Times New Roman" w:hAnsi="Times New Roman"/>
          <w:sz w:val="18"/>
          <w:szCs w:val="18"/>
          <w:color w:val="auto"/>
        </w:rPr>
      </w:pPr>
    </w:p>
    <w:p>
      <w:pPr>
        <w:ind w:left="340" w:hanging="332"/>
        <w:spacing w:after="0" w:line="258" w:lineRule="auto"/>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are Michele Bettencourt, Rafael Sweary and Rory O’Driscoll, and their terms will expire at our annual general meeting of our shareholders to be held in 2023; and</w:t>
      </w:r>
    </w:p>
    <w:p>
      <w:pPr>
        <w:ind w:left="340" w:hanging="332"/>
        <w:spacing w:after="0" w:line="276" w:lineRule="auto"/>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are Jeff Horing, Ron Gutler and Haleli Barath, and their terms will expire at our annual general meeting of our shareholders to be held in 2024.</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19" w:name="page120"/>
    <w:bookmarkEnd w:id="119"/>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Our directors are appointed by a simple majority vote of holders of our ordinary shares, participating and voting at an annual general meeting of our shareholders, provided that (i) in the event of a contested election, the method of calculation of the votes and the manner in which the resolutions will be presented to our shareholders at the general meeting will be determined by our board of directors in its discretion, and (ii) in the event that our board of directors does not or is unable to make a determination on such matter, then the directors will be elected by a plurality of the voting power represented at the general meeting in person or by proxy and voting on the election of directors.</w:t>
      </w:r>
    </w:p>
    <w:p>
      <w:pPr>
        <w:spacing w:after="0" w:line="203"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Each director will hold office until the annual general meeting of our shareholders for the year in which such director’s term expires, unless the tenure of such director expires earlier pursuant to the Companies Law or unless such director is removed from office as described below.</w:t>
      </w:r>
    </w:p>
    <w:p>
      <w:pPr>
        <w:spacing w:after="0" w:line="189"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Under our Articles of Association, the approval of the holders of at least 65% of the total voting power of our shareholders is generally required to remove any of our directors from office or any amendment to this provision shall require the approval of at least 65% of the total voting power of our shareholders to remove any of our directors from office. In addition, vacancies on our board of directors may only be filled by a vote of a simple majority of the directors then in office. A director so appointed will hold office until the next annual general meeting of our shareholders for the election of the class of directors in respect of which the vacancy was created, or in the case of a vacancy due to the number of directors being less than the maximum number of directors stated in our Articles of Association, the new director filling the vacancy will serve until the next annual general meeting of our shareholders for the election of the class of directors to which such director was assigned by our board of directors.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Chairperson of the Board</w:t>
      </w:r>
    </w:p>
    <w:p>
      <w:pPr>
        <w:spacing w:after="0" w:line="243" w:lineRule="exact"/>
        <w:rPr>
          <w:sz w:val="20"/>
          <w:szCs w:val="20"/>
          <w:color w:val="auto"/>
        </w:rPr>
      </w:pPr>
    </w:p>
    <w:p>
      <w:pPr>
        <w:jc w:val="both"/>
        <w:ind w:firstLine="441"/>
        <w:spacing w:after="0" w:line="270" w:lineRule="auto"/>
        <w:rPr>
          <w:sz w:val="20"/>
          <w:szCs w:val="20"/>
          <w:color w:val="auto"/>
        </w:rPr>
      </w:pPr>
      <w:r>
        <w:rPr>
          <w:rFonts w:ascii="Times New Roman" w:cs="Times New Roman" w:eastAsia="Times New Roman" w:hAnsi="Times New Roman"/>
          <w:sz w:val="18"/>
          <w:szCs w:val="18"/>
          <w:color w:val="auto"/>
        </w:rPr>
        <w:t>Our Articles of Association provide that the Chairperson of our board of directors is appointed by the members of our board of directors from among them. Under the Companies Law, the chief executive officer of a public company, or a relative of the chief executive officer, may not serve as the chairperson of the board of directors of such public company, and the chairperson of the board of directors of a public company, or a relative of the chairperson, may not be vested with authorities of the chief executive officer of such public company without shareholder approval consisting of a majority vote of the shares present and voting at a shareholders meeting, and in addition, either:</w:t>
      </w:r>
    </w:p>
    <w:p>
      <w:pPr>
        <w:spacing w:after="0" w:line="186" w:lineRule="exact"/>
        <w:rPr>
          <w:sz w:val="20"/>
          <w:szCs w:val="20"/>
          <w:color w:val="auto"/>
        </w:rPr>
      </w:pPr>
    </w:p>
    <w:p>
      <w:pPr>
        <w:ind w:left="340" w:hanging="332"/>
        <w:spacing w:after="0" w:line="268" w:lineRule="auto"/>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 majority of the shares of non-controlling shareholders and shareholders that do not have a personal interest in the approval voted at the meeting are voted in favor (disregarding abstentions); or</w:t>
      </w:r>
    </w:p>
    <w:p>
      <w:pPr>
        <w:spacing w:after="0" w:line="1" w:lineRule="exact"/>
        <w:rPr>
          <w:rFonts w:ascii="Times New Roman" w:cs="Times New Roman" w:eastAsia="Times New Roman" w:hAnsi="Times New Roman"/>
          <w:sz w:val="18"/>
          <w:szCs w:val="18"/>
          <w:color w:val="auto"/>
        </w:rPr>
      </w:pPr>
    </w:p>
    <w:p>
      <w:pPr>
        <w:ind w:left="340" w:hanging="332"/>
        <w:spacing w:after="0" w:line="276" w:lineRule="auto"/>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of non-controlling shareholders and shareholders who do not have a personal interest in such appointment that re voted against such appointment does not exceed two percent (2%) of the aggregate voting rights in the company.</w:t>
      </w:r>
    </w:p>
    <w:p>
      <w:pPr>
        <w:spacing w:after="0" w:line="181"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shareholders’ approval can be effective for a period of up to five years following an initial public offering, and subsequently, for additional periods of up to three years.</w:t>
      </w:r>
    </w:p>
    <w:p>
      <w:pPr>
        <w:spacing w:after="0" w:line="189"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In addition, a person who is subordinated, directly or indirectly, to the chief executive officer may not serve as the chairperson of the board of directors; the chairperson of the board of directors may not be vested with authorities that are granted to persons who are subordinated to the chief executive officer; and the chairperson of the board of directors may not serve in any other position in the company or in a controlled subsidiary, but may serve as a director or chairperson of a controlled subsidiary.</w:t>
      </w:r>
    </w:p>
    <w:p>
      <w:pPr>
        <w:spacing w:after="0" w:line="186" w:lineRule="exact"/>
        <w:rPr>
          <w:sz w:val="20"/>
          <w:szCs w:val="20"/>
          <w:color w:val="auto"/>
        </w:rPr>
      </w:pPr>
    </w:p>
    <w:p>
      <w:pPr>
        <w:jc w:val="both"/>
        <w:ind w:firstLine="441"/>
        <w:spacing w:after="0" w:line="297" w:lineRule="auto"/>
        <w:rPr>
          <w:sz w:val="20"/>
          <w:szCs w:val="20"/>
          <w:color w:val="auto"/>
        </w:rPr>
      </w:pPr>
      <w:r>
        <w:rPr>
          <w:rFonts w:ascii="Times New Roman" w:cs="Times New Roman" w:eastAsia="Times New Roman" w:hAnsi="Times New Roman"/>
          <w:sz w:val="18"/>
          <w:szCs w:val="18"/>
          <w:color w:val="auto"/>
        </w:rPr>
        <w:t>Our board of directors appointed Michele Bettencourt as chairperson of the board of directors effective December 31, 2022, replacing Dan Adika who, in addition to his role as Chief Executive Officer, served as chairperson of the board of directors from June 2021 until December 2022.</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i w:val="1"/>
          <w:iCs w:val="1"/>
          <w:color w:val="auto"/>
        </w:rPr>
        <w:t>External Directors</w:t>
      </w:r>
    </w:p>
    <w:p>
      <w:pPr>
        <w:spacing w:after="0" w:line="243"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Under the Companies Law, companies incorporated under the laws of the State of Israel that are “public companies,” including companies with shares listed on Nasdaq, are required to appoint at least two external directors. Pursuant to regulations promulgated under the Companies Law, companies with shares traded on certain U.S. stock exchanges, including Nasdaq, which do not have a “controlling shareholder,” may, subject to certain conditions, “opt out” from the Companies Law requirements to appoint external directors and related Companies Law rules concerning the composition of the audit committee and compensation committee of the board of directors. In accordance with these regulations, we have elected to “opt out” from the Companies Law requirement to appoint external directors and related Companies Law rules concerning the composition of the audit committee and compensation committee of our board of directors.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Rights</w:t>
      </w:r>
    </w:p>
    <w:p>
      <w:pPr>
        <w:spacing w:after="0" w:line="2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Pursuant to our articles of association in effect prior to the IPO, certain of our shareholders had rights to appoint members of our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rights to appoint directors terminated upon the closing of the IPO. Our currently serving directors were appointed as follows:</w:t>
      </w:r>
    </w:p>
    <w:p>
      <w:pPr>
        <w:spacing w:after="0" w:line="234" w:lineRule="exact"/>
        <w:rPr>
          <w:sz w:val="20"/>
          <w:szCs w:val="20"/>
          <w:color w:val="auto"/>
        </w:rPr>
      </w:pPr>
    </w:p>
    <w:p>
      <w:pPr>
        <w:ind w:left="340" w:hanging="332"/>
        <w:spacing w:after="0"/>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Dan Adika was appointed by a majority vote based on the number of shares held by Mr. Eyal Cohen, Brooks S.M. Projects Ltd. and Mr. Dan Adika;</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Haleli Barath was appointed by resolution of our board of directors;</w:t>
      </w:r>
    </w:p>
    <w:p>
      <w:pPr>
        <w:spacing w:after="0" w:line="2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Michele Bettencourt was appointed by resolution of our board of directors;</w:t>
      </w:r>
    </w:p>
    <w:p>
      <w:pPr>
        <w:spacing w:after="0" w:line="2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Menashe Ezra was appointed by Gemini Israel V, L.P. and Gemini Partners Investors V, L.P;</w:t>
      </w:r>
    </w:p>
    <w:p>
      <w:pPr>
        <w:spacing w:after="0" w:line="2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Ron Gutler was appointed by unanimous consent of our board of directors;</w:t>
      </w:r>
    </w:p>
    <w:p>
      <w:pPr>
        <w:spacing w:after="0" w:line="22" w:lineRule="exact"/>
        <w:rPr>
          <w:rFonts w:ascii="Times New Roman" w:cs="Times New Roman" w:eastAsia="Times New Roman" w:hAnsi="Times New Roman"/>
          <w:sz w:val="18"/>
          <w:szCs w:val="18"/>
          <w:color w:val="auto"/>
        </w:rPr>
      </w:pPr>
    </w:p>
    <w:p>
      <w:pPr>
        <w:ind w:left="340" w:hanging="332"/>
        <w:spacing w:after="0" w:line="258"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Jeff Horing was appointed by Insight Venture Partners IX, L.P., Insight Venture Partners (Cayman) IX, L.P., Insight Venture Partners IX (Co-Investors), L.P. and Insight Venture Partners (Delaware) IX, L.P.;</w:t>
      </w:r>
    </w:p>
    <w:p>
      <w:pPr>
        <w:ind w:left="340" w:hanging="332"/>
        <w:spacing w:after="0"/>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Rory O’Driscoll was appointed by Scale Venture Partners IV, L.P.;</w:t>
      </w:r>
    </w:p>
    <w:p>
      <w:pPr>
        <w:spacing w:after="0" w:line="2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Risman was appointed by Vitruvian Directors I Limited on behalf of Ambleside S.a.r.l;</w:t>
      </w:r>
    </w:p>
    <w:p>
      <w:pPr>
        <w:spacing w:after="0" w:line="2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 Saar was appointed by Mangrove III Investments S.a.r.l.; and</w:t>
      </w:r>
    </w:p>
    <w:p>
      <w:pPr>
        <w:spacing w:after="0" w:line="22" w:lineRule="exact"/>
        <w:rPr>
          <w:rFonts w:ascii="Times New Roman" w:cs="Times New Roman" w:eastAsia="Times New Roman" w:hAnsi="Times New Roman"/>
          <w:sz w:val="18"/>
          <w:szCs w:val="18"/>
          <w:color w:val="auto"/>
        </w:rPr>
      </w:pPr>
    </w:p>
    <w:p>
      <w:pPr>
        <w:ind w:left="340" w:right="20" w:hanging="332"/>
        <w:spacing w:after="0" w:line="276"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Rafael Sweary was appointed by a majority vote based on the number of shares held by Mr. Eyal Cohen, Brooks S.M. Projects Ltd. and Mr. Dan Adika.</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our Board of Directors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Companies Law Requirements</w:t>
      </w:r>
    </w:p>
    <w:p>
      <w:pPr>
        <w:spacing w:after="0" w:line="241" w:lineRule="exact"/>
        <w:rPr>
          <w:sz w:val="20"/>
          <w:szCs w:val="20"/>
          <w:color w:val="auto"/>
        </w:rPr>
      </w:pPr>
    </w:p>
    <w:p>
      <w:pPr>
        <w:ind w:firstLine="441"/>
        <w:spacing w:after="0" w:line="297" w:lineRule="auto"/>
        <w:rPr>
          <w:sz w:val="20"/>
          <w:szCs w:val="20"/>
          <w:color w:val="auto"/>
        </w:rPr>
      </w:pPr>
      <w:r>
        <w:rPr>
          <w:rFonts w:ascii="Times New Roman" w:cs="Times New Roman" w:eastAsia="Times New Roman" w:hAnsi="Times New Roman"/>
          <w:sz w:val="18"/>
          <w:szCs w:val="18"/>
          <w:color w:val="auto"/>
        </w:rPr>
        <w:t>Under the Companies Law, the board of directors of a public company must appoint an audit committee. The audit committee must be comprised of at least three directors.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Listing Requirements</w:t>
      </w:r>
    </w:p>
    <w:p>
      <w:pPr>
        <w:spacing w:after="0" w:line="241" w:lineRule="exact"/>
        <w:rPr>
          <w:sz w:val="20"/>
          <w:szCs w:val="20"/>
          <w:color w:val="auto"/>
        </w:rPr>
      </w:pPr>
    </w:p>
    <w:p>
      <w:pPr>
        <w:ind w:right="20" w:firstLine="441"/>
        <w:spacing w:after="0" w:line="297" w:lineRule="auto"/>
        <w:rPr>
          <w:sz w:val="20"/>
          <w:szCs w:val="20"/>
          <w:color w:val="auto"/>
        </w:rPr>
      </w:pPr>
      <w:r>
        <w:rPr>
          <w:rFonts w:ascii="Times New Roman" w:cs="Times New Roman" w:eastAsia="Times New Roman" w:hAnsi="Times New Roman"/>
          <w:sz w:val="18"/>
          <w:szCs w:val="18"/>
          <w:color w:val="auto"/>
        </w:rPr>
        <w:t>Under Nasdaq corporate governance rules, we are required to maintain an audit committee consisting of at least three independent directors, each of whom is financially literate and one of whom has accounting or related financial management expertise.</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21" w:name="page122"/>
    <w:bookmarkEnd w:id="121"/>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Our audit committee consists of Ron Gutler, Michele Bettencourt and Roy Saar. Ron Gutler serves as the chairperson of the audit committee. All members of our audit committee meet the requirements for financial literacy under the applicable rules and regulations of the SEC and Nasdaq corporate governance rules. Our board of directors has determined that each of Ron Gutler, Michele Bettencourt and Roy Saar is an audit committee financial expert as defined by the SEC rules and has the requisite financial experience as defined by Nasdaq corporate governance rules.</w:t>
      </w:r>
    </w:p>
    <w:p>
      <w:pPr>
        <w:spacing w:after="0" w:line="186" w:lineRule="exact"/>
        <w:rPr>
          <w:sz w:val="20"/>
          <w:szCs w:val="20"/>
          <w:color w:val="auto"/>
        </w:rPr>
      </w:pPr>
    </w:p>
    <w:p>
      <w:pPr>
        <w:jc w:val="both"/>
        <w:ind w:right="20" w:firstLine="441"/>
        <w:spacing w:after="0" w:line="274" w:lineRule="auto"/>
        <w:rPr>
          <w:sz w:val="20"/>
          <w:szCs w:val="20"/>
          <w:color w:val="auto"/>
        </w:rPr>
      </w:pPr>
      <w:r>
        <w:rPr>
          <w:rFonts w:ascii="Times New Roman" w:cs="Times New Roman" w:eastAsia="Times New Roman" w:hAnsi="Times New Roman"/>
          <w:sz w:val="18"/>
          <w:szCs w:val="18"/>
          <w:color w:val="auto"/>
        </w:rPr>
        <w:t>Our board of directors has determined that each member of our audit committee is “independent” as such term is defined under the Nasdaq corporate governance rules and under Rule 10A-3(b)(1) under the Exchange Act, which is different from the general test for independence of board and committee members.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 Role</w:t>
      </w:r>
    </w:p>
    <w:p>
      <w:pPr>
        <w:spacing w:after="0" w:line="241" w:lineRule="exact"/>
        <w:rPr>
          <w:sz w:val="20"/>
          <w:szCs w:val="20"/>
          <w:color w:val="auto"/>
        </w:rPr>
      </w:pPr>
    </w:p>
    <w:p>
      <w:pPr>
        <w:jc w:val="both"/>
        <w:ind w:firstLine="441"/>
        <w:spacing w:after="0" w:line="297" w:lineRule="auto"/>
        <w:rPr>
          <w:sz w:val="20"/>
          <w:szCs w:val="20"/>
          <w:color w:val="auto"/>
        </w:rPr>
      </w:pPr>
      <w:r>
        <w:rPr>
          <w:rFonts w:ascii="Times New Roman" w:cs="Times New Roman" w:eastAsia="Times New Roman" w:hAnsi="Times New Roman"/>
          <w:sz w:val="18"/>
          <w:szCs w:val="18"/>
          <w:color w:val="auto"/>
        </w:rPr>
        <w:t>Our board of directors has adopted an audit committee charter setting forth the responsibilities of the audit committee consistent with the Companies Law, the SEC rules and Nasdaq corporate governance rules, which include:</w:t>
      </w:r>
    </w:p>
    <w:p>
      <w:pPr>
        <w:spacing w:after="0" w:line="163" w:lineRule="exact"/>
        <w:rPr>
          <w:sz w:val="20"/>
          <w:szCs w:val="20"/>
          <w:color w:val="auto"/>
        </w:rPr>
      </w:pPr>
    </w:p>
    <w:p>
      <w:pPr>
        <w:ind w:left="340" w:right="20" w:hanging="332"/>
        <w:spacing w:after="0" w:line="268"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and terminating our independent auditors, subject to ratification by our board of directors, and in the case of retention, to ratification by the shareholders;</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audit and non-audit services to be provided by the independent auditors and related fees and terms;</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60"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accounting and financial reporting processes of our Company and audits of our financial statements, the effectiveness of our internal control over financial reporting and making such reports as may be required of an audit committee under the rules and regulations promulgated under the Exchange Act;</w:t>
      </w:r>
    </w:p>
    <w:p>
      <w:pPr>
        <w:spacing w:after="0" w:line="2" w:lineRule="exact"/>
        <w:rPr>
          <w:rFonts w:ascii="Times New Roman" w:cs="Times New Roman" w:eastAsia="Times New Roman" w:hAnsi="Times New Roman"/>
          <w:sz w:val="18"/>
          <w:szCs w:val="18"/>
          <w:color w:val="auto"/>
        </w:rPr>
      </w:pPr>
    </w:p>
    <w:p>
      <w:pPr>
        <w:ind w:left="340" w:hanging="332"/>
        <w:spacing w:after="0" w:line="266"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our independent auditor our annual and quarterly financial statements prior to publication or filing (or submission, as the case may be) to the SEC;</w:t>
      </w:r>
    </w:p>
    <w:p>
      <w:pPr>
        <w:ind w:left="340" w:right="20" w:hanging="332"/>
        <w:spacing w:after="0" w:line="258"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of directors the retention and termination of the internal auditor, and the internal auditor’s engagement fees and terms, in accordance with the Companies Law as well as approving the yearly or periodic work plan proposed by the internal auditor;</w:t>
      </w:r>
    </w:p>
    <w:p>
      <w:pPr>
        <w:jc w:val="both"/>
        <w:ind w:left="340" w:hanging="332"/>
        <w:spacing w:after="0" w:line="255"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policies and procedures with respect to transactions (other than transactions related to the compensation or terms of services) between us and our officers and directors, or affiliates of our officers or directors, or transactions that are not in the ordinary course of our business and deciding whether to approve such acts and transactions if so required under the Companies Law; and</w:t>
      </w:r>
    </w:p>
    <w:p>
      <w:pPr>
        <w:spacing w:after="0" w:line="1" w:lineRule="exact"/>
        <w:rPr>
          <w:rFonts w:ascii="Times New Roman" w:cs="Times New Roman" w:eastAsia="Times New Roman" w:hAnsi="Times New Roman"/>
          <w:sz w:val="18"/>
          <w:szCs w:val="18"/>
          <w:color w:val="auto"/>
        </w:rPr>
      </w:pPr>
    </w:p>
    <w:p>
      <w:pPr>
        <w:ind w:left="340" w:hanging="332"/>
        <w:spacing w:after="0" w:line="292"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handling of employees’ complaints as to the management of our business and the protection to be provided to such employees.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Companies Law Requirements</w:t>
      </w:r>
    </w:p>
    <w:p>
      <w:pPr>
        <w:spacing w:after="0" w:line="241" w:lineRule="exact"/>
        <w:rPr>
          <w:sz w:val="20"/>
          <w:szCs w:val="20"/>
          <w:color w:val="auto"/>
        </w:rPr>
      </w:pPr>
    </w:p>
    <w:p>
      <w:pPr>
        <w:ind w:firstLine="441"/>
        <w:spacing w:after="0" w:line="297" w:lineRule="auto"/>
        <w:rPr>
          <w:sz w:val="20"/>
          <w:szCs w:val="20"/>
          <w:color w:val="auto"/>
        </w:rPr>
      </w:pPr>
      <w:r>
        <w:rPr>
          <w:rFonts w:ascii="Times New Roman" w:cs="Times New Roman" w:eastAsia="Times New Roman" w:hAnsi="Times New Roman"/>
          <w:sz w:val="18"/>
          <w:szCs w:val="18"/>
          <w:color w:val="auto"/>
        </w:rPr>
        <w:t>Under the Companies Law, the board of directors of a public company must appoint a compensation committee, which must be comprised of at least three directors.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Listing Requirements</w:t>
      </w:r>
    </w:p>
    <w:p>
      <w:pPr>
        <w:spacing w:after="0" w:line="241" w:lineRule="exact"/>
        <w:rPr>
          <w:sz w:val="20"/>
          <w:szCs w:val="20"/>
          <w:color w:val="auto"/>
        </w:rPr>
      </w:pPr>
    </w:p>
    <w:p>
      <w:pPr>
        <w:ind w:right="20" w:firstLine="441"/>
        <w:spacing w:after="0" w:line="297" w:lineRule="auto"/>
        <w:rPr>
          <w:sz w:val="20"/>
          <w:szCs w:val="20"/>
          <w:color w:val="auto"/>
        </w:rPr>
      </w:pPr>
      <w:r>
        <w:rPr>
          <w:rFonts w:ascii="Times New Roman" w:cs="Times New Roman" w:eastAsia="Times New Roman" w:hAnsi="Times New Roman"/>
          <w:sz w:val="18"/>
          <w:szCs w:val="18"/>
          <w:color w:val="auto"/>
        </w:rPr>
        <w:t>Under the Nasdaq corporate governance rules, we are required to maintain a compensation committee consisting of at least two independent directors.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22" w:name="page123"/>
    <w:bookmarkEnd w:id="122"/>
    <w:p>
      <w:pPr>
        <w:jc w:val="both"/>
        <w:ind w:firstLine="441"/>
        <w:spacing w:after="0" w:line="274" w:lineRule="auto"/>
        <w:rPr>
          <w:sz w:val="20"/>
          <w:szCs w:val="20"/>
          <w:color w:val="auto"/>
        </w:rPr>
      </w:pPr>
      <w:r>
        <w:rPr>
          <w:rFonts w:ascii="Times New Roman" w:cs="Times New Roman" w:eastAsia="Times New Roman" w:hAnsi="Times New Roman"/>
          <w:sz w:val="18"/>
          <w:szCs w:val="18"/>
          <w:color w:val="auto"/>
        </w:rPr>
        <w:t>Our compensation committee consists of Rory O’Driscoll, Ron Gutler and Roy Saar. Rory O’Driscoll serves as chairperson of the compensation committee. Our board of directors has determined that each member of our compensation committee is independent under Nasdaq corporate governance rules, including the additional independence requirements applicable to the members of a compensation committee.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 Role</w:t>
      </w:r>
    </w:p>
    <w:p>
      <w:pPr>
        <w:spacing w:after="0" w:line="2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accordance with the Companies Law, the roles of the compensation committee are, among others, as follows:</w:t>
      </w:r>
    </w:p>
    <w:p>
      <w:pPr>
        <w:spacing w:after="0" w:line="239" w:lineRule="exact"/>
        <w:rPr>
          <w:sz w:val="20"/>
          <w:szCs w:val="20"/>
          <w:color w:val="auto"/>
        </w:rPr>
      </w:pPr>
    </w:p>
    <w:p>
      <w:pPr>
        <w:ind w:left="340" w:hanging="332"/>
        <w:spacing w:after="0" w:line="268" w:lineRule="auto"/>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our board of directors with respect to the approval of the compensation policy for office holders and, once every three years, regarding any extensions to a compensation policy that was adopted for a period of more than three years;</w:t>
      </w:r>
    </w:p>
    <w:p>
      <w:pPr>
        <w:spacing w:after="0" w:line="1" w:lineRule="exact"/>
        <w:rPr>
          <w:rFonts w:ascii="Times New Roman" w:cs="Times New Roman" w:eastAsia="Times New Roman" w:hAnsi="Times New Roman"/>
          <w:sz w:val="18"/>
          <w:szCs w:val="18"/>
          <w:color w:val="auto"/>
        </w:rPr>
      </w:pPr>
    </w:p>
    <w:p>
      <w:pPr>
        <w:ind w:left="340" w:right="20" w:hanging="332"/>
        <w:spacing w:after="0" w:line="258" w:lineRule="auto"/>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implementation of the compensation policy and periodically making recommendations to our board of directors with respect to any amendments or updates of the compensation policy;</w:t>
      </w:r>
    </w:p>
    <w:p>
      <w:pPr>
        <w:ind w:left="340" w:hanging="332"/>
        <w:spacing w:after="0"/>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resolving whether or not to approve arrangements with respect to the terms of office and employment of office holders; and</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exempting, under certain circumstances, a transaction with our Chief Executive Officer from the approval of our shareholders.</w:t>
      </w:r>
    </w:p>
    <w:p>
      <w:pPr>
        <w:spacing w:after="0" w:line="247"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An “office holder” is defined in the Companies Law as a general manager, chief business manager, deputy general manager, vice general manager, any other person assuming the responsibilities of any of these positions regardless of such person’s title, a director and any other manager directly subordinate to the general manager. Certain of the persons listed in the table under the section titled “Management-Executive Officers and Directors” are office holders under the Companies Law.</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board of directors has adopted a compensation committee charter setting forth the responsibilities of the committee, which are consistent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Nasdaq corporate governance rules and the Companies Law, and include among others:</w:t>
      </w:r>
    </w:p>
    <w:p>
      <w:pPr>
        <w:spacing w:after="0" w:line="234" w:lineRule="exact"/>
        <w:rPr>
          <w:sz w:val="20"/>
          <w:szCs w:val="20"/>
          <w:color w:val="auto"/>
        </w:rPr>
      </w:pPr>
    </w:p>
    <w:p>
      <w:pPr>
        <w:jc w:val="both"/>
        <w:ind w:left="340" w:hanging="332"/>
        <w:spacing w:after="0" w:line="263"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of directors for its approval a compensation policy in accordance with the requirements of the Companies Law as well as other compensation policies, incentive-based compensation plans and equity-based compensation plans, and overseeing the development and implementation of such policies and recommending to our board of directors any amendments or modifications the committee deems appropriate, including as required under the Companies Law;</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60"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granting of options and other incentive awards to our Chief Executive Officer and other executive officers, including reviewing and approving corporate goals and objectives relevant to the compensation of our Chief Executive Officer and other executive officers, including evaluating their performance in light of such goals and objectives;</w:t>
      </w:r>
    </w:p>
    <w:p>
      <w:pPr>
        <w:spacing w:after="0" w:line="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Board regarding director compensation;</w:t>
      </w:r>
    </w:p>
    <w:p>
      <w:pPr>
        <w:spacing w:after="0" w:line="2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and exempting certain transactions regarding office holders’ compensation pursuant to the Companies Law; and</w:t>
      </w:r>
    </w:p>
    <w:p>
      <w:pPr>
        <w:spacing w:after="0" w:line="22" w:lineRule="exact"/>
        <w:rPr>
          <w:rFonts w:ascii="Times New Roman" w:cs="Times New Roman" w:eastAsia="Times New Roman" w:hAnsi="Times New Roman"/>
          <w:sz w:val="18"/>
          <w:szCs w:val="18"/>
          <w:color w:val="auto"/>
        </w:rPr>
      </w:pPr>
    </w:p>
    <w:p>
      <w:pPr>
        <w:jc w:val="both"/>
        <w:ind w:left="340" w:hanging="332"/>
        <w:spacing w:after="0" w:line="271"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equity-based compensation plans, including without limitation, approving the adoption of such plans, amending and interpreting such plans and the awards and agreements issued pursuant thereto, and making awards to eligible persons under the plans and determining the terms of such awards.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i w:val="1"/>
          <w:iCs w:val="1"/>
          <w:color w:val="auto"/>
        </w:rPr>
        <w:t>Compensation Policy under the Companies Law</w:t>
      </w:r>
    </w:p>
    <w:p>
      <w:pPr>
        <w:spacing w:after="0" w:line="241"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In general, under the Companies Law, a public company must have a compensation policy approved by the board of directors after receiving and considering the recommendations of the compensation committee. In addition, our compensation policy must be approved at least once every three years, first, by our board of directors, upon the recommendation of our compensation committee, and second, by a simple majority of the ordinary shares present, in person or by proxy, and voting (excluding abstentions) at a general meeting of shareholders, provided that either:</w:t>
      </w:r>
    </w:p>
    <w:p>
      <w:pPr>
        <w:spacing w:after="0" w:line="186" w:lineRule="exact"/>
        <w:rPr>
          <w:sz w:val="20"/>
          <w:szCs w:val="20"/>
          <w:color w:val="auto"/>
        </w:rPr>
      </w:pPr>
    </w:p>
    <w:p>
      <w:pPr>
        <w:ind w:left="340" w:hanging="332"/>
        <w:spacing w:after="0" w:line="268"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majority includes at least a majority of the shares held by shareholders who are not controlling shareholders and shareholders who do not have a personal interest in such compensation policy; or</w:t>
      </w:r>
    </w:p>
    <w:p>
      <w:pPr>
        <w:spacing w:after="0" w:line="1" w:lineRule="exact"/>
        <w:rPr>
          <w:rFonts w:ascii="Times New Roman" w:cs="Times New Roman" w:eastAsia="Times New Roman" w:hAnsi="Times New Roman"/>
          <w:sz w:val="18"/>
          <w:szCs w:val="18"/>
          <w:color w:val="auto"/>
        </w:rPr>
      </w:pPr>
    </w:p>
    <w:p>
      <w:pPr>
        <w:ind w:left="340" w:hanging="332"/>
        <w:spacing w:after="0" w:line="276"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of non-controlling shareholders and shareholders who do not have a personal interest in the compensation policy and who vote against the policy does not exceed two percent (2%) of the aggregate voting rights in the Company.</w:t>
      </w:r>
    </w:p>
    <w:p>
      <w:pPr>
        <w:spacing w:after="0" w:line="181" w:lineRule="exact"/>
        <w:rPr>
          <w:sz w:val="20"/>
          <w:szCs w:val="20"/>
          <w:color w:val="auto"/>
        </w:rPr>
      </w:pPr>
    </w:p>
    <w:p>
      <w:pPr>
        <w:jc w:val="both"/>
        <w:ind w:firstLine="441"/>
        <w:spacing w:after="0" w:line="274" w:lineRule="auto"/>
        <w:rPr>
          <w:sz w:val="20"/>
          <w:szCs w:val="20"/>
          <w:color w:val="auto"/>
        </w:rPr>
      </w:pPr>
      <w:r>
        <w:rPr>
          <w:rFonts w:ascii="Times New Roman" w:cs="Times New Roman" w:eastAsia="Times New Roman" w:hAnsi="Times New Roman"/>
          <w:sz w:val="18"/>
          <w:szCs w:val="18"/>
          <w:color w:val="auto"/>
        </w:rPr>
        <w:t>Under special circumstances, the board of directors may approve the compensation policy despite the objection of the shareholders on the condition that the compensation committee and then the board of directors decide, on the basis of detailed grounds and after discussing again the compensation policy, that approval of the compensation policy, despite the objection of shareholders, is for the benefit of the company.</w:t>
      </w:r>
    </w:p>
    <w:p>
      <w:pPr>
        <w:spacing w:after="0" w:line="196"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If a company that initially offers its securities to the public, like us, adopts a compensation policy in advance of its initial public offering, and describes it in its prospectus for such offering, then such compensation policy shall be deemed a validly adopted policy in accordance with the Companies Law requirements described above. Furthermore, if the compensation policy is established in accordance with the aforementioned relief, then it will remain in effect for a term of five years from the date such company becomes a public company.</w:t>
      </w:r>
    </w:p>
    <w:p>
      <w:pPr>
        <w:spacing w:after="0" w:line="186" w:lineRule="exact"/>
        <w:rPr>
          <w:sz w:val="20"/>
          <w:szCs w:val="20"/>
          <w:color w:val="auto"/>
        </w:rPr>
      </w:pPr>
    </w:p>
    <w:p>
      <w:pPr>
        <w:jc w:val="both"/>
        <w:ind w:firstLine="441"/>
        <w:spacing w:after="0" w:line="263" w:lineRule="auto"/>
        <w:rPr>
          <w:sz w:val="20"/>
          <w:szCs w:val="20"/>
          <w:color w:val="auto"/>
        </w:rPr>
      </w:pPr>
      <w:r>
        <w:rPr>
          <w:rFonts w:ascii="Times New Roman" w:cs="Times New Roman" w:eastAsia="Times New Roman" w:hAnsi="Times New Roman"/>
          <w:sz w:val="18"/>
          <w:szCs w:val="18"/>
          <w:color w:val="auto"/>
        </w:rPr>
        <w:t>The compensation policy must be based on certain considerations, include certain provisions and reference certain matters as set forth in the Companies Law. The compensation policy must serve as the basis for decisions concerning the financial terms of employment or engagement of office holders, including exculpation, insurance, indemnification or any monetary payment or obligation of payment in respect of employment or engagement. The compensation policy must be determined and later reevaluated according to certain factors, including: the advancement of the company’s objectives, business plan and long-term strategy; the creation of appropriate incentives for office holders, while considering, among other things, the company’s risk management policy; the size and the nature of the company’s operations; and with respect to variable compensation, the contribution of the office holder towards the achievement of the company’s long-term goals and the maximization of its profits, all with a long-term objective and according to the position of the office holder. The compensation policy must furthermore consider the following additional factors:</w:t>
      </w:r>
    </w:p>
    <w:p>
      <w:pPr>
        <w:spacing w:after="0" w:line="210" w:lineRule="exact"/>
        <w:rPr>
          <w:sz w:val="20"/>
          <w:szCs w:val="20"/>
          <w:color w:val="auto"/>
        </w:rPr>
      </w:pPr>
    </w:p>
    <w:p>
      <w:pPr>
        <w:ind w:left="340" w:hanging="332"/>
        <w:spacing w:after="0"/>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education, skills, experience, expertise and accomplishments of the relevant office holder;</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 holder’s position and responsibilities;</w:t>
      </w:r>
    </w:p>
    <w:p>
      <w:pPr>
        <w:spacing w:after="0" w:line="2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compensation agreements with the office holder;</w:t>
      </w:r>
    </w:p>
    <w:p>
      <w:pPr>
        <w:spacing w:after="0" w:line="22" w:lineRule="exact"/>
        <w:rPr>
          <w:rFonts w:ascii="Times New Roman" w:cs="Times New Roman" w:eastAsia="Times New Roman" w:hAnsi="Times New Roman"/>
          <w:sz w:val="18"/>
          <w:szCs w:val="18"/>
          <w:color w:val="auto"/>
        </w:rPr>
      </w:pPr>
    </w:p>
    <w:p>
      <w:pPr>
        <w:jc w:val="both"/>
        <w:ind w:left="340" w:hanging="332"/>
        <w:spacing w:after="0" w:line="260"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between the cost of the terms of employment of an office holder and the cost of the employment of other employees of the company, including employees employed through contractors who provide services to the company, in particular the ratio between such cost to the average and median salary of such employees of the company, as well as the impact of disparities between them on the work relationships in the company;</w:t>
      </w:r>
    </w:p>
    <w:p>
      <w:pPr>
        <w:spacing w:after="0" w:line="2" w:lineRule="exact"/>
        <w:rPr>
          <w:rFonts w:ascii="Times New Roman" w:cs="Times New Roman" w:eastAsia="Times New Roman" w:hAnsi="Times New Roman"/>
          <w:sz w:val="18"/>
          <w:szCs w:val="18"/>
          <w:color w:val="auto"/>
        </w:rPr>
      </w:pPr>
    </w:p>
    <w:p>
      <w:pPr>
        <w:ind w:left="340" w:hanging="332"/>
        <w:spacing w:after="0" w:line="258"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terms of employment include variable components - the possibility of reducing variable components at the discretion of the board of directors and the possibility of setting a limit on the value of non-cash variable equity-based components; and</w:t>
      </w:r>
    </w:p>
    <w:p>
      <w:pPr>
        <w:jc w:val="both"/>
        <w:ind w:left="340" w:hanging="332"/>
        <w:spacing w:after="0" w:line="271"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terms of employment include severance compensation - the term of employment or office of the office holder, the terms of the office holder’s compensation during such period, the company’s performance during such period, the office holder’s individual contribution to the achievement of the company goals and the maximization of its profits and the circumstances under which he or she is leaving the company.</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124" w:name="page125"/>
    <w:bookmarkEnd w:id="124"/>
    <w:p>
      <w:pPr>
        <w:ind w:left="440"/>
        <w:spacing w:after="0"/>
        <w:rPr>
          <w:sz w:val="20"/>
          <w:szCs w:val="20"/>
          <w:color w:val="auto"/>
        </w:rPr>
      </w:pPr>
      <w:r>
        <w:rPr>
          <w:rFonts w:ascii="Times New Roman" w:cs="Times New Roman" w:eastAsia="Times New Roman" w:hAnsi="Times New Roman"/>
          <w:sz w:val="18"/>
          <w:szCs w:val="18"/>
          <w:color w:val="auto"/>
        </w:rPr>
        <w:t>The compensation policy must also include, among other things:</w:t>
      </w:r>
    </w:p>
    <w:p>
      <w:pPr>
        <w:spacing w:after="0" w:line="239" w:lineRule="exact"/>
        <w:rPr>
          <w:sz w:val="20"/>
          <w:szCs w:val="20"/>
          <w:color w:val="auto"/>
        </w:rPr>
      </w:pPr>
    </w:p>
    <w:p>
      <w:pPr>
        <w:ind w:left="340" w:hanging="332"/>
        <w:spacing w:after="0"/>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regards to variable components:</w:t>
      </w:r>
    </w:p>
    <w:p>
      <w:pPr>
        <w:spacing w:after="0" w:line="27"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exception of office holders who report to the chief executive officer, a means of determining the variable components on the basis of long-term performance and measurable criteria; provided that the company may determine that an immaterial part of the variable components of the compensation package of an office holder shall be awarded based on non-measurable criteria, or if such amount is not higher than three months’ salary per annum, taking into account such office holder’s contribution to the company; and</w:t>
      </w:r>
    </w:p>
    <w:p>
      <w:pPr>
        <w:ind w:left="340" w:hanging="332"/>
        <w:spacing w:after="0" w:line="266"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between variable and fixed components, as well as the limit of the values of variable components at the time of their payment, or in the case of equity-based compensation, at the time of grant;</w:t>
      </w:r>
    </w:p>
    <w:p>
      <w:pPr>
        <w:jc w:val="both"/>
        <w:ind w:left="340" w:hanging="332"/>
        <w:spacing w:after="0" w:line="255"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condition under which the office holder will return to the company, according to conditions to be set forth in the compensation policy, any amounts paid as part of the office holder’s terms of employment, if such amounts were paid based on information later to be discovered to be wrong, and such information was restated in the company’s financial statements;</w:t>
      </w:r>
    </w:p>
    <w:p>
      <w:pPr>
        <w:spacing w:after="0" w:line="1" w:lineRule="exact"/>
        <w:rPr>
          <w:rFonts w:ascii="Times New Roman" w:cs="Times New Roman" w:eastAsia="Times New Roman" w:hAnsi="Times New Roman"/>
          <w:sz w:val="18"/>
          <w:szCs w:val="18"/>
          <w:color w:val="auto"/>
        </w:rPr>
      </w:pPr>
    </w:p>
    <w:p>
      <w:pPr>
        <w:ind w:left="340" w:hanging="332"/>
        <w:spacing w:after="0" w:line="266"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holding or vesting period of variable equity-based components to be set in the terms of office or employment, as applicable, while taking into consideration long-term incentives; and</w:t>
      </w:r>
    </w:p>
    <w:p>
      <w:pPr>
        <w:ind w:left="340" w:hanging="332"/>
        <w:spacing w:after="0"/>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 to retirement grants.</w:t>
      </w:r>
    </w:p>
    <w:p>
      <w:pPr>
        <w:spacing w:after="0" w:line="234"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Our compensation policy is designed to promote retention and motivation of directors and executive officers, incentivize superior individual excellence, align the interests of our directors and executive officers with our long-term performance and provide a risk management tool. To that end, a portion of our executive officer compensation package is targeted to reflect our short and long-term goals, as well as the executive officer’s individual performance. On the other hand, our compensation policy includes measures designed to reduce the executive officer’s incentives to take excessive risks that may harm us in the long-term, such as limits on the value of cash bonuses and equity-based compensation, limitations on the ratio between the variable and the total compensation of an executive officer and minimum vesting periods and performance based vesting for equity-based compensation.</w:t>
      </w:r>
    </w:p>
    <w:p>
      <w:pPr>
        <w:spacing w:after="0" w:line="190"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Our compensation policy also addresses our executive officers’ individual characteristics (such as their respective position, education, scope of responsibilities and contribution to the attainment of our goals) as the basis for compensation variation among our executive officers and considers the internal ratios between compensation of our executive officers and directors and other employees. Pursuant to our compensation policy, the compensation that may be granted to an executive officer may include: base salary, annual bonuses and other cash bonuses (such as a signing bonus and special bonuses with respect to any special achievements, such as outstanding personal achievement, outstanding personal effort or outstanding company performance), equity-based compensation, benefits and retirement and termination of service arrangements. All cash bonuses are limited to a maximum amount linked to the executive officer’s base salary.</w:t>
      </w:r>
    </w:p>
    <w:p>
      <w:pPr>
        <w:spacing w:after="0" w:line="190" w:lineRule="exact"/>
        <w:rPr>
          <w:sz w:val="20"/>
          <w:szCs w:val="20"/>
          <w:color w:val="auto"/>
        </w:rPr>
      </w:pPr>
    </w:p>
    <w:p>
      <w:pPr>
        <w:jc w:val="both"/>
        <w:ind w:firstLine="441"/>
        <w:spacing w:after="0" w:line="270" w:lineRule="auto"/>
        <w:rPr>
          <w:sz w:val="20"/>
          <w:szCs w:val="20"/>
          <w:color w:val="auto"/>
        </w:rPr>
      </w:pPr>
      <w:r>
        <w:rPr>
          <w:rFonts w:ascii="Times New Roman" w:cs="Times New Roman" w:eastAsia="Times New Roman" w:hAnsi="Times New Roman"/>
          <w:sz w:val="18"/>
          <w:szCs w:val="18"/>
          <w:color w:val="auto"/>
        </w:rPr>
        <w:t>An annual cash bonus may be awarded to executive officers upon the attainment of pre-set periodic objectives and individual targets. The annual cash bonus that may be granted to our executive officers other than our Chief Executive Officer will be based on performance objectives and a discretionary evaluation of the executive officer’s overall performance by our Chief Executive Officer and subject to minimum thresholds. The annual cash bonus that may be granted to executive officers other than our Chief Executive Officer may alternatively be based entirely on a discretionary evaluation. Furthermore, our Chief Executive Officer will be entitled to approve performance objectives for executive officers who report to him.</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25" w:name="page126"/>
    <w:bookmarkEnd w:id="125"/>
    <w:p>
      <w:pPr>
        <w:jc w:val="both"/>
        <w:ind w:firstLine="441"/>
        <w:spacing w:after="0" w:line="274" w:lineRule="auto"/>
        <w:rPr>
          <w:sz w:val="20"/>
          <w:szCs w:val="20"/>
          <w:color w:val="auto"/>
        </w:rPr>
      </w:pPr>
      <w:r>
        <w:rPr>
          <w:rFonts w:ascii="Times New Roman" w:cs="Times New Roman" w:eastAsia="Times New Roman" w:hAnsi="Times New Roman"/>
          <w:sz w:val="18"/>
          <w:szCs w:val="18"/>
          <w:color w:val="auto"/>
        </w:rPr>
        <w:t>The measurable performance objectives of our Chief Executive Officer will be determined annually by our compensation committee and board of directors. A non-material portion of the Chief Executive Officer’s annual cash bonus, as provided in our compensation policy, may be based on a discretionary evaluation of the Chief Executive Officer’s overall performance by the compensation committee and the board of directors.</w:t>
      </w:r>
    </w:p>
    <w:p>
      <w:pPr>
        <w:spacing w:after="0" w:line="182"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equity-based compensation under our compensation policy for our executive officers (including members of our board of directors) is designed in a manner consistent with the underlying objectives in determining the base salary and the annual cash bonus, with its main objectives being to enhance the alignment between the executive officers’ interests with our long-term interests and those of our shareholders and to strengthen the retention and the motivation of executive officers in the long term. Our compensation policy provides for executive officer compensation in the form of share options or other equity-based awards, such as restricted shares and restricted share units, in accordance with our equity incentive plan then in place. The equity-based compensation shall be granted from time to time and be individually determined and awarded according to the performance, educational background, prior business experience, qualifications, role and the personal responsibilities of the executive officer.</w:t>
      </w:r>
    </w:p>
    <w:p>
      <w:pPr>
        <w:spacing w:after="0" w:line="203"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In addition, our compensation policy contains compensation recovery provisions which allow us under certain conditions to recover bonuses paid in excess, enable our Chief Executive Officer to approve an immaterial change in the terms of employment of an executive officer who reports directly to him (provided that the changes of the terms of employment are in accordance with our compensation policy) and allow us to exculpate, indemnify and insure our executive officers and directors to the maximum extent permitted by Israeli law subject to certain limitations set forth therein.</w:t>
      </w:r>
    </w:p>
    <w:p>
      <w:pPr>
        <w:spacing w:after="0" w:line="186"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Our compensation policy also provides for compensation to the members of our board of directors either (i) in accordance with the amounts provided in the Companies Regulations (Rules Regarding the Compensation and Expenses of an External Director) of 2000, as amended by the Companies Regulations (Relief for Public Companies Traded in Stock Exchange Outside of Israel) of 2000, as such regulations may be amended from time to time, or (ii) in accordance with the amounts determined in our compensation policy.</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compensation policy was approved by our board of directors and shareholders and became effective upon the closing of our IPO.</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Nominating, Governance and Sustainability Committee</w:t>
      </w:r>
    </w:p>
    <w:p>
      <w:pPr>
        <w:spacing w:after="0" w:line="254" w:lineRule="exact"/>
        <w:rPr>
          <w:sz w:val="20"/>
          <w:szCs w:val="20"/>
          <w:color w:val="auto"/>
        </w:rPr>
      </w:pPr>
    </w:p>
    <w:p>
      <w:pPr>
        <w:jc w:val="both"/>
        <w:ind w:right="20" w:firstLine="441"/>
        <w:spacing w:after="0" w:line="274" w:lineRule="auto"/>
        <w:rPr>
          <w:sz w:val="20"/>
          <w:szCs w:val="20"/>
          <w:color w:val="auto"/>
        </w:rPr>
      </w:pPr>
      <w:r>
        <w:rPr>
          <w:rFonts w:ascii="Times New Roman" w:cs="Times New Roman" w:eastAsia="Times New Roman" w:hAnsi="Times New Roman"/>
          <w:sz w:val="18"/>
          <w:szCs w:val="18"/>
          <w:color w:val="auto"/>
        </w:rPr>
        <w:t>Our nominating, governance and sustainability committee consists of Menashe Ezra, Jeff Horing, Ron Gutler and Michael Risman. Menashe Ezra serves as chairman of the nominating and governance committee. Our board of directors has adopted a nominating, governance and sustainability committee charter setting forth the responsibilities of the committee, which include:</w:t>
      </w:r>
    </w:p>
    <w:p>
      <w:pPr>
        <w:spacing w:after="0" w:line="182" w:lineRule="exact"/>
        <w:rPr>
          <w:sz w:val="20"/>
          <w:szCs w:val="20"/>
          <w:color w:val="auto"/>
        </w:rPr>
      </w:pPr>
    </w:p>
    <w:p>
      <w:pPr>
        <w:ind w:left="340" w:hanging="332"/>
        <w:spacing w:after="0"/>
        <w:tabs>
          <w:tab w:leader="none" w:pos="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assisting our board in reviewing and recommending nominees for election as directors;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assessment of the performance of the members of our board;</w:t>
      </w:r>
    </w:p>
    <w:p>
      <w:pPr>
        <w:spacing w:after="0" w:line="22" w:lineRule="exact"/>
        <w:rPr>
          <w:rFonts w:ascii="Times New Roman" w:cs="Times New Roman" w:eastAsia="Times New Roman" w:hAnsi="Times New Roman"/>
          <w:sz w:val="18"/>
          <w:szCs w:val="18"/>
          <w:color w:val="auto"/>
        </w:rPr>
      </w:pPr>
    </w:p>
    <w:p>
      <w:pPr>
        <w:ind w:left="340" w:hanging="332"/>
        <w:spacing w:after="0" w:line="266" w:lineRule="auto"/>
        <w:tabs>
          <w:tab w:leader="none" w:pos="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effective corporate governance policies and practices, including, but not limited to, developing and recommending to our board a set of corporate governance guidelines applicable to our business; and</w:t>
      </w:r>
    </w:p>
    <w:p>
      <w:pPr>
        <w:ind w:left="340" w:hanging="332"/>
        <w:spacing w:after="0"/>
        <w:tabs>
          <w:tab w:leader="none" w:pos="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policies, programs and strategies related to environmental, social and governance matters (“ESG).</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color w:val="auto"/>
        </w:rPr>
        <w:t>Internal Auditor</w:t>
      </w:r>
    </w:p>
    <w:p>
      <w:pPr>
        <w:spacing w:after="0" w:line="243"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Under the Companies Law, the board of directors of a public company must appoint an internal auditor based on the recommendation of the audit committee. The role of the internal auditor is, among other things, to examine whether a company’s actions comply with applicable law and orderly business procedure. Under the Companies Law, the internal auditor cannot be an interested party or an office holder or a relative of an interested party or an office holder, nor may the internal auditor be the company’s independent auditor or its representative. “interested party” is defined in the Companies Law as (i) a holder of 5% or more of the issued share capital or voting power in a company, (ii) any person or entity who has the right to designate one or more directors or to designate the chief executive officer of the company or (iii) any person who serves as a director or as chief executive officer of the company. As of December 31, 2022, Sharon Cohen, CPA from Deloitte IL &amp; Co, a firm in the Deloitte Global Network is acting as our internal auditor.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Approval of Related Party Transactions under Israeli Law</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Fiduciary duties of directors and Executive Officers</w:t>
      </w:r>
    </w:p>
    <w:p>
      <w:pPr>
        <w:spacing w:after="0" w:line="243" w:lineRule="exact"/>
        <w:rPr>
          <w:sz w:val="20"/>
          <w:szCs w:val="20"/>
          <w:color w:val="auto"/>
        </w:rPr>
      </w:pPr>
    </w:p>
    <w:p>
      <w:pPr>
        <w:jc w:val="both"/>
        <w:ind w:firstLine="441"/>
        <w:spacing w:after="0" w:line="274" w:lineRule="auto"/>
        <w:rPr>
          <w:sz w:val="20"/>
          <w:szCs w:val="20"/>
          <w:color w:val="auto"/>
        </w:rPr>
      </w:pPr>
      <w:r>
        <w:rPr>
          <w:rFonts w:ascii="Times New Roman" w:cs="Times New Roman" w:eastAsia="Times New Roman" w:hAnsi="Times New Roman"/>
          <w:sz w:val="18"/>
          <w:szCs w:val="18"/>
          <w:color w:val="auto"/>
        </w:rPr>
        <w:t>An office holder’s fiduciary duties consist of a duty of care and a duty of loyalty. The duty of care requires an office holder to act with the level of care with which a reasonable office holder in the same position would have acted under the same circumstances. The duty of care includes, among other things, a duty to use reasonable means, in light of the circumstances, to obtain:</w:t>
      </w:r>
    </w:p>
    <w:p>
      <w:pPr>
        <w:spacing w:after="0" w:line="182" w:lineRule="exact"/>
        <w:rPr>
          <w:sz w:val="20"/>
          <w:szCs w:val="20"/>
          <w:color w:val="auto"/>
        </w:rPr>
      </w:pPr>
    </w:p>
    <w:p>
      <w:pPr>
        <w:ind w:left="340" w:hanging="332"/>
        <w:spacing w:after="0"/>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on the business advisability of a given action brought for his, her or its approval or performed by virtue of his, her or its position; and</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important information pertaining to such action.</w:t>
      </w:r>
    </w:p>
    <w:p>
      <w:pPr>
        <w:spacing w:after="0" w:line="2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duty of loyalty requires that an office holder act in good faith and in the best interests of the company, and includes, among other things, the duty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234" w:lineRule="exact"/>
        <w:rPr>
          <w:sz w:val="20"/>
          <w:szCs w:val="20"/>
          <w:color w:val="auto"/>
        </w:rPr>
      </w:pPr>
    </w:p>
    <w:p>
      <w:pPr>
        <w:ind w:left="340" w:hanging="332"/>
        <w:spacing w:after="0" w:line="268"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refrain from any act involving a conflict of interest between the performance of his, her or its duties in the company and his, her or its other duties or personal affairs;</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refrain from any activity that is competitive with the business of the company;</w:t>
      </w:r>
    </w:p>
    <w:p>
      <w:pPr>
        <w:spacing w:after="0" w:line="9" w:lineRule="exact"/>
        <w:rPr>
          <w:rFonts w:ascii="Times New Roman" w:cs="Times New Roman" w:eastAsia="Times New Roman" w:hAnsi="Times New Roman"/>
          <w:sz w:val="18"/>
          <w:szCs w:val="18"/>
          <w:color w:val="auto"/>
        </w:rPr>
      </w:pPr>
    </w:p>
    <w:p>
      <w:pPr>
        <w:ind w:left="340" w:hanging="332"/>
        <w:spacing w:after="0" w:line="266"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refrain from exploiting any business opportunity of the company for the purpose of gaining a personal advantage for himself, herself or itself or others; and</w:t>
      </w:r>
    </w:p>
    <w:p>
      <w:pPr>
        <w:ind w:left="340" w:hanging="332"/>
        <w:spacing w:after="0" w:line="276"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to the company any information or documents relating to the company’s affairs which the office holder received as a result of his, her or its position as an office holder.</w:t>
      </w:r>
    </w:p>
    <w:p>
      <w:pPr>
        <w:spacing w:after="0" w:line="181"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Under the Companies Law, a company may approve an act specified above which would otherwise constitute a breach of the office holder’s duty of loyalty, provided that the office holder acted in good faith, neither the act nor its approval harms the company, and the office holder discloses his, her or its personal interest a sufficient time before the approval of such act. Any such approval is subject to the terms of the Companies Law setting forth, among other things, the appropriate bodies of the company required to provide such approval and the methods of obtaining such approval.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of Personal Interests of an Office Holder and Approval of Certain Transactions</w:t>
      </w:r>
    </w:p>
    <w:p>
      <w:pPr>
        <w:spacing w:after="0" w:line="243"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Companies Law requires that an office holder promptly disclose to the board of directors any personal interest that such office holder may have and all related material information known to such office holder concerning any existing or proposed transaction with the company. A personal interest includes an interest of any person in an act or transaction of a company, including a personal interest of one’s relative or of a corporate body in which such person or a relative of such person is a 5% or greater shareholder, director or general manager or in which such person has the right to appoint at least one director or the general manager, but excluding a personal interest stemming solely from one’s ownership of shares in the company. A personal interest includes the personal interest of a person for whom the office holder holds a voting proxy or the personal interest of the office holder with respect to the officer holder’s vote on behalf of a person for whom he or she holds a proxy even if such shareholder has no personal interest in the matter.</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27" w:name="page128"/>
    <w:bookmarkEnd w:id="127"/>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If it is determined that an office holder has a personal interest in a non-extraordinary transaction, meaning any transaction that is in the ordinary course of business, on market terms or that is not likely to have a material impact on the company’s profitability, assets or liabilities, approval by the board of directors is required for the transaction unless the company’s articles of association provide for a different method of approval. Any such transaction that is adverse to the company’s interests may not be approved by the board of directors.</w:t>
      </w:r>
    </w:p>
    <w:p>
      <w:pPr>
        <w:spacing w:after="0" w:line="186" w:lineRule="exact"/>
        <w:rPr>
          <w:sz w:val="20"/>
          <w:szCs w:val="20"/>
          <w:color w:val="auto"/>
        </w:rPr>
      </w:pPr>
    </w:p>
    <w:p>
      <w:pPr>
        <w:jc w:val="both"/>
        <w:ind w:firstLine="441"/>
        <w:spacing w:after="0" w:line="274" w:lineRule="auto"/>
        <w:rPr>
          <w:sz w:val="20"/>
          <w:szCs w:val="20"/>
          <w:color w:val="auto"/>
        </w:rPr>
      </w:pPr>
      <w:r>
        <w:rPr>
          <w:rFonts w:ascii="Times New Roman" w:cs="Times New Roman" w:eastAsia="Times New Roman" w:hAnsi="Times New Roman"/>
          <w:sz w:val="18"/>
          <w:szCs w:val="18"/>
          <w:color w:val="auto"/>
        </w:rPr>
        <w:t>Approval first by the company’s audit committee and subsequently by the board of directors is required for an extraordinary transaction (meaning any transaction that is not in the ordinary course of business, not on market terms or that is likely to have a material impact on the company’s profitability, assets or liabilities) in which an office holder has a personal interest.</w:t>
      </w:r>
    </w:p>
    <w:p>
      <w:pPr>
        <w:spacing w:after="0" w:line="196"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A director and any other office holder who has a personal interest in a transaction which is considered at a meeting of the board of directors or the audit committee may generally (unless it is with respect to a transaction which is not an extraordinary transaction) not be present at such a meeting or vote on that matter unless a majority of the directors or members of the audit committee, as applicable, have a personal interest in the matter. If a majority of the members of the audit committee or the board of directors have a personal interest in the matter, then all of the directors may participate in deliberations of the audit committee or board of directors, as applicable, with respect to such transaction and vote on the approval thereof and, in such case, shareholder approval is also required.</w:t>
      </w:r>
    </w:p>
    <w:p>
      <w:pPr>
        <w:spacing w:after="0" w:line="190" w:lineRule="exact"/>
        <w:rPr>
          <w:sz w:val="20"/>
          <w:szCs w:val="20"/>
          <w:color w:val="auto"/>
        </w:rPr>
      </w:pPr>
    </w:p>
    <w:p>
      <w:pPr>
        <w:jc w:val="both"/>
        <w:ind w:firstLine="441"/>
        <w:spacing w:after="0" w:line="270" w:lineRule="auto"/>
        <w:rPr>
          <w:sz w:val="20"/>
          <w:szCs w:val="20"/>
          <w:color w:val="auto"/>
        </w:rPr>
      </w:pPr>
      <w:r>
        <w:rPr>
          <w:rFonts w:ascii="Times New Roman" w:cs="Times New Roman" w:eastAsia="Times New Roman" w:hAnsi="Times New Roman"/>
          <w:sz w:val="18"/>
          <w:szCs w:val="18"/>
          <w:color w:val="auto"/>
        </w:rPr>
        <w:t>Certain disclosure and approval requirements apply under Israeli law to certain transactions with controlling shareholders, certain transactions in which a controlling shareholder has a personal interest and certain arrangements regarding the terms of service or employment of a controlling shareholder. For these purposes, a controlling shareholder is any shareholder that has the ability to direct the company’s actions, including any shareholder holding 25% or more of the voting rights if no other shareholder owns more than 50% of the voting rights in the company. Two or more shareholders with a personal interest in the approval of the same transaction are deemed to be one shareholder.</w:t>
      </w:r>
    </w:p>
    <w:p>
      <w:pPr>
        <w:spacing w:after="0" w:line="186" w:lineRule="exact"/>
        <w:rPr>
          <w:sz w:val="20"/>
          <w:szCs w:val="20"/>
          <w:color w:val="auto"/>
        </w:rPr>
      </w:pPr>
    </w:p>
    <w:p>
      <w:pPr>
        <w:jc w:val="both"/>
        <w:ind w:firstLine="441"/>
        <w:spacing w:after="0" w:line="297" w:lineRule="auto"/>
        <w:rPr>
          <w:sz w:val="20"/>
          <w:szCs w:val="20"/>
          <w:color w:val="auto"/>
        </w:rPr>
      </w:pPr>
      <w:r>
        <w:rPr>
          <w:rFonts w:ascii="Times New Roman" w:cs="Times New Roman" w:eastAsia="Times New Roman" w:hAnsi="Times New Roman"/>
          <w:sz w:val="18"/>
          <w:szCs w:val="18"/>
          <w:color w:val="auto"/>
        </w:rPr>
        <w:t>For a description of the approvals required under Israeli law for compensation arrangements of officers and directors, see “-Compensation of Directors and Executive Officers.”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Duties</w:t>
      </w:r>
    </w:p>
    <w:p>
      <w:pPr>
        <w:spacing w:after="0" w:line="243" w:lineRule="exact"/>
        <w:rPr>
          <w:sz w:val="20"/>
          <w:szCs w:val="20"/>
          <w:color w:val="auto"/>
        </w:rPr>
      </w:pPr>
    </w:p>
    <w:p>
      <w:pPr>
        <w:jc w:val="both"/>
        <w:ind w:firstLine="441"/>
        <w:spacing w:after="0" w:line="281" w:lineRule="auto"/>
        <w:rPr>
          <w:sz w:val="20"/>
          <w:szCs w:val="20"/>
          <w:color w:val="auto"/>
        </w:rPr>
      </w:pPr>
      <w:r>
        <w:rPr>
          <w:rFonts w:ascii="Times New Roman" w:cs="Times New Roman" w:eastAsia="Times New Roman" w:hAnsi="Times New Roman"/>
          <w:sz w:val="18"/>
          <w:szCs w:val="18"/>
          <w:color w:val="auto"/>
        </w:rPr>
        <w:t>Pursuant to the Companies Law, a shareholder has a duty to act in good faith and in a customary manner toward the company and other shareholders and to refrain from abusing his or her power with respect to the company, including, among other things, in voting at a general meeting and at shareholder class meetings with respect to the following matters:</w:t>
      </w:r>
    </w:p>
    <w:p>
      <w:pPr>
        <w:spacing w:after="0" w:line="177" w:lineRule="exact"/>
        <w:rPr>
          <w:sz w:val="20"/>
          <w:szCs w:val="20"/>
          <w:color w:val="auto"/>
        </w:rPr>
      </w:pPr>
    </w:p>
    <w:p>
      <w:pPr>
        <w:ind w:left="340" w:hanging="332"/>
        <w:spacing w:after="0"/>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to the company’s articles of association;</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the company’s authorized share capital;</w:t>
      </w:r>
    </w:p>
    <w:p>
      <w:pPr>
        <w:spacing w:after="0" w:line="2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or</w:t>
      </w:r>
    </w:p>
    <w:p>
      <w:pPr>
        <w:spacing w:after="0" w:line="2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interested party transactions that require shareholder approval.</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28" w:name="page129"/>
    <w:bookmarkEnd w:id="128"/>
    <w:p>
      <w:pPr>
        <w:ind w:left="440"/>
        <w:spacing w:after="0"/>
        <w:rPr>
          <w:sz w:val="20"/>
          <w:szCs w:val="20"/>
          <w:color w:val="auto"/>
        </w:rPr>
      </w:pPr>
      <w:r>
        <w:rPr>
          <w:rFonts w:ascii="Times New Roman" w:cs="Times New Roman" w:eastAsia="Times New Roman" w:hAnsi="Times New Roman"/>
          <w:sz w:val="18"/>
          <w:szCs w:val="18"/>
          <w:color w:val="auto"/>
        </w:rPr>
        <w:t>In addition, a shareholder has a general duty to refrain from discriminating against other shareholders.</w:t>
      </w:r>
    </w:p>
    <w:p>
      <w:pPr>
        <w:spacing w:after="0" w:line="239" w:lineRule="exact"/>
        <w:rPr>
          <w:sz w:val="20"/>
          <w:szCs w:val="20"/>
          <w:color w:val="auto"/>
        </w:rPr>
      </w:pPr>
    </w:p>
    <w:p>
      <w:pPr>
        <w:jc w:val="both"/>
        <w:ind w:firstLine="441"/>
        <w:spacing w:after="0" w:line="270" w:lineRule="auto"/>
        <w:rPr>
          <w:sz w:val="20"/>
          <w:szCs w:val="20"/>
          <w:color w:val="auto"/>
        </w:rPr>
      </w:pPr>
      <w:r>
        <w:rPr>
          <w:rFonts w:ascii="Times New Roman" w:cs="Times New Roman" w:eastAsia="Times New Roman" w:hAnsi="Times New Roman"/>
          <w:sz w:val="18"/>
          <w:szCs w:val="18"/>
          <w:color w:val="auto"/>
        </w:rPr>
        <w:t>Certain shareholders also have a duty of fairness toward the company. These shareholders include any controlling shareholder, any shareholder who knows that it has the power to determine the outcome of a shareholder vote and any shareholder who has the power to appoint or to prevent the appointment of an office holder of the company or exercise any other rights available to it under the company’s articles of association with respect to the company. The Companies Law does not define the substance of this duty of fairness, except to state that the remedies generally available upon a breach of contract will also apply in the event of a breach of the duty of fairness.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Exculpation, Insurance and Indemnification of Office Holders</w:t>
      </w:r>
    </w:p>
    <w:p>
      <w:pPr>
        <w:spacing w:after="0" w:line="243"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Under the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Articles of Association include such a provision. An Israeli company may not exculpate a director from liability arising out of a prohibited dividend or distribution to shareholders.</w:t>
      </w:r>
    </w:p>
    <w:p>
      <w:pPr>
        <w:spacing w:after="0" w:line="199"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An Israeli company may indemnify an office holder in respect of the following liabilities and expenses incurred for acts performed as an office holder, either in advance of an event or following an event, provided a provision authorizing such indemnification is contained in its articles of association:</w:t>
      </w:r>
    </w:p>
    <w:p>
      <w:pPr>
        <w:spacing w:after="0" w:line="175" w:lineRule="exact"/>
        <w:rPr>
          <w:sz w:val="20"/>
          <w:szCs w:val="20"/>
          <w:color w:val="auto"/>
        </w:rPr>
      </w:pPr>
    </w:p>
    <w:p>
      <w:pPr>
        <w:jc w:val="both"/>
        <w:ind w:left="340" w:hanging="332"/>
        <w:spacing w:after="0" w:line="264"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liability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 mentioned events and amount or criteria;</w:t>
      </w:r>
    </w:p>
    <w:p>
      <w:pPr>
        <w:jc w:val="both"/>
        <w:ind w:left="340" w:hanging="332"/>
        <w:spacing w:after="0" w:line="259"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reasonable litigation expenses, including legal fees, incurred by the office holder (1) as a result of an investigation or proceeding instituted against him or her by an authority authorized to conduct such investigation or proceeding,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no indictment was filed against such office holder as a result of such investigation or proceeding; and (ii) no financial liability, such as a criminal penalty, was imposed upon him or her as a substitute for the criminal proceeding as a result of such investigation or proceeding or, if such financial liability was imposed, it was imposed with respect to an offense that does not require proof of criminal intent; and (2) in connection with a monetary sanction;</w:t>
      </w:r>
    </w:p>
    <w:p>
      <w:pPr>
        <w:spacing w:after="0" w:line="3" w:lineRule="exact"/>
        <w:rPr>
          <w:rFonts w:ascii="Times New Roman" w:cs="Times New Roman" w:eastAsia="Times New Roman" w:hAnsi="Times New Roman"/>
          <w:sz w:val="18"/>
          <w:szCs w:val="18"/>
          <w:color w:val="auto"/>
        </w:rPr>
      </w:pPr>
    </w:p>
    <w:p>
      <w:pPr>
        <w:jc w:val="both"/>
        <w:ind w:left="340" w:hanging="332"/>
        <w:spacing w:after="0" w:line="260"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litigation expenses, including legal fees, incurred by the office holder or imposed by a court in proceedings instituted against him or her by the company, on its behalf or by a third-party or in connection with criminal proceedings in which the office holder was acquitted or as a result of a conviction for an offense that does not require proof of criminal intent; and</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71"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including reasonable litigation expenses and legal fees, incurred by an office holder in relation to an administrative proceeding instituted against such office holder, or certain compensation payments made to an injured party imposed on an office holder by an administrative proceeding, pursuant to certain provisions of the Israeli Securities Law.</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29" w:name="page130"/>
    <w:bookmarkEnd w:id="129"/>
    <w:p>
      <w:pPr>
        <w:ind w:firstLine="441"/>
        <w:spacing w:after="0" w:line="282" w:lineRule="auto"/>
        <w:rPr>
          <w:sz w:val="20"/>
          <w:szCs w:val="20"/>
          <w:color w:val="auto"/>
        </w:rPr>
      </w:pPr>
      <w:r>
        <w:rPr>
          <w:rFonts w:ascii="Times New Roman" w:cs="Times New Roman" w:eastAsia="Times New Roman" w:hAnsi="Times New Roman"/>
          <w:sz w:val="18"/>
          <w:szCs w:val="18"/>
          <w:color w:val="auto"/>
        </w:rPr>
        <w:t>An Israeli company may insure an office holder against the following liabilities incurred for acts performed as an office holder if and to the extent provided in the company’s articles of association:</w:t>
      </w:r>
    </w:p>
    <w:p>
      <w:pPr>
        <w:spacing w:after="0" w:line="189" w:lineRule="exact"/>
        <w:rPr>
          <w:sz w:val="20"/>
          <w:szCs w:val="20"/>
          <w:color w:val="auto"/>
        </w:rPr>
      </w:pPr>
    </w:p>
    <w:p>
      <w:pPr>
        <w:ind w:left="340" w:right="20" w:hanging="332"/>
        <w:spacing w:after="0" w:line="261" w:lineRule="auto"/>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the duty of loyalty to the company, to the extent that the office holder acted in good faith and had a reasonable basis to believe that the act would not prejudice the company;</w:t>
      </w:r>
    </w:p>
    <w:p>
      <w:pPr>
        <w:ind w:left="340" w:hanging="332"/>
        <w:spacing w:after="0"/>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the duty of care to the company or to a third-party, including a breach arising out of the negligent conduct of the office holder;</w:t>
      </w:r>
    </w:p>
    <w:p>
      <w:pPr>
        <w:spacing w:after="0" w:line="2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liability imposed on the office holder in favor of a third-party;</w:t>
      </w:r>
    </w:p>
    <w:p>
      <w:pPr>
        <w:spacing w:after="0" w:line="2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liability imposed on the office holder in favor of a third-party harmed by a breach in an administrative proceeding; and</w:t>
      </w:r>
    </w:p>
    <w:p>
      <w:pPr>
        <w:spacing w:after="0" w:line="22" w:lineRule="exact"/>
        <w:rPr>
          <w:rFonts w:ascii="Times New Roman" w:cs="Times New Roman" w:eastAsia="Times New Roman" w:hAnsi="Times New Roman"/>
          <w:sz w:val="18"/>
          <w:szCs w:val="18"/>
          <w:color w:val="auto"/>
        </w:rPr>
      </w:pPr>
    </w:p>
    <w:p>
      <w:pPr>
        <w:ind w:left="340" w:hanging="332"/>
        <w:spacing w:after="0" w:line="276" w:lineRule="auto"/>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including reasonable litigation expenses and legal fees, incurred by the office holder as a result of an administrative proceeding instituted against him or her, pursuant to certain provisions of the Israeli Securities Law.</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 Israeli company may not indemnify or insure an office holder against any of the following:</w:t>
      </w:r>
    </w:p>
    <w:p>
      <w:pPr>
        <w:spacing w:after="0" w:line="252" w:lineRule="exact"/>
        <w:rPr>
          <w:sz w:val="20"/>
          <w:szCs w:val="20"/>
          <w:color w:val="auto"/>
        </w:rPr>
      </w:pPr>
    </w:p>
    <w:p>
      <w:pPr>
        <w:ind w:left="340" w:hanging="332"/>
        <w:spacing w:after="0" w:line="261" w:lineRule="auto"/>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the duty of loyalty, except to the extent that the office holder acted in good faith and had a reasonable basis to believe that the act would not prejudice the company;</w:t>
      </w:r>
    </w:p>
    <w:p>
      <w:pPr>
        <w:ind w:left="340" w:hanging="332"/>
        <w:spacing w:after="0"/>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the duty of care committed intentionally or recklessly, excluding a breach arising out of the negligent conduct of the office holder;</w:t>
      </w:r>
    </w:p>
    <w:p>
      <w:pPr>
        <w:spacing w:after="0" w:line="2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or omission committed with intent to derive illegal personal benefit; or</w:t>
      </w:r>
    </w:p>
    <w:p>
      <w:pPr>
        <w:spacing w:after="0" w:line="2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fine, monetary sanction or forfeit levied against the office holder.</w:t>
      </w:r>
    </w:p>
    <w:p>
      <w:pPr>
        <w:spacing w:after="0" w:line="234" w:lineRule="exact"/>
        <w:rPr>
          <w:sz w:val="20"/>
          <w:szCs w:val="20"/>
          <w:color w:val="auto"/>
        </w:rPr>
      </w:pPr>
    </w:p>
    <w:p>
      <w:pPr>
        <w:jc w:val="both"/>
        <w:ind w:firstLine="441"/>
        <w:spacing w:after="0" w:line="269" w:lineRule="auto"/>
        <w:rPr>
          <w:sz w:val="20"/>
          <w:szCs w:val="20"/>
          <w:color w:val="auto"/>
        </w:rPr>
      </w:pPr>
      <w:r>
        <w:rPr>
          <w:rFonts w:ascii="Times New Roman" w:cs="Times New Roman" w:eastAsia="Times New Roman" w:hAnsi="Times New Roman"/>
          <w:sz w:val="18"/>
          <w:szCs w:val="18"/>
          <w:color w:val="auto"/>
        </w:rPr>
        <w:t>Under the Companies Law, exculpation, indemnification and insurance of office holders must be approved by the compensation committee and the board of directors (and, with respect to directors and the chief executive officer, by the shareholders). However, under regulations promulgated under the Companies Law, the insurance of office holders does not require shareholder approval and may be approved by only the compensation committee if the engagement terms are determined in accordance with the company’s compensation policy, which was approved by the shareholders by the same special majority required to approve a compensation policy, provided that the insurance policy is on market terms and the insurance policy is not likely to materially impact the company’s profitability, assets or obligations.</w:t>
      </w:r>
    </w:p>
    <w:p>
      <w:pPr>
        <w:spacing w:after="0" w:line="188" w:lineRule="exact"/>
        <w:rPr>
          <w:sz w:val="20"/>
          <w:szCs w:val="20"/>
          <w:color w:val="auto"/>
        </w:rPr>
      </w:pPr>
    </w:p>
    <w:p>
      <w:pPr>
        <w:jc w:val="both"/>
        <w:ind w:firstLine="441"/>
        <w:spacing w:after="0" w:line="274" w:lineRule="auto"/>
        <w:rPr>
          <w:sz w:val="20"/>
          <w:szCs w:val="20"/>
          <w:color w:val="auto"/>
        </w:rPr>
      </w:pPr>
      <w:r>
        <w:rPr>
          <w:rFonts w:ascii="Times New Roman" w:cs="Times New Roman" w:eastAsia="Times New Roman" w:hAnsi="Times New Roman"/>
          <w:sz w:val="18"/>
          <w:szCs w:val="18"/>
          <w:color w:val="auto"/>
        </w:rPr>
        <w:t>Our Articles of Association allow us to exculpate, indemnify and insure our office holders for any liability imposed on them as a consequence of an act (including any omission) which was performed by virtue of being an office holder. Our office holders are currently covered by a directors and officers’ liability insurance policy.</w:t>
      </w:r>
    </w:p>
    <w:p>
      <w:pPr>
        <w:spacing w:after="0" w:line="182"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exculpating them in advance, to the fullest extent permitted by law, from liability to us for damages caused to us as a result of a breach of duty of care, and undertaking to indemnify them to the fullest extent permitted by law. This indemnification is limited to events determined as foreseeable by the board of directors based on our activities, and to an amount or according to criteria determined by the board of directors as reasonable under the circumstances.</w:t>
      </w:r>
    </w:p>
    <w:p>
      <w:pPr>
        <w:spacing w:after="0" w:line="199"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maximum indemnification amount set forth in such agreements is limited to an amount equal to the higher of (i) 10% of our IPO’s valuation, (ii) 25% of our total shareholders’ equity as reflected in our most recent consolidated financial statements prior to the date on which the indemnity payment is made and (iii) 10% of our total market cap calculated based on the average closing price our ordinary shares over the 30 trading days prior to the actual payment, multiplied by the total number of our issued and outstanding shares as of the date of the payment (other than indemnification for an offering of securities to the public, including by a shareholder in a secondary offering, in which case the maximum indemnification amount is limited to the gross proceeds raised by us and/or any selling shareholder in such public offering). The maximum amount set forth in such agreements is in addition to any amount paid (if paid) under insurance and/or by a third-party pursuant to an indemnification arrangement.</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30" w:name="page131"/>
    <w:bookmarkEnd w:id="130"/>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In the opinion of the SEC, indemnification of directors and office holders for liabilities arising under the Securities Act, however, is against public policy and therefore unenforceable.</w:t>
      </w:r>
    </w:p>
    <w:p>
      <w:pPr>
        <w:spacing w:after="0" w:line="18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D.</w:t>
        <w:tab/>
        <w:t>Employees</w:t>
      </w:r>
    </w:p>
    <w:p>
      <w:pPr>
        <w:spacing w:after="0" w:line="243" w:lineRule="exact"/>
        <w:rPr>
          <w:sz w:val="20"/>
          <w:szCs w:val="20"/>
          <w:color w:val="auto"/>
        </w:rPr>
      </w:pPr>
    </w:p>
    <w:p>
      <w:pPr>
        <w:jc w:val="both"/>
        <w:ind w:firstLine="441"/>
        <w:spacing w:after="0" w:line="281" w:lineRule="auto"/>
        <w:rPr>
          <w:sz w:val="20"/>
          <w:szCs w:val="20"/>
          <w:color w:val="auto"/>
        </w:rPr>
      </w:pPr>
      <w:r>
        <w:rPr>
          <w:rFonts w:ascii="Times New Roman" w:cs="Times New Roman" w:eastAsia="Times New Roman" w:hAnsi="Times New Roman"/>
          <w:sz w:val="18"/>
          <w:szCs w:val="18"/>
          <w:color w:val="auto"/>
        </w:rPr>
        <w:t>We employ a growing and highly-skilled employee base, including our sales force and engineers and promote a culture of innovation to continuously enhance our services and commercial footprint. Our human capital objectives include, as applicable, identifying, recruiting, retaining, incentivizing and integrating our current and new employees.</w:t>
      </w:r>
    </w:p>
    <w:p>
      <w:pPr>
        <w:spacing w:after="0" w:line="177"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As of December 31, 2022, we had approximately 1,200 full-time employees. Employee turnover has not had a material impact on our operations to date. None of our employees are represented by a trade or labor union. In certain countries in which we operate, we are subject to local labor law requirements, which may automatically make our employees subject to industry-wide collective bargaining agreements. We have not experienced any work stoppages and we consider our relationship with our employees to be good.</w:t>
      </w:r>
    </w:p>
    <w:p>
      <w:pPr>
        <w:spacing w:after="0" w:line="18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Share Ownership</w:t>
      </w:r>
    </w:p>
    <w:p>
      <w:pPr>
        <w:spacing w:after="0" w:line="256" w:lineRule="exact"/>
        <w:rPr>
          <w:sz w:val="20"/>
          <w:szCs w:val="20"/>
          <w:color w:val="auto"/>
        </w:rPr>
      </w:pPr>
    </w:p>
    <w:p>
      <w:pPr>
        <w:jc w:val="both"/>
        <w:ind w:firstLine="441"/>
        <w:spacing w:after="0" w:line="274" w:lineRule="auto"/>
        <w:rPr>
          <w:sz w:val="20"/>
          <w:szCs w:val="20"/>
          <w:color w:val="auto"/>
        </w:rPr>
      </w:pPr>
      <w:r>
        <w:rPr>
          <w:rFonts w:ascii="Times New Roman" w:cs="Times New Roman" w:eastAsia="Times New Roman" w:hAnsi="Times New Roman"/>
          <w:sz w:val="18"/>
          <w:szCs w:val="18"/>
          <w:color w:val="auto"/>
        </w:rPr>
        <w:t>For information regarding the share ownership of directors and officers, see Item 7.A. “Major Shareholders and Related Party Transactions-Major Shareholders.” For information as to our equity incentive plans, see Item 6.B. “Director, Senior Management and Employees-Compensation- Equity incentive plans.”</w:t>
      </w:r>
    </w:p>
    <w:p>
      <w:pPr>
        <w:spacing w:after="0" w:line="178" w:lineRule="exact"/>
        <w:rPr>
          <w:sz w:val="20"/>
          <w:szCs w:val="20"/>
          <w:color w:val="auto"/>
        </w:rPr>
      </w:pPr>
    </w:p>
    <w:p>
      <w:pPr>
        <w:ind w:left="340" w:hanging="332"/>
        <w:spacing w:after="0"/>
        <w:tabs>
          <w:tab w:leader="none" w:pos="34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 of a Registrant’s Action to Recover Erroneously Awarded Compensation</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Major Shareholders and Related Party Transactions</w:t>
      </w:r>
    </w:p>
    <w:p>
      <w:pPr>
        <w:spacing w:after="0" w:line="25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A.</w:t>
        <w:tab/>
        <w:t>Major Shareholders</w:t>
      </w:r>
    </w:p>
    <w:p>
      <w:pPr>
        <w:spacing w:after="0" w:line="243" w:lineRule="exact"/>
        <w:rPr>
          <w:sz w:val="20"/>
          <w:szCs w:val="20"/>
          <w:color w:val="auto"/>
        </w:rPr>
      </w:pPr>
    </w:p>
    <w:p>
      <w:pPr>
        <w:jc w:val="both"/>
        <w:ind w:firstLine="441"/>
        <w:spacing w:after="0" w:line="269" w:lineRule="auto"/>
        <w:rPr>
          <w:sz w:val="20"/>
          <w:szCs w:val="20"/>
          <w:color w:val="auto"/>
        </w:rPr>
      </w:pPr>
      <w:r>
        <w:rPr>
          <w:rFonts w:ascii="Times New Roman" w:cs="Times New Roman" w:eastAsia="Times New Roman" w:hAnsi="Times New Roman"/>
          <w:sz w:val="18"/>
          <w:szCs w:val="18"/>
          <w:color w:val="auto"/>
        </w:rPr>
        <w:t>The beneficial ownership of ordinary shares is determined in accordance with the SEC rules and generally includes any ordinary shares over which a person exercises sole or shared voting or investment power. For purposes of the table below, we deem shares subject to options or warrants that are currently exercisable or exercisable within 60 days of February 28, 2023, to be outstanding and to be beneficially owned by the person holding the options or warrants for the purposes of computing the percentage ownership of that person but we do not treat them as outstanding for the purpose of computing the percentage ownership of any other person. The percentage of shares beneficially owned is based on 87,861,147 ordinary shares outstanding as of February 28, 2023.</w:t>
      </w:r>
    </w:p>
    <w:p>
      <w:pPr>
        <w:spacing w:after="0" w:line="188" w:lineRule="exact"/>
        <w:rPr>
          <w:sz w:val="20"/>
          <w:szCs w:val="20"/>
          <w:color w:val="auto"/>
        </w:rPr>
      </w:pPr>
    </w:p>
    <w:p>
      <w:pPr>
        <w:jc w:val="both"/>
        <w:ind w:right="20" w:firstLine="441"/>
        <w:spacing w:after="0" w:line="297" w:lineRule="auto"/>
        <w:rPr>
          <w:sz w:val="20"/>
          <w:szCs w:val="20"/>
          <w:color w:val="auto"/>
        </w:rPr>
      </w:pPr>
      <w:r>
        <w:rPr>
          <w:rFonts w:ascii="Times New Roman" w:cs="Times New Roman" w:eastAsia="Times New Roman" w:hAnsi="Times New Roman"/>
          <w:sz w:val="18"/>
          <w:szCs w:val="18"/>
          <w:color w:val="auto"/>
        </w:rPr>
        <w:t>All of our shareholders, including the shareholders listed below, have the same voting rights attached to their ordinary shares. Unless otherwise noted below, each shareholder’s address is 1 Walter Moses St., Tel Aviv, 6789903, Israel.</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31" w:name="page132"/>
    <w:bookmarkEnd w:id="131"/>
    <w:p>
      <w:pPr>
        <w:ind w:firstLine="441"/>
        <w:spacing w:after="0" w:line="282" w:lineRule="auto"/>
        <w:rPr>
          <w:sz w:val="20"/>
          <w:szCs w:val="20"/>
          <w:color w:val="auto"/>
        </w:rPr>
      </w:pPr>
      <w:r>
        <w:rPr>
          <w:rFonts w:ascii="Times New Roman" w:cs="Times New Roman" w:eastAsia="Times New Roman" w:hAnsi="Times New Roman"/>
          <w:sz w:val="18"/>
          <w:szCs w:val="18"/>
          <w:color w:val="auto"/>
        </w:rPr>
        <w:t>A description of any material relationship that our principal shareholders have had with us or any of our affiliates within the past three years is included under “Certain relationships and related party transactions.”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3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1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2"/>
                <w:szCs w:val="22"/>
                <w:color w:val="auto"/>
              </w:rPr>
            </w:pPr>
          </w:p>
        </w:tc>
      </w:tr>
      <w:tr>
        <w:trPr>
          <w:trHeight w:val="230"/>
        </w:trPr>
        <w:tc>
          <w:tcPr>
            <w:tcW w:w="5120" w:type="dxa"/>
            <w:vAlign w:val="bottom"/>
            <w:tcBorders>
              <w:top w:val="single" w:sz="8" w:color="auto"/>
            </w:tcBorders>
          </w:tcPr>
          <w:p>
            <w:pPr>
              <w:spacing w:after="0"/>
              <w:rPr>
                <w:sz w:val="19"/>
                <w:szCs w:val="19"/>
                <w:color w:val="auto"/>
              </w:rPr>
            </w:pPr>
          </w:p>
        </w:tc>
        <w:tc>
          <w:tcPr>
            <w:tcW w:w="34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Principal Shareholders:</w:t>
            </w:r>
          </w:p>
        </w:tc>
        <w:tc>
          <w:tcPr>
            <w:tcW w:w="3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Entities Affiliated with Insight Partners(1)</w:t>
            </w:r>
          </w:p>
        </w:tc>
        <w:tc>
          <w:tcPr>
            <w:tcW w:w="49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24,253,823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w:t>
            </w:r>
          </w:p>
        </w:tc>
      </w:tr>
      <w:tr>
        <w:trPr>
          <w:trHeight w:val="229"/>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StepStone Group(2)</w:t>
            </w:r>
          </w:p>
        </w:tc>
        <w:tc>
          <w:tcPr>
            <w:tcW w:w="49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10,366,855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w:t>
            </w:r>
          </w:p>
        </w:tc>
      </w:tr>
      <w:tr>
        <w:trPr>
          <w:trHeight w:val="229"/>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Scale Venture Partners IV, LP(3)</w:t>
            </w:r>
          </w:p>
        </w:tc>
        <w:tc>
          <w:tcPr>
            <w:tcW w:w="49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9,429,021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w:t>
            </w:r>
          </w:p>
        </w:tc>
      </w:tr>
      <w:tr>
        <w:trPr>
          <w:trHeight w:val="23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Mangrove Capital Partners(4)</w:t>
            </w:r>
          </w:p>
        </w:tc>
        <w:tc>
          <w:tcPr>
            <w:tcW w:w="49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6,278,354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r>
      <w:tr>
        <w:trPr>
          <w:trHeight w:val="229"/>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Entities Affiliated with Gemini Israel Ventures(5)</w:t>
            </w:r>
          </w:p>
        </w:tc>
        <w:tc>
          <w:tcPr>
            <w:tcW w:w="49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7,730,048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w:t>
            </w:r>
          </w:p>
        </w:tc>
      </w:tr>
      <w:tr>
        <w:trPr>
          <w:trHeight w:val="229"/>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AMBLESIDE S.À R.L.(6)</w:t>
            </w:r>
          </w:p>
        </w:tc>
        <w:tc>
          <w:tcPr>
            <w:tcW w:w="49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5,462,245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r>
      <w:tr>
        <w:trPr>
          <w:trHeight w:val="230"/>
        </w:trPr>
        <w:tc>
          <w:tcPr>
            <w:tcW w:w="51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Executive Officers and Directors:</w:t>
            </w:r>
          </w:p>
        </w:tc>
        <w:tc>
          <w:tcPr>
            <w:tcW w:w="3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Dan Adika(7)</w:t>
            </w:r>
          </w:p>
        </w:tc>
        <w:tc>
          <w:tcPr>
            <w:tcW w:w="49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3,244,447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r>
      <w:tr>
        <w:trPr>
          <w:trHeight w:val="229"/>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Hagit Ynon (8)</w:t>
            </w:r>
          </w:p>
        </w:tc>
        <w:tc>
          <w:tcPr>
            <w:tcW w:w="49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246,354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Scott Little</w:t>
            </w:r>
          </w:p>
        </w:tc>
        <w:tc>
          <w:tcPr>
            <w:tcW w:w="49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32,971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Michele Bettencourt(9)</w:t>
            </w:r>
          </w:p>
        </w:tc>
        <w:tc>
          <w:tcPr>
            <w:tcW w:w="49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23,333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Haleli Barath (10)</w:t>
            </w:r>
          </w:p>
        </w:tc>
        <w:tc>
          <w:tcPr>
            <w:tcW w:w="49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109,328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Rafael Sweary(11)</w:t>
            </w:r>
          </w:p>
        </w:tc>
        <w:tc>
          <w:tcPr>
            <w:tcW w:w="49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3,056,433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Menashe Ezra(12)</w:t>
            </w:r>
          </w:p>
        </w:tc>
        <w:tc>
          <w:tcPr>
            <w:tcW w:w="49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7,739,543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w:t>
            </w:r>
          </w:p>
        </w:tc>
      </w:tr>
      <w:tr>
        <w:trPr>
          <w:trHeight w:val="229"/>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Ron Gutler(13)</w:t>
            </w:r>
          </w:p>
        </w:tc>
        <w:tc>
          <w:tcPr>
            <w:tcW w:w="49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39,609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Jeff Horing(14)</w:t>
            </w:r>
          </w:p>
        </w:tc>
        <w:tc>
          <w:tcPr>
            <w:tcW w:w="49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9,495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Rory O’Driscoll(15)</w:t>
            </w:r>
          </w:p>
        </w:tc>
        <w:tc>
          <w:tcPr>
            <w:tcW w:w="49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9,435,228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w:t>
            </w:r>
          </w:p>
        </w:tc>
      </w:tr>
      <w:tr>
        <w:trPr>
          <w:trHeight w:val="229"/>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Michael Risman(16)</w:t>
            </w:r>
          </w:p>
        </w:tc>
        <w:tc>
          <w:tcPr>
            <w:tcW w:w="49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Roy Saar(17)</w:t>
            </w:r>
          </w:p>
        </w:tc>
        <w:tc>
          <w:tcPr>
            <w:tcW w:w="49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196,735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as a group (12 individuals)</w:t>
            </w:r>
          </w:p>
        </w:tc>
        <w:tc>
          <w:tcPr>
            <w:tcW w:w="49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24,133,476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w:t>
            </w:r>
          </w:p>
        </w:tc>
      </w:tr>
      <w:tr>
        <w:trPr>
          <w:trHeight w:val="828"/>
        </w:trPr>
        <w:tc>
          <w:tcPr>
            <w:tcW w:w="5120" w:type="dxa"/>
            <w:vAlign w:val="bottom"/>
          </w:tcPr>
          <w:p>
            <w:pPr>
              <w:spacing w:after="0"/>
              <w:rPr>
                <w:sz w:val="24"/>
                <w:szCs w:val="24"/>
                <w:color w:val="auto"/>
              </w:rPr>
            </w:pPr>
          </w:p>
        </w:tc>
        <w:tc>
          <w:tcPr>
            <w:tcW w:w="3440" w:type="dxa"/>
            <w:vAlign w:val="bottom"/>
          </w:tcPr>
          <w:p>
            <w:pPr>
              <w:jc w:val="right"/>
              <w:ind w:right="2710"/>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1"/>
        </w:trPr>
        <w:tc>
          <w:tcPr>
            <w:tcW w:w="5120" w:type="dxa"/>
            <w:vAlign w:val="bottom"/>
            <w:tcBorders>
              <w:bottom w:val="single" w:sz="8" w:color="auto"/>
            </w:tcBorders>
          </w:tcPr>
          <w:p>
            <w:pPr>
              <w:spacing w:after="0"/>
              <w:rPr>
                <w:sz w:val="5"/>
                <w:szCs w:val="5"/>
                <w:color w:val="auto"/>
              </w:rPr>
            </w:pPr>
          </w:p>
        </w:tc>
        <w:tc>
          <w:tcPr>
            <w:tcW w:w="34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351" w:right="339" w:bottom="1440" w:gutter="0" w:footer="0" w:header="0"/>
        </w:sectPr>
      </w:pPr>
    </w:p>
    <w:bookmarkStart w:id="132" w:name="page133"/>
    <w:bookmarkEnd w:id="132"/>
    <w:p>
      <w:pPr>
        <w:ind w:left="592" w:hanging="592"/>
        <w:spacing w:after="0"/>
        <w:tabs>
          <w:tab w:leader="none" w:pos="59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ownership of less than 1%.</w:t>
      </w:r>
    </w:p>
    <w:p>
      <w:pPr>
        <w:spacing w:after="0" w:line="239" w:lineRule="exact"/>
        <w:rPr>
          <w:sz w:val="20"/>
          <w:szCs w:val="20"/>
          <w:color w:val="auto"/>
        </w:rPr>
      </w:pPr>
    </w:p>
    <w:p>
      <w:pPr>
        <w:jc w:val="both"/>
        <w:ind w:left="592" w:hanging="592"/>
        <w:spacing w:after="0" w:line="262" w:lineRule="auto"/>
        <w:tabs>
          <w:tab w:leader="none" w:pos="59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Schedule 13G filed with the SEC on February 11, 2022, consists of (i) 14,719,862 ordinary shares held of record by Insight Venture Partners IX, L.P., (ii) 293,822 ordinary shares held of record by Insight Venture Partners IX (Co-Investors), L.P., (iii) 7,313,935 ordinary shares held of record by Insight Venture Partners (Cayman) IX, L.P., (iv) 1,559,564 ordinary shares held of record by Insight Venture Partners (Delaware) IX, L.P., (v) 163,070 ordinary shares held of record by Insight Partners (Cayman) XI, L.P., (vi) 21,747 ordinary shares held of record by Insight Partners (Delaware) XI, L.P., (vii) 20,202 ordinary shares held of record by Insight Partners (EU) XI, S.C.Sp., (viii) 3,568 ordinary shares held of record by Insight Partners XI (Co-Investors) (B), L.P., (ix) 2,589 ordinary shares held of record by Insight Partners XI (Co-Investors), L.P., and (x) 155,464 shares held of record held by Insight Partners XI, L.P. The general partner of Insight Venture Partners IX, L.P., Insight Venture Partners IX (Co-Investors), L.P., Insight Venture Partners (Cayman) IX, L.P., and Insight Venture Partners (Delaware) IX, L.P. is Insight Venture Associates IX, L.P., (“IVA IX LP”), whose general partner is Insight Venture Associates IX, Ltd., (“IVA IX Ltd”). The general partner of Insight Partners (Cayman) XI, L.P., Insight Partners (Delaware) XI, L.P., Insight Partners XI (Co-Investors) (B), L.P., Insight Partners XI (Co-Investors), L.P. and Insight Partners XI, L.P. is Insight Associates XI, L.P., (“IA XI LP”), whose general partner is Insight Associates XI, Ltd. (“IA XI Ltd”). The general partner of Insight Partners (EU) XI, S.C.Sp. is Insight Associates (EU) XI, S.a.r.l., (“IA EU XI”). The sole shareholder of IVA IX Ltd, IA XI Ltd and IA EU XI is Insight Holdings Group, LLC. Mr. Horing, one of the Company’s directors, is a managing director at Insight Venture Partners. The address for these entities is c/o Insight Partners, 1114 Avenue of the Americas, 36th Floor, New York, NY 10036.</w:t>
      </w:r>
    </w:p>
    <w:p>
      <w:pPr>
        <w:ind w:left="592" w:hanging="592"/>
        <w:spacing w:after="0"/>
        <w:tabs>
          <w:tab w:leader="none" w:pos="59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Schedule 13/G filed with the SEC on September 20, 2022, consists of (i) 10,366,855 ordinary shares held by StepStone Group LP.</w:t>
      </w:r>
    </w:p>
    <w:p>
      <w:pPr>
        <w:spacing w:after="0" w:line="9" w:lineRule="exact"/>
        <w:rPr>
          <w:sz w:val="20"/>
          <w:szCs w:val="20"/>
          <w:color w:val="auto"/>
        </w:rPr>
      </w:pPr>
    </w:p>
    <w:p>
      <w:pPr>
        <w:jc w:val="both"/>
        <w:ind w:left="592" w:firstLine="49"/>
        <w:spacing w:after="0" w:line="261" w:lineRule="auto"/>
        <w:rPr>
          <w:sz w:val="20"/>
          <w:szCs w:val="20"/>
          <w:color w:val="auto"/>
        </w:rPr>
      </w:pPr>
      <w:r>
        <w:rPr>
          <w:rFonts w:ascii="Times New Roman" w:cs="Times New Roman" w:eastAsia="Times New Roman" w:hAnsi="Times New Roman"/>
          <w:sz w:val="18"/>
          <w:szCs w:val="18"/>
          <w:color w:val="auto"/>
        </w:rPr>
        <w:t>(“StepStone”); (ii) 3,013,139 ordinary shares held by StepStone VC Global Partners VI-A, L.P. (“Global Partners VI-A”); (iii) 1,203,629 ordinary shares held by StepStone VC Global Partners VI-C, L.P. (“Global Partners VI-C”); (iv) 4,216,768 ordinary shares held by StepStone VC General Partner VI, L.P. (“Partners VI GP”); (v) 5,948,813 ordinary shares held by StepStone VC Opportunities III, L.P. (“Opportunities III”); (vi) 5,948,813 ordinary shares held by StepStone VC Opportunities General Partner III, L.P. (“Opportunities III GP”); (vii) 201,274 ordinary shares held by StepStone VC Secondaries Fund IV, L.P. (“Secondaries Fund IV,” and together with Global Partners VI and Opportunities III, the “Funds”) and (viii) 201,274 ordinary shares held by StepStone VC Secondaries General Partner IV, L.P (“Secondaries IV GP”). Partners VI GP is the general partner of Global Partners VI-A and Global Partners VI-C, Opportunities III GP is the general partner of Opportunities III, and Secondaries IV GP is the general partner of Secondaries Fund IV. StepStone is the investment manager of the Funds. StepStone Group Holdings LLC (“StepStone Group Holdings”) is the general partner of StepStone, and StepStone Group Inc. is the sole managing member of StepStone Group Holdings. On September 20, 2021, StepStone Group Inc., a Delaware corporation, and StepStone Group LP, a Delaware limited partnership, completed the acquisition of Greenspring Associates, LLC and certain of its affiliates or subsidiaries (the “StepStone Acquisition”). As a result of the Stepstone Acquisition, StepStone Group LP became the investment manager of the Funds. The address of these entities is 4225 Executive Square, Suite 1600, La Jolla, CA 90237.</w:t>
      </w:r>
    </w:p>
    <w:p>
      <w:pPr>
        <w:spacing w:after="0" w:line="3" w:lineRule="exact"/>
        <w:rPr>
          <w:sz w:val="20"/>
          <w:szCs w:val="20"/>
          <w:color w:val="auto"/>
        </w:rPr>
      </w:pPr>
    </w:p>
    <w:p>
      <w:pPr>
        <w:jc w:val="both"/>
        <w:ind w:left="592" w:hanging="592"/>
        <w:spacing w:after="0" w:line="264" w:lineRule="auto"/>
        <w:tabs>
          <w:tab w:leader="none" w:pos="59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Schedule 13G/A filed with the SEC on February 13, 2023, consists of 9,429,021 ordinary shares held of record by Scale Venture Partners IV, L.P. (“SVP IV”). The general partner of SVP IV is Scale Venture Management IV, L.P. whose general partner is Scale Venture Management IV, LLC (“Scale IV LLC”). Rory O’Driscoll, one of our directors, Andrew Vitus and Stacey Bishop are managers of Scale IV LLC and share voting and dispositive power with respect to the ordinary shares held by SVP IV. The address for these entities is c/o Scale Venture Partners, 950 Tower Lane, Suite 1150, Foster City, California 94404.</w:t>
      </w:r>
    </w:p>
    <w:p>
      <w:pPr>
        <w:spacing w:after="0" w:line="35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337" w:right="339" w:bottom="1440" w:gutter="0" w:footer="0" w:header="0"/>
        </w:sectPr>
      </w:pPr>
    </w:p>
    <w:bookmarkStart w:id="133" w:name="page134"/>
    <w:bookmarkEnd w:id="133"/>
    <w:p>
      <w:pPr>
        <w:jc w:val="both"/>
        <w:ind w:left="600" w:hanging="592"/>
        <w:spacing w:after="0" w:line="226" w:lineRule="exact"/>
        <w:tabs>
          <w:tab w:leader="none" w:pos="6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Schedule 13G filed with the SEC on January 19, 2022, consists of (i) 5,638,420 ordinary shares held by Mangrove III Investments S.à r.l (“Mangrove III”) and (ii) 639,934 ordinary shares held by Mangrove V Investments S.à r.l (“Mangrove V”). Mangrove III S.C.A. SICAR is the owner of 100% of the share capital of Mangrove III, and Mangrove V (SCA), RAIF is the owner of 100% of the share capital of Mangrove V. Mangrove III Management S.A. is the liquidator of Mangrove III S.C.A. SICAR. The members of the board of directors of Mangrove III Management S.A. are Mark Tluszcz, Hans-Jurgen Schmitz and Willibrord Ehses. As a result of these relationships, each of Mangrove III S.C.A. SICAR, Mangrove III Management S.A. and Messrs. Tluszcz, Schmitz and Ehses may be deemed to share voting and dispositive power with respect to the securities held by Mangrove III. Mangrove Capital Partners S.A. is the manager of Mangrove V (SCA), RAIF. The members of the board of directors of Mangrove Capital Partners S.A. are Mark Tluszcz, Hans-J</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rgen Schmitz, Michael Rabinowicz and Gerardo Lopez Fojaca. As a result of these relationships, each of Mangrove V (SCA), RAIF, Mangrove Capital Partners S.A. and Messrs. Tluszcz, Schmitz, Rabinowicz and Lopez Fojaca may be deemed to share voting and dispositive power with respect to the securities held by Mangrove V. Roy Saar, one of our directors, is a partner at Mangrove Capital Partners. The address for these entities is 31 Boulevard Joseph II, L-1840, Luxembourg.</w:t>
      </w:r>
    </w:p>
    <w:p>
      <w:pPr>
        <w:spacing w:after="0" w:line="3" w:lineRule="exact"/>
        <w:rPr>
          <w:rFonts w:ascii="Times New Roman" w:cs="Times New Roman" w:eastAsia="Times New Roman" w:hAnsi="Times New Roman"/>
          <w:sz w:val="18"/>
          <w:szCs w:val="18"/>
          <w:color w:val="auto"/>
        </w:rPr>
      </w:pPr>
    </w:p>
    <w:p>
      <w:pPr>
        <w:jc w:val="both"/>
        <w:ind w:left="600" w:hanging="592"/>
        <w:spacing w:after="0" w:line="258" w:lineRule="auto"/>
        <w:tabs>
          <w:tab w:leader="none" w:pos="6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Schedule 13G filed with the SEC on February 14, 2023, consists of (i) 7,652,748 ordinary shares held of record by Gemini Israel V Limited Partnership (“Gemini V”) and (ii) 77,300 ordinary shares held of record by Gemini Partners Investors V L.P. (“Gemini Partners”). Gemini Capital Associates V LP (“Gemini Associates LP”) is the general partner of Gemini V and Gemini Capital Associates V GP, Ltd. (“Gemini Associates GP”) is the general partner of Gemini Associates LP. Gemini Israel Funds IV Ltd. is the general partner of Gemini Partners. Yossi Sela and Menashe Ezra are the managing partners of Gemini Associates GP, and Gemini Israel Funds IV Ltd. The address for these entities is 1 Abba Eban Avenue, Merkazim 2001, Bldg A, 3rd Floor, Herzliya Israel.</w:t>
      </w:r>
    </w:p>
    <w:p>
      <w:pPr>
        <w:spacing w:after="0" w:line="1" w:lineRule="exact"/>
        <w:rPr>
          <w:rFonts w:ascii="Times New Roman" w:cs="Times New Roman" w:eastAsia="Times New Roman" w:hAnsi="Times New Roman"/>
          <w:sz w:val="18"/>
          <w:szCs w:val="18"/>
          <w:color w:val="auto"/>
        </w:rPr>
      </w:pPr>
    </w:p>
    <w:p>
      <w:pPr>
        <w:jc w:val="both"/>
        <w:ind w:left="600" w:hanging="592"/>
        <w:spacing w:after="0" w:line="261" w:lineRule="auto"/>
        <w:tabs>
          <w:tab w:leader="none" w:pos="6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Schedule 13D/A filed with the SEC on December 17, 2021, consists of: (i) 3,404,955 ordinary shares held or record by Ambleside S.à r.l. (“Ambleside”) and (ii) 2,057,290 ordinary shares held of record by Ambleside Lux S.à r.l. (“Ambleside Lux”). Vitruvian III Luxembourg S.à r.l. (“Vitruvian Luxembourg”), is the sole shareholder of Ambleside. VIP III Cortex-B S.à r.l. (“VIP III Cortex-B”) is the sole shareholder of Ambleside Lux. VIP III Nominees Limited (“VIP Nominees”) is the nominee for and on behalf of VIP III LP, and VIP III Co-Invest LP (collectively, the “Funds”), and sole legal shareholder of Vitruvian Luxembourg and VIP III Cortex-B. Vitruvian Partners LLP (“Vitruvian Partners”) is the manager of the Funds and sole shareholder of VIP Nominees. Michael Risman, one of our directors, is a managing partner of Vitruvian Partners. The address of the principal business office of VIP Nominees, VIP III LP and Vitruvian Partners is 105 Wigmore Street, London W1U 1QY, the address of the principal business office of VIP III Co-Invest LP is 12 Castle Street St Helier Jersey JE2 3RT and the address of the principal business office of Ambleside, Ambleside Lux, Vitruvian Luxembourg and VIP III Cortex-B is 21, rue Philippe II, L-2340 Luxembourg.</w:t>
      </w:r>
    </w:p>
    <w:p>
      <w:pPr>
        <w:spacing w:after="0" w:line="3"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2,876,125 ordinary shares underlying options exercisable within 60 days of February 28, 2023.</w:t>
      </w:r>
    </w:p>
    <w:p>
      <w:pPr>
        <w:spacing w:after="0" w:line="22"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208,854 ordinary shares underlying options exercisable within 60 days of February 28, 2023.</w:t>
      </w:r>
    </w:p>
    <w:p>
      <w:pPr>
        <w:spacing w:after="0" w:line="22"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23,333 ordinary shares underlying options exercisable within 60 days of February 28, 2023.</w:t>
      </w:r>
    </w:p>
    <w:p>
      <w:pPr>
        <w:spacing w:after="0" w:line="22"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23,328 ordinary shares underlying options exercisable within 60 days of February 28, 2023.</w:t>
      </w:r>
    </w:p>
    <w:p>
      <w:pPr>
        <w:spacing w:after="0" w:line="22" w:lineRule="exact"/>
        <w:rPr>
          <w:rFonts w:ascii="Times New Roman" w:cs="Times New Roman" w:eastAsia="Times New Roman" w:hAnsi="Times New Roman"/>
          <w:sz w:val="18"/>
          <w:szCs w:val="18"/>
          <w:color w:val="auto"/>
        </w:rPr>
      </w:pPr>
    </w:p>
    <w:p>
      <w:pPr>
        <w:ind w:left="600" w:right="20" w:hanging="592"/>
        <w:spacing w:after="0" w:line="266" w:lineRule="auto"/>
        <w:tabs>
          <w:tab w:leader="none" w:pos="6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1,133,305 ordinary shares held by Brooks S.M. Projects Ltd. and (b) 1,915,628 ordinary shares underlying options exercisable within 60 days of February 28, 2023.</w:t>
      </w:r>
    </w:p>
    <w:p>
      <w:pPr>
        <w:ind w:left="600" w:right="20" w:hanging="592"/>
        <w:spacing w:after="0" w:line="258" w:lineRule="auto"/>
        <w:tabs>
          <w:tab w:leader="none" w:pos="6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ordinary shares beneficially held by entities affiliated with Gemini Israel Ventures as set forth in footnote (5) above, (b) 3,288 ordinary shares and (c) 6,207 ordinary shares underlying options exercisable within 60 days of February 28, 2023.</w:t>
      </w:r>
    </w:p>
    <w:p>
      <w:pPr>
        <w:ind w:left="600" w:hanging="592"/>
        <w:spacing w:after="0"/>
        <w:tabs>
          <w:tab w:leader="none" w:pos="6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39,609 ordinary shares underlying options exercisable within 60 days of February 28, 2023.</w:t>
      </w:r>
    </w:p>
    <w:p>
      <w:pPr>
        <w:spacing w:after="0" w:line="9" w:lineRule="exact"/>
        <w:rPr>
          <w:rFonts w:ascii="Times New Roman" w:cs="Times New Roman" w:eastAsia="Times New Roman" w:hAnsi="Times New Roman"/>
          <w:sz w:val="18"/>
          <w:szCs w:val="18"/>
          <w:color w:val="auto"/>
        </w:rPr>
      </w:pPr>
    </w:p>
    <w:p>
      <w:pPr>
        <w:ind w:left="600" w:hanging="592"/>
        <w:spacing w:after="0" w:line="266" w:lineRule="auto"/>
        <w:tabs>
          <w:tab w:leader="none" w:pos="6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6,207 ordinary shares underlying options exercisable within 60 days of February 28, 2023. Does not include the ordinary shares beneficially held by entities affiliated with Insight Partners as set forth in footnote (1) above.</w:t>
      </w:r>
    </w:p>
    <w:p>
      <w:pPr>
        <w:ind w:left="600" w:hanging="592"/>
        <w:spacing w:after="0" w:line="258" w:lineRule="auto"/>
        <w:tabs>
          <w:tab w:leader="none" w:pos="6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ordinary shares beneficially held by entities affiliated with Scale Venture Partners IV, LP as set forth in footnote (3) above, and (b) 6,207 ordinary shares underlying options exercisable within 60 days of February 28, 2023.</w:t>
      </w:r>
    </w:p>
    <w:p>
      <w:pPr>
        <w:ind w:left="600" w:hanging="592"/>
        <w:spacing w:after="0"/>
        <w:tabs>
          <w:tab w:leader="none" w:pos="6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the ordinary shares beneficially held by entities affiliated with Ambleside as set forth in footnote (6) above</w:t>
      </w:r>
    </w:p>
    <w:p>
      <w:pPr>
        <w:spacing w:after="0" w:line="9" w:lineRule="exact"/>
        <w:rPr>
          <w:rFonts w:ascii="Times New Roman" w:cs="Times New Roman" w:eastAsia="Times New Roman" w:hAnsi="Times New Roman"/>
          <w:sz w:val="18"/>
          <w:szCs w:val="18"/>
          <w:color w:val="auto"/>
        </w:rPr>
      </w:pPr>
    </w:p>
    <w:p>
      <w:pPr>
        <w:ind w:left="600" w:hanging="592"/>
        <w:spacing w:after="0" w:line="292" w:lineRule="auto"/>
        <w:tabs>
          <w:tab w:leader="none" w:pos="6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6,207 ordinary shares underlying options exercisable within 60 days of February 28, 2023. Does not include the ordinary shares beneficially held by entities affiliated with Mangrove Capital Partners as set forth in footnote (4) above.</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color w:val="auto"/>
        </w:rPr>
        <w:t>Significant Changes in Ownership</w:t>
      </w:r>
    </w:p>
    <w:p>
      <w:pPr>
        <w:spacing w:after="0" w:line="243" w:lineRule="exact"/>
        <w:rPr>
          <w:sz w:val="20"/>
          <w:szCs w:val="20"/>
          <w:color w:val="auto"/>
        </w:rPr>
      </w:pPr>
    </w:p>
    <w:p>
      <w:pPr>
        <w:jc w:val="both"/>
        <w:ind w:firstLine="441"/>
        <w:spacing w:after="0" w:line="297" w:lineRule="auto"/>
        <w:rPr>
          <w:sz w:val="20"/>
          <w:szCs w:val="20"/>
          <w:color w:val="auto"/>
        </w:rPr>
      </w:pPr>
      <w:r>
        <w:rPr>
          <w:rFonts w:ascii="Times New Roman" w:cs="Times New Roman" w:eastAsia="Times New Roman" w:hAnsi="Times New Roman"/>
          <w:sz w:val="18"/>
          <w:szCs w:val="18"/>
          <w:color w:val="auto"/>
        </w:rPr>
        <w:t>To our knowledge, other than as disclosed in the table above, our other filings with the SEC and this Annual Report, there has been no significant change in the percentage ownership held by any major shareholder during the past three years.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43" w:lineRule="exact"/>
        <w:rPr>
          <w:sz w:val="20"/>
          <w:szCs w:val="20"/>
          <w:color w:val="auto"/>
        </w:rPr>
      </w:pPr>
    </w:p>
    <w:p>
      <w:pPr>
        <w:jc w:val="both"/>
        <w:ind w:right="20" w:firstLine="441"/>
        <w:spacing w:after="0" w:line="297" w:lineRule="auto"/>
        <w:rPr>
          <w:sz w:val="20"/>
          <w:szCs w:val="20"/>
          <w:color w:val="auto"/>
        </w:rPr>
      </w:pPr>
      <w:r>
        <w:rPr>
          <w:rFonts w:ascii="Times New Roman" w:cs="Times New Roman" w:eastAsia="Times New Roman" w:hAnsi="Times New Roman"/>
          <w:sz w:val="18"/>
          <w:szCs w:val="18"/>
          <w:color w:val="auto"/>
        </w:rPr>
        <w:t>Neither our major shareholders nor our directors and executive officers will have different or special voting rights with respect to their ordinary shares.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Registered Holders</w:t>
      </w:r>
    </w:p>
    <w:p>
      <w:pPr>
        <w:spacing w:after="0" w:line="256" w:lineRule="exact"/>
        <w:rPr>
          <w:sz w:val="20"/>
          <w:szCs w:val="20"/>
          <w:color w:val="auto"/>
        </w:rPr>
      </w:pPr>
    </w:p>
    <w:p>
      <w:pPr>
        <w:jc w:val="both"/>
        <w:ind w:right="20" w:firstLine="441"/>
        <w:spacing w:after="0" w:line="274" w:lineRule="auto"/>
        <w:rPr>
          <w:sz w:val="20"/>
          <w:szCs w:val="20"/>
          <w:color w:val="auto"/>
        </w:rPr>
      </w:pPr>
      <w:r>
        <w:rPr>
          <w:rFonts w:ascii="Times New Roman" w:cs="Times New Roman" w:eastAsia="Times New Roman" w:hAnsi="Times New Roman"/>
          <w:sz w:val="18"/>
          <w:szCs w:val="18"/>
          <w:color w:val="auto"/>
        </w:rPr>
        <w:t>As of February 28, 2023, approximately 75% of our outstanding shares were held by 133 holders of records in the United States (including Cede &amp; Co., the nominee of the Depository Trust Company). The number of record holders in the United States is not representative of the number of beneficial holders nor is it representative of where such beneficial holders are resident since many of these ordinary shares were held by brokers or other nominees.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Control Arrangements</w:t>
      </w:r>
    </w:p>
    <w:p>
      <w:pPr>
        <w:spacing w:after="0" w:line="2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are not aware of any arrangement that may at a subsequent date, result in a change of control of the Company.</w:t>
      </w:r>
    </w:p>
    <w:p>
      <w:pPr>
        <w:spacing w:after="0" w:line="24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2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is a description of our related party transactions as defined under Item 7.B of Form 20-F, since January 1, 2020.</w:t>
      </w:r>
    </w:p>
    <w:p>
      <w:pPr>
        <w:spacing w:after="0" w:line="250"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Series F Preferred Share Financing. </w:t>
      </w:r>
      <w:r>
        <w:rPr>
          <w:rFonts w:ascii="Times New Roman" w:cs="Times New Roman" w:eastAsia="Times New Roman" w:hAnsi="Times New Roman"/>
          <w:sz w:val="18"/>
          <w:szCs w:val="18"/>
          <w:color w:val="auto"/>
        </w:rPr>
        <w:t>In November 2019, we signed a Series F Share Purchase Agreement, undertaking to sell to investors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 of 4,103,487 of our Series F preferred shares at a purchase price of $21.932565 per share for an aggregate purchase price of $90 million, such shares to be issued (against payment) from time to time upon our funding request(s) or the purchase request(s) of such investors, no later than 24 months from the initial closing or (if earlier) upon an IPO or exit event. In January 2020, we signed a joinder to the Series F Share Purchase Agreement, selling an aggregate of 159,338 of our Series F preferred shares at a purchase price of $21.932565 per share for an aggregate purchase price of approximately $3.5 million. Each Series F preferred share automatically converted into one ordinary share immediately prior to the closing of our IPO in accordance with the terms of our articles of association in effect prior to our IPO.</w:t>
      </w:r>
    </w:p>
    <w:p>
      <w:pPr>
        <w:spacing w:after="0" w:line="192" w:lineRule="exact"/>
        <w:rPr>
          <w:sz w:val="20"/>
          <w:szCs w:val="20"/>
          <w:color w:val="auto"/>
        </w:rPr>
      </w:pPr>
    </w:p>
    <w:p>
      <w:pPr>
        <w:jc w:val="both"/>
        <w:ind w:right="20" w:firstLine="441"/>
        <w:spacing w:after="0" w:line="274" w:lineRule="auto"/>
        <w:rPr>
          <w:sz w:val="20"/>
          <w:szCs w:val="20"/>
          <w:color w:val="auto"/>
        </w:rPr>
      </w:pPr>
      <w:r>
        <w:rPr>
          <w:rFonts w:ascii="Times New Roman" w:cs="Times New Roman" w:eastAsia="Times New Roman" w:hAnsi="Times New Roman"/>
          <w:sz w:val="18"/>
          <w:szCs w:val="18"/>
          <w:color w:val="auto"/>
        </w:rPr>
        <w:t>The following table summarizes the Series F preferred shares purchased by holders of more than 5% of our share capital, our executive officers, members of our board of directors and any entities affiliated with our executive officers or a member of our board of directors, as of the date of this Annual Report: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8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56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Series F Preferred Shares</w:t>
            </w:r>
          </w:p>
        </w:tc>
        <w:tc>
          <w:tcPr>
            <w:tcW w:w="0" w:type="dxa"/>
            <w:vAlign w:val="bottom"/>
          </w:tcPr>
          <w:p>
            <w:pPr>
              <w:spacing w:after="0"/>
              <w:rPr>
                <w:sz w:val="1"/>
                <w:szCs w:val="1"/>
                <w:color w:val="auto"/>
              </w:rPr>
            </w:pPr>
          </w:p>
        </w:tc>
      </w:tr>
      <w:tr>
        <w:trPr>
          <w:trHeight w:val="194"/>
        </w:trPr>
        <w:tc>
          <w:tcPr>
            <w:tcW w:w="8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Aggregate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Shareholder</w:t>
            </w:r>
            <w:r>
              <w:rPr>
                <w:rFonts w:ascii="Times New Roman" w:cs="Times New Roman" w:eastAsia="Times New Roman" w:hAnsi="Times New Roman"/>
                <w:sz w:val="29"/>
                <w:szCs w:val="29"/>
                <w:b w:val="1"/>
                <w:bCs w:val="1"/>
                <w:color w:val="auto"/>
                <w:vertAlign w:val="superscript"/>
              </w:rPr>
              <w:t>(1)</w:t>
            </w: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Purchase</w:t>
            </w:r>
          </w:p>
        </w:tc>
        <w:tc>
          <w:tcPr>
            <w:tcW w:w="0" w:type="dxa"/>
            <w:vAlign w:val="bottom"/>
          </w:tcPr>
          <w:p>
            <w:pPr>
              <w:spacing w:after="0"/>
              <w:rPr>
                <w:sz w:val="1"/>
                <w:szCs w:val="1"/>
                <w:color w:val="auto"/>
              </w:rPr>
            </w:pPr>
          </w:p>
        </w:tc>
      </w:tr>
      <w:tr>
        <w:trPr>
          <w:trHeight w:val="259"/>
        </w:trPr>
        <w:tc>
          <w:tcPr>
            <w:tcW w:w="8680" w:type="dxa"/>
            <w:vAlign w:val="bottom"/>
            <w:gridSpan w:val="2"/>
            <w:vMerge w:val="continue"/>
          </w:tcPr>
          <w:p>
            <w:pPr>
              <w:spacing w:after="0"/>
              <w:rPr>
                <w:sz w:val="22"/>
                <w:szCs w:val="22"/>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140" w:type="dxa"/>
            <w:vAlign w:val="bottom"/>
          </w:tcPr>
          <w:p>
            <w:pPr>
              <w:spacing w:after="0"/>
              <w:rPr>
                <w:sz w:val="22"/>
                <w:szCs w:val="22"/>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0" w:type="dxa"/>
            <w:vAlign w:val="bottom"/>
          </w:tcPr>
          <w:p>
            <w:pPr>
              <w:spacing w:after="0"/>
              <w:rPr>
                <w:sz w:val="1"/>
                <w:szCs w:val="1"/>
                <w:color w:val="auto"/>
              </w:rPr>
            </w:pPr>
          </w:p>
        </w:tc>
      </w:tr>
      <w:tr>
        <w:trPr>
          <w:trHeight w:val="230"/>
        </w:trPr>
        <w:tc>
          <w:tcPr>
            <w:tcW w:w="8560" w:type="dxa"/>
            <w:vAlign w:val="bottom"/>
            <w:tcBorders>
              <w:top w:val="single" w:sz="8" w:color="auto"/>
            </w:tcBorders>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Entities Affiliated with Insight Partners</w:t>
            </w:r>
            <w:r>
              <w:rPr>
                <w:rFonts w:ascii="Times New Roman" w:cs="Times New Roman" w:eastAsia="Times New Roman" w:hAnsi="Times New Roman"/>
                <w:sz w:val="26"/>
                <w:szCs w:val="26"/>
                <w:color w:val="auto"/>
                <w:vertAlign w:val="superscript"/>
              </w:rPr>
              <w:t>(2)</w:t>
            </w:r>
          </w:p>
        </w:tc>
        <w:tc>
          <w:tcPr>
            <w:tcW w:w="120" w:type="dxa"/>
            <w:vAlign w:val="bottom"/>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911,886</w:t>
            </w:r>
          </w:p>
        </w:tc>
        <w:tc>
          <w:tcPr>
            <w:tcW w:w="220" w:type="dxa"/>
            <w:vAlign w:val="bottom"/>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7"/>
              </w:rPr>
              <w:t>20.0 million</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9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Entity Affiliated with Vitruvian Partners</w:t>
            </w:r>
            <w:r>
              <w:rPr>
                <w:rFonts w:ascii="Times New Roman" w:cs="Times New Roman" w:eastAsia="Times New Roman" w:hAnsi="Times New Roman"/>
                <w:sz w:val="29"/>
                <w:szCs w:val="29"/>
                <w:color w:val="auto"/>
                <w:vertAlign w:val="superscript"/>
              </w:rPr>
              <w:t>(3)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3,191,601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70.0 million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131381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1313815" cy="8890"/>
                    </a:xfrm>
                    <a:prstGeom prst="rect">
                      <a:avLst/>
                    </a:prstGeom>
                    <a:noFill/>
                  </pic:spPr>
                </pic:pic>
              </a:graphicData>
            </a:graphic>
          </wp:anchor>
        </w:drawing>
      </w:r>
    </w:p>
    <w:p>
      <w:pPr>
        <w:spacing w:after="0" w:line="243" w:lineRule="exact"/>
        <w:rPr>
          <w:sz w:val="20"/>
          <w:szCs w:val="20"/>
          <w:color w:val="auto"/>
        </w:rPr>
      </w:pPr>
    </w:p>
    <w:p>
      <w:pPr>
        <w:ind w:left="580" w:hanging="572"/>
        <w:spacing w:after="0" w:line="268" w:lineRule="auto"/>
        <w:tabs>
          <w:tab w:leader="none" w:pos="5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details regarding certain of these shareholders and their equity holdings are provided in this Annual Report under the caption “Major Shareholders.”</w:t>
      </w:r>
    </w:p>
    <w:p>
      <w:pPr>
        <w:spacing w:after="0" w:line="1"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Jeff Horing, a member of our board of directors, is a member of the board of managers of Insight Holdings Group LLC.</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Risman, a member of our board of directors, is the managing partner of Vitruvian Partners.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color w:val="auto"/>
        </w:rPr>
        <w:t>Rights of Appointment Pre-IPO</w:t>
      </w:r>
    </w:p>
    <w:p>
      <w:pPr>
        <w:spacing w:after="0" w:line="243" w:lineRule="exact"/>
        <w:rPr>
          <w:sz w:val="20"/>
          <w:szCs w:val="20"/>
          <w:color w:val="auto"/>
        </w:rPr>
      </w:pPr>
    </w:p>
    <w:p>
      <w:pPr>
        <w:jc w:val="both"/>
        <w:ind w:firstLine="441"/>
        <w:spacing w:after="0" w:line="297" w:lineRule="auto"/>
        <w:rPr>
          <w:sz w:val="20"/>
          <w:szCs w:val="20"/>
          <w:color w:val="auto"/>
        </w:rPr>
      </w:pPr>
      <w:r>
        <w:rPr>
          <w:rFonts w:ascii="Times New Roman" w:cs="Times New Roman" w:eastAsia="Times New Roman" w:hAnsi="Times New Roman"/>
          <w:sz w:val="18"/>
          <w:szCs w:val="18"/>
          <w:color w:val="auto"/>
        </w:rPr>
        <w:t>Our board of directors currently consists of ten directors. Pursuant to our articles of association in effect prior to our IPO, certain of our shareholders, including our related parties, had rights to appoint members of our board of directors. See the section titled “Management-Appointment Rights.”</w:t>
      </w:r>
    </w:p>
    <w:p>
      <w:pPr>
        <w:spacing w:after="0" w:line="163" w:lineRule="exact"/>
        <w:rPr>
          <w:sz w:val="20"/>
          <w:szCs w:val="20"/>
          <w:color w:val="auto"/>
        </w:rPr>
      </w:pPr>
    </w:p>
    <w:p>
      <w:pPr>
        <w:jc w:val="both"/>
        <w:ind w:firstLine="441"/>
        <w:spacing w:after="0" w:line="274" w:lineRule="auto"/>
        <w:rPr>
          <w:sz w:val="20"/>
          <w:szCs w:val="20"/>
          <w:color w:val="auto"/>
        </w:rPr>
      </w:pPr>
      <w:r>
        <w:rPr>
          <w:rFonts w:ascii="Times New Roman" w:cs="Times New Roman" w:eastAsia="Times New Roman" w:hAnsi="Times New Roman"/>
          <w:sz w:val="18"/>
          <w:szCs w:val="18"/>
          <w:color w:val="auto"/>
        </w:rPr>
        <w:t>All rights to appoint directors and observers terminated upon the closing of our IPO, although currently serving directors that were appointed prior to our IPO will continue to serve pursuant to their appointment until the annual general meeting of our shareholders at which the term of their class of director expires.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 Rights Agreement</w:t>
      </w:r>
    </w:p>
    <w:p>
      <w:pPr>
        <w:spacing w:after="0" w:line="243" w:lineRule="exact"/>
        <w:rPr>
          <w:sz w:val="20"/>
          <w:szCs w:val="20"/>
          <w:color w:val="auto"/>
        </w:rPr>
      </w:pPr>
    </w:p>
    <w:p>
      <w:pPr>
        <w:jc w:val="both"/>
        <w:ind w:right="20" w:firstLine="441"/>
        <w:spacing w:after="0" w:line="274" w:lineRule="auto"/>
        <w:rPr>
          <w:sz w:val="20"/>
          <w:szCs w:val="20"/>
          <w:color w:val="auto"/>
        </w:rPr>
      </w:pPr>
      <w:r>
        <w:rPr>
          <w:rFonts w:ascii="Times New Roman" w:cs="Times New Roman" w:eastAsia="Times New Roman" w:hAnsi="Times New Roman"/>
          <w:sz w:val="18"/>
          <w:szCs w:val="18"/>
          <w:color w:val="auto"/>
        </w:rPr>
        <w:t>In June 2021, we entered into an amended and restated investor’s rights agreement with certain holders of our preferred shares, entities affiliated with certain of our executive officers and directors, as well as certain of our executive officers and directors. These shareholders are entitled to certain registration rights with respect to the registrable securities held by them.</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Transactions</w:t>
      </w:r>
    </w:p>
    <w:p>
      <w:pPr>
        <w:spacing w:after="0" w:line="243" w:lineRule="exact"/>
        <w:rPr>
          <w:sz w:val="20"/>
          <w:szCs w:val="20"/>
          <w:color w:val="auto"/>
        </w:rPr>
      </w:pPr>
    </w:p>
    <w:p>
      <w:pPr>
        <w:jc w:val="both"/>
        <w:ind w:firstLine="441"/>
        <w:spacing w:after="0" w:line="274" w:lineRule="auto"/>
        <w:rPr>
          <w:sz w:val="20"/>
          <w:szCs w:val="20"/>
          <w:color w:val="auto"/>
        </w:rPr>
      </w:pPr>
      <w:r>
        <w:rPr>
          <w:rFonts w:ascii="Times New Roman" w:cs="Times New Roman" w:eastAsia="Times New Roman" w:hAnsi="Times New Roman"/>
          <w:sz w:val="18"/>
          <w:szCs w:val="18"/>
          <w:color w:val="auto"/>
        </w:rPr>
        <w:t>Maya Flisser, the spouse of Dan Adika, our Chief Executive Officer and a member of our board of directors, is employed by us as a Purchasing Manager based in Tel Aviv. We believe Ms. Flisser’s compensation is aligned with that of employees of similar companies in Tel Aviv having similar skills and experience. Ms. Flisser is not an executive officer of the Company.</w:t>
      </w:r>
    </w:p>
    <w:p>
      <w:pPr>
        <w:spacing w:after="0" w:line="182" w:lineRule="exact"/>
        <w:rPr>
          <w:sz w:val="20"/>
          <w:szCs w:val="20"/>
          <w:color w:val="auto"/>
        </w:rPr>
      </w:pPr>
    </w:p>
    <w:p>
      <w:pPr>
        <w:jc w:val="both"/>
        <w:ind w:firstLine="441"/>
        <w:spacing w:after="0" w:line="297" w:lineRule="auto"/>
        <w:rPr>
          <w:sz w:val="20"/>
          <w:szCs w:val="20"/>
          <w:color w:val="auto"/>
        </w:rPr>
      </w:pPr>
      <w:r>
        <w:rPr>
          <w:rFonts w:ascii="Times New Roman" w:cs="Times New Roman" w:eastAsia="Times New Roman" w:hAnsi="Times New Roman"/>
          <w:sz w:val="18"/>
          <w:szCs w:val="18"/>
          <w:color w:val="auto"/>
        </w:rPr>
        <w:t>For each of the years ended December 31, 2020, 2021 and 2022, we paid BFP &amp; Co. (“BFP”), our external corporate counsel, consideration of approximately $320,000, $920,000, $145,000, respectively, for legal services. Haleli Barath, a member of our board of directors, is a partner at BFP.</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with Directors and Officers</w:t>
      </w:r>
    </w:p>
    <w:p>
      <w:pPr>
        <w:spacing w:after="0" w:line="254" w:lineRule="exact"/>
        <w:rPr>
          <w:sz w:val="20"/>
          <w:szCs w:val="20"/>
          <w:color w:val="auto"/>
        </w:rPr>
      </w:pPr>
    </w:p>
    <w:p>
      <w:pPr>
        <w:jc w:val="both"/>
        <w:ind w:firstLine="44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Employment and Consulting Agreements. </w:t>
      </w:r>
      <w:r>
        <w:rPr>
          <w:rFonts w:ascii="Times New Roman" w:cs="Times New Roman" w:eastAsia="Times New Roman" w:hAnsi="Times New Roman"/>
          <w:sz w:val="18"/>
          <w:szCs w:val="18"/>
          <w:color w:val="auto"/>
        </w:rPr>
        <w:t>We have entered into written employment agreements with each of our executive officers. See Item 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“Management-Employment and Consulting Agreements with Executive Officers.”</w:t>
      </w:r>
    </w:p>
    <w:p>
      <w:pPr>
        <w:spacing w:after="0" w:line="185" w:lineRule="exact"/>
        <w:rPr>
          <w:sz w:val="20"/>
          <w:szCs w:val="20"/>
          <w:color w:val="auto"/>
        </w:rPr>
      </w:pPr>
    </w:p>
    <w:p>
      <w:pPr>
        <w:jc w:val="both"/>
        <w:ind w:firstLine="441"/>
        <w:spacing w:after="0" w:line="275" w:lineRule="auto"/>
        <w:rPr>
          <w:sz w:val="20"/>
          <w:szCs w:val="20"/>
          <w:color w:val="auto"/>
        </w:rPr>
      </w:pPr>
      <w:r>
        <w:rPr>
          <w:rFonts w:ascii="Times New Roman" w:cs="Times New Roman" w:eastAsia="Times New Roman" w:hAnsi="Times New Roman"/>
          <w:sz w:val="18"/>
          <w:szCs w:val="18"/>
          <w:i w:val="1"/>
          <w:iCs w:val="1"/>
          <w:color w:val="auto"/>
        </w:rPr>
        <w:t xml:space="preserve">Awards. </w:t>
      </w:r>
      <w:r>
        <w:rPr>
          <w:rFonts w:ascii="Times New Roman" w:cs="Times New Roman" w:eastAsia="Times New Roman" w:hAnsi="Times New Roman"/>
          <w:sz w:val="18"/>
          <w:szCs w:val="18"/>
          <w:color w:val="auto"/>
        </w:rPr>
        <w:t>Since our inception, we have granted options to purchase our ordinary shares to our executive officers and certain of our directors.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agreements may contain acceleration provisions upon certain merger, acquisition or change of control transactions and other circumstances. We describe our option plans under “Management-Share Option Plans.”</w:t>
      </w:r>
    </w:p>
    <w:p>
      <w:pPr>
        <w:spacing w:after="0" w:line="179" w:lineRule="exact"/>
        <w:rPr>
          <w:sz w:val="20"/>
          <w:szCs w:val="20"/>
          <w:color w:val="auto"/>
        </w:rPr>
      </w:pPr>
    </w:p>
    <w:p>
      <w:pPr>
        <w:jc w:val="both"/>
        <w:ind w:firstLine="441"/>
        <w:spacing w:after="0" w:line="270" w:lineRule="auto"/>
        <w:rPr>
          <w:sz w:val="20"/>
          <w:szCs w:val="20"/>
          <w:color w:val="auto"/>
        </w:rPr>
      </w:pPr>
      <w:r>
        <w:rPr>
          <w:rFonts w:ascii="Times New Roman" w:cs="Times New Roman" w:eastAsia="Times New Roman" w:hAnsi="Times New Roman"/>
          <w:sz w:val="18"/>
          <w:szCs w:val="18"/>
          <w:i w:val="1"/>
          <w:iCs w:val="1"/>
          <w:color w:val="auto"/>
        </w:rPr>
        <w:t xml:space="preserve">Exculpation, Indemnification and Insurance. </w:t>
      </w:r>
      <w:r>
        <w:rPr>
          <w:rFonts w:ascii="Times New Roman" w:cs="Times New Roman" w:eastAsia="Times New Roman" w:hAnsi="Times New Roman"/>
          <w:sz w:val="18"/>
          <w:szCs w:val="18"/>
          <w:color w:val="auto"/>
        </w:rPr>
        <w:t>Our Articles of Association permit us to exculpate, indemnify and insure certain of our office holders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fullest extent permitted by the Companies Law. We have entered into agreements with certain office holders, exculpating them from a breach of their duty of care to us to the fullest extent permitted by law and undertaking to indemnify them to the fullest extent permitted by law, subject to certain exceptions, including with respect to liabilities resulting from the IPO to the extent that such liabilities are not covered by insurance. See Item 6. “Directors, Senior Management and Employees-Exculpation, Insurance and Indemnification of Directors and Officers.”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color w:val="auto"/>
        </w:rPr>
        <w:t>Related Party Transaction Policy</w:t>
      </w:r>
    </w:p>
    <w:p>
      <w:pPr>
        <w:spacing w:after="0" w:line="243"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Our board of directors has adopted a written related party transaction policy that sets forth the policies and procedures for the review and approval or ratification of related person transactions. This policy covers interested party transactions under the Companies Law, interested party transactions as defined in Part I, Item 7.B of Form 20-F and transactions between the Company and an interested party, which are material to the Company or the interested party, and any such transactions between the Company and an interested party that are unusual in their nature or conditions, involving goods, services, or tangible or intangible assets. A transaction involving an amount exceeding $120,000 is presumed to be material, though transactions involving lower amounts may be material based on the facts and circumstances.</w:t>
      </w:r>
    </w:p>
    <w:p>
      <w:pPr>
        <w:spacing w:after="0" w:line="199" w:lineRule="exact"/>
        <w:rPr>
          <w:sz w:val="20"/>
          <w:szCs w:val="20"/>
          <w:color w:val="auto"/>
        </w:rPr>
      </w:pPr>
    </w:p>
    <w:p>
      <w:pPr>
        <w:ind w:left="440" w:right="8380" w:hanging="432"/>
        <w:spacing w:after="0" w:line="524" w:lineRule="auto"/>
        <w:tabs>
          <w:tab w:leader="none" w:pos="337"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Interests of Experts and Counsel </w:t>
      </w:r>
      <w:r>
        <w:rPr>
          <w:rFonts w:ascii="Times New Roman" w:cs="Times New Roman" w:eastAsia="Times New Roman" w:hAnsi="Times New Roman"/>
          <w:sz w:val="18"/>
          <w:szCs w:val="18"/>
          <w:color w:val="auto"/>
        </w:rPr>
        <w:t>Not applicable.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Information</w:t>
      </w:r>
    </w:p>
    <w:p>
      <w:pPr>
        <w:spacing w:after="0" w:line="23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A.</w:t>
        <w:tab/>
        <w:t>Consolidated Statements and Other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Financial Statements</w:t>
      </w:r>
    </w:p>
    <w:p>
      <w:pPr>
        <w:spacing w:after="0" w:line="2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Item 18. “Financial Statements.”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Arbitration Proceedings</w:t>
      </w:r>
    </w:p>
    <w:p>
      <w:pPr>
        <w:spacing w:after="0" w:line="243" w:lineRule="exact"/>
        <w:rPr>
          <w:sz w:val="20"/>
          <w:szCs w:val="20"/>
          <w:color w:val="auto"/>
        </w:rPr>
      </w:pPr>
    </w:p>
    <w:p>
      <w:pPr>
        <w:jc w:val="both"/>
        <w:ind w:firstLine="441"/>
        <w:spacing w:after="0" w:line="269" w:lineRule="auto"/>
        <w:rPr>
          <w:sz w:val="20"/>
          <w:szCs w:val="20"/>
          <w:color w:val="auto"/>
        </w:rPr>
      </w:pPr>
      <w:r>
        <w:rPr>
          <w:rFonts w:ascii="Times New Roman" w:cs="Times New Roman" w:eastAsia="Times New Roman" w:hAnsi="Times New Roman"/>
          <w:sz w:val="18"/>
          <w:szCs w:val="18"/>
          <w:color w:val="auto"/>
        </w:rPr>
        <w:t>From time to time, we may be involved in various claims and legal proceedings arising from the normal course of our business activities and operations. Other than as noted below, we are not presently a party to any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The outcomes of any such claims or proceedings, regardless of the merits, is inherently uncertain and can have an adverse impact on us because of defense and settlement costs, diversion of management resources and other factors.</w:t>
      </w:r>
    </w:p>
    <w:p>
      <w:pPr>
        <w:spacing w:after="0" w:line="188" w:lineRule="exact"/>
        <w:rPr>
          <w:sz w:val="20"/>
          <w:szCs w:val="20"/>
          <w:color w:val="auto"/>
        </w:rPr>
      </w:pPr>
    </w:p>
    <w:p>
      <w:pPr>
        <w:jc w:val="both"/>
        <w:ind w:firstLine="441"/>
        <w:spacing w:after="0" w:line="264" w:lineRule="auto"/>
        <w:rPr>
          <w:sz w:val="20"/>
          <w:szCs w:val="20"/>
          <w:color w:val="auto"/>
        </w:rPr>
      </w:pPr>
      <w:r>
        <w:rPr>
          <w:rFonts w:ascii="Times New Roman" w:cs="Times New Roman" w:eastAsia="Times New Roman" w:hAnsi="Times New Roman"/>
          <w:sz w:val="18"/>
          <w:szCs w:val="18"/>
          <w:color w:val="auto"/>
        </w:rPr>
        <w:t>On October 21, 2022, a former employee filed a putative class action in the Superior Court for the City and County of San Francisco, based on claims that she was misclassified as an exempt employee and that the Company failed to properly reimburse for business expenses, failed to pay the proper rate of pay for paid sick leave, and other claims related to the payment of commissions and derivative of the misclassification claim. On December 16, 2022, the plaintiff filed a First Amended Complaint, adding a cause of action for civil penalties under California’s Private Attorneys General Act (California Labor Code Section 2698, et. seq.) seeking to recover civil penalties on behalf of herself, other WalkMe employees, and the State of California, for alleged violations of California’s Labor Code violations. The suit seeks monetary and non-monetary damages, including punitive damages, as well as disgorgement of profits, penalties, interest, and attorneys’ fees on behalf of plaintiff and others similarly situated. The Company filed its Answer on January 19, 2023. Although this proceeding is at preliminary stages, the Company believes this lawsuit is without merit and intends to vigorously contest these claims. While the outcome of any complex legal proceeding is inherently unpredictable and subject to significant uncertainties, based upon information presently known to management, the Company believes that the potential liability, if any, will not have a material adverse effect on the Company’s financial condition, cash flows, or results of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Policy</w:t>
      </w:r>
    </w:p>
    <w:p>
      <w:pPr>
        <w:spacing w:after="0" w:line="243" w:lineRule="exact"/>
        <w:rPr>
          <w:sz w:val="20"/>
          <w:szCs w:val="20"/>
          <w:color w:val="auto"/>
        </w:rPr>
      </w:pPr>
    </w:p>
    <w:p>
      <w:pPr>
        <w:jc w:val="both"/>
        <w:ind w:firstLine="441"/>
        <w:spacing w:after="0" w:line="270" w:lineRule="auto"/>
        <w:rPr>
          <w:sz w:val="20"/>
          <w:szCs w:val="20"/>
          <w:color w:val="auto"/>
        </w:rPr>
      </w:pPr>
      <w:r>
        <w:rPr>
          <w:rFonts w:ascii="Times New Roman" w:cs="Times New Roman" w:eastAsia="Times New Roman" w:hAnsi="Times New Roman"/>
          <w:sz w:val="18"/>
          <w:szCs w:val="18"/>
          <w:color w:val="auto"/>
        </w:rPr>
        <w:t>We do not anticipate paying any dividends in the foreseeable future. We currently intend to retain future earnings, if any, to finance operations and expand our business. Our board of directors has sole discretion whether to pay dividends. If our board of directors decides to pay dividends, the form, frequency and amount will depend upon our future operations and earnings, capital requirements and surplus, general financial condition, contractual restrictions, restrictions under our Credit Facility and other factors that our directors may deem relevant. The Companies Law imposes restrictions on our ability to declare and pay dividends.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37" w:name="page138"/>
    <w:bookmarkEnd w:id="137"/>
    <w:p>
      <w:pPr>
        <w:ind w:left="440"/>
        <w:spacing w:after="0"/>
        <w:rPr>
          <w:sz w:val="20"/>
          <w:szCs w:val="20"/>
          <w:color w:val="auto"/>
        </w:rPr>
      </w:pPr>
      <w:r>
        <w:rPr>
          <w:rFonts w:ascii="Times New Roman" w:cs="Times New Roman" w:eastAsia="Times New Roman" w:hAnsi="Times New Roman"/>
          <w:sz w:val="18"/>
          <w:szCs w:val="18"/>
          <w:color w:val="auto"/>
        </w:rPr>
        <w:t>Payment of dividends may be subject to Israeli withholding taxes. See Item 10.E. “Taxation-Israeli Tax Considerations” for additional information.</w:t>
      </w:r>
    </w:p>
    <w:p>
      <w:pPr>
        <w:spacing w:after="0" w:line="23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tab/>
        <w:t>Significant Changes</w:t>
      </w:r>
    </w:p>
    <w:p>
      <w:pPr>
        <w:spacing w:after="0" w:line="2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The Offer and Listing</w:t>
      </w:r>
    </w:p>
    <w:p>
      <w:pPr>
        <w:spacing w:after="0" w:line="23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A.</w:t>
        <w:tab/>
        <w:t>Offer and Listing Details</w:t>
      </w:r>
    </w:p>
    <w:p>
      <w:pPr>
        <w:spacing w:after="0" w:line="256" w:lineRule="exact"/>
        <w:rPr>
          <w:sz w:val="20"/>
          <w:szCs w:val="20"/>
          <w:color w:val="auto"/>
        </w:rPr>
      </w:pPr>
    </w:p>
    <w:p>
      <w:pPr>
        <w:ind w:right="20" w:firstLine="441"/>
        <w:spacing w:after="0" w:line="297" w:lineRule="auto"/>
        <w:rPr>
          <w:sz w:val="20"/>
          <w:szCs w:val="20"/>
          <w:color w:val="auto"/>
        </w:rPr>
      </w:pPr>
      <w:r>
        <w:rPr>
          <w:rFonts w:ascii="Times New Roman" w:cs="Times New Roman" w:eastAsia="Times New Roman" w:hAnsi="Times New Roman"/>
          <w:sz w:val="18"/>
          <w:szCs w:val="18"/>
          <w:color w:val="auto"/>
        </w:rPr>
        <w:t>Our ordinary shares commenced trading on the Nasdaq Global Select Market on June 16, 2021 under the symbol “WKME.” Prior to this, no public market existed for our ordinary shares.</w:t>
      </w:r>
    </w:p>
    <w:p>
      <w:pPr>
        <w:spacing w:after="0" w:line="159" w:lineRule="exact"/>
        <w:rPr>
          <w:sz w:val="20"/>
          <w:szCs w:val="20"/>
          <w:color w:val="auto"/>
        </w:rPr>
      </w:pPr>
    </w:p>
    <w:p>
      <w:pPr>
        <w:ind w:left="440" w:right="9360" w:hanging="432"/>
        <w:spacing w:after="0" w:line="524" w:lineRule="auto"/>
        <w:tabs>
          <w:tab w:leader="none" w:pos="337"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Plan of Distribution </w:t>
      </w:r>
      <w:r>
        <w:rPr>
          <w:rFonts w:ascii="Times New Roman" w:cs="Times New Roman" w:eastAsia="Times New Roman" w:hAnsi="Times New Roman"/>
          <w:sz w:val="18"/>
          <w:szCs w:val="18"/>
          <w:color w:val="auto"/>
        </w:rPr>
        <w:t>Not applicable.</w:t>
      </w:r>
    </w:p>
    <w:p>
      <w:pPr>
        <w:ind w:left="340" w:hanging="332"/>
        <w:spacing w:after="0"/>
        <w:tabs>
          <w:tab w:leader="none" w:pos="34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Markets</w:t>
      </w:r>
    </w:p>
    <w:p>
      <w:pPr>
        <w:spacing w:after="0" w:line="2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ordinary shares commenced trading on the Nasdaq Global Select Market on June 16, 2021.</w:t>
      </w:r>
    </w:p>
    <w:p>
      <w:pPr>
        <w:spacing w:after="0" w:line="235" w:lineRule="exact"/>
        <w:rPr>
          <w:sz w:val="20"/>
          <w:szCs w:val="20"/>
          <w:color w:val="auto"/>
        </w:rPr>
      </w:pPr>
    </w:p>
    <w:p>
      <w:pPr>
        <w:ind w:left="440" w:right="9320" w:hanging="432"/>
        <w:spacing w:after="0" w:line="555" w:lineRule="auto"/>
        <w:tabs>
          <w:tab w:leader="none" w:pos="337" w:val="left"/>
        </w:tabs>
        <w:numPr>
          <w:ilvl w:val="0"/>
          <w:numId w:val="7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Selling Shareholders </w:t>
      </w:r>
      <w:r>
        <w:rPr>
          <w:rFonts w:ascii="Times New Roman" w:cs="Times New Roman" w:eastAsia="Times New Roman" w:hAnsi="Times New Roman"/>
          <w:sz w:val="17"/>
          <w:szCs w:val="17"/>
          <w:color w:val="auto"/>
        </w:rPr>
        <w:t>Not applicable.</w:t>
      </w:r>
    </w:p>
    <w:p>
      <w:pPr>
        <w:ind w:left="340" w:hanging="332"/>
        <w:spacing w:after="0"/>
        <w:tabs>
          <w:tab w:leader="none" w:pos="34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Dilution</w:t>
      </w:r>
    </w:p>
    <w:p>
      <w:pPr>
        <w:spacing w:after="0" w:line="2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ind w:left="440" w:right="9260" w:hanging="432"/>
        <w:spacing w:after="0" w:line="524" w:lineRule="auto"/>
        <w:tabs>
          <w:tab w:leader="none" w:pos="337"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Expenses of the Issue </w:t>
      </w:r>
      <w:r>
        <w:rPr>
          <w:rFonts w:ascii="Times New Roman" w:cs="Times New Roman" w:eastAsia="Times New Roman" w:hAnsi="Times New Roman"/>
          <w:sz w:val="18"/>
          <w:szCs w:val="18"/>
          <w:color w:val="auto"/>
        </w:rPr>
        <w:t>Not applicable.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Additional Information</w:t>
      </w:r>
    </w:p>
    <w:p>
      <w:pPr>
        <w:spacing w:after="0" w:line="239" w:lineRule="exact"/>
        <w:rPr>
          <w:sz w:val="20"/>
          <w:szCs w:val="20"/>
          <w:color w:val="auto"/>
        </w:rPr>
      </w:pPr>
    </w:p>
    <w:p>
      <w:pPr>
        <w:ind w:left="440" w:right="9700" w:hanging="432"/>
        <w:spacing w:after="0" w:line="555" w:lineRule="auto"/>
        <w:tabs>
          <w:tab w:leader="none" w:pos="337" w:val="left"/>
        </w:tabs>
        <w:numPr>
          <w:ilvl w:val="0"/>
          <w:numId w:val="7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Share Capital </w:t>
      </w:r>
      <w:r>
        <w:rPr>
          <w:rFonts w:ascii="Times New Roman" w:cs="Times New Roman" w:eastAsia="Times New Roman" w:hAnsi="Times New Roman"/>
          <w:sz w:val="17"/>
          <w:szCs w:val="17"/>
          <w:color w:val="auto"/>
        </w:rPr>
        <w:t>Not applicable.</w:t>
      </w:r>
    </w:p>
    <w:p>
      <w:pPr>
        <w:ind w:left="340" w:hanging="332"/>
        <w:spacing w:after="0"/>
        <w:tabs>
          <w:tab w:leader="none" w:pos="34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Memorandum and Articles of Association</w:t>
      </w:r>
    </w:p>
    <w:p>
      <w:pPr>
        <w:spacing w:after="0" w:line="256"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A copy of our Articles of Association is attached as Exhibit 1.1 to this Annual Report. Other than as set forth below, the information called for by this Item is set forth in Exhibit 2.1 to this Annual Report and is incorporated by reference into this Annual Report.</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38" w:name="page139"/>
    <w:bookmarkEnd w:id="138"/>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C.</w:t>
        <w:tab/>
        <w:t>Material Contracts</w:t>
      </w:r>
    </w:p>
    <w:p>
      <w:pPr>
        <w:spacing w:after="0" w:line="243" w:lineRule="exact"/>
        <w:rPr>
          <w:sz w:val="20"/>
          <w:szCs w:val="20"/>
          <w:color w:val="auto"/>
        </w:rPr>
      </w:pPr>
    </w:p>
    <w:p>
      <w:pPr>
        <w:jc w:val="both"/>
        <w:ind w:firstLine="441"/>
        <w:spacing w:after="0" w:line="281" w:lineRule="auto"/>
        <w:rPr>
          <w:sz w:val="20"/>
          <w:szCs w:val="20"/>
          <w:color w:val="auto"/>
        </w:rPr>
      </w:pPr>
      <w:r>
        <w:rPr>
          <w:rFonts w:ascii="Times New Roman" w:cs="Times New Roman" w:eastAsia="Times New Roman" w:hAnsi="Times New Roman"/>
          <w:sz w:val="18"/>
          <w:szCs w:val="18"/>
          <w:color w:val="auto"/>
        </w:rPr>
        <w:t>Except as disclosed below or otherwise disclosed in this Annual Report (including the Exhibits), we are not currently, nor have we been for the two years immediately preceding the date of this Annual Report, party to any material contract, other than contracts entered into in the ordinary course of business.</w:t>
      </w:r>
    </w:p>
    <w:p>
      <w:pPr>
        <w:spacing w:after="0" w:line="177" w:lineRule="exact"/>
        <w:rPr>
          <w:sz w:val="20"/>
          <w:szCs w:val="20"/>
          <w:color w:val="auto"/>
        </w:rPr>
      </w:pPr>
    </w:p>
    <w:p>
      <w:pPr>
        <w:jc w:val="both"/>
        <w:ind w:left="760" w:hanging="752"/>
        <w:spacing w:after="0" w:line="262" w:lineRule="auto"/>
        <w:tabs>
          <w:tab w:leader="none" w:pos="760" w:val="left"/>
        </w:tabs>
        <w:numPr>
          <w:ilvl w:val="0"/>
          <w:numId w:val="78"/>
        </w:numPr>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u w:val="single" w:color="auto"/>
            <w:color w:val="0000EE"/>
          </w:rPr>
          <w:t>Form of Indemnification Agreement entered into by and between the Registrant and each director and executive officer (Exhibit 10.5 to the</w:t>
        </w:r>
      </w:hyperlink>
      <w:r>
        <w:rPr>
          <w:rFonts w:ascii="Times New Roman" w:cs="Times New Roman" w:eastAsia="Times New Roman" w:hAnsi="Times New Roman"/>
          <w:sz w:val="18"/>
          <w:szCs w:val="18"/>
          <w:u w:val="single" w:color="auto"/>
          <w:color w:val="0000EE"/>
        </w:rPr>
        <w:t xml:space="preserve"> </w:t>
      </w:r>
      <w:hyperlink r:id="rId154">
        <w:r>
          <w:rPr>
            <w:rFonts w:ascii="Times New Roman" w:cs="Times New Roman" w:eastAsia="Times New Roman" w:hAnsi="Times New Roman"/>
            <w:sz w:val="18"/>
            <w:szCs w:val="18"/>
            <w:u w:val="single" w:color="auto"/>
            <w:color w:val="0000EE"/>
          </w:rPr>
          <w:t>Company's Registration Statement on Form F-1 (File No. 333-256219) filed with the SEC on May 17, 2021).</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See Item 6, "Directors, Senior</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Management and Employees" for more information about this document.</w:t>
      </w:r>
    </w:p>
    <w:p>
      <w:pPr>
        <w:spacing w:after="0" w:line="1" w:lineRule="exact"/>
        <w:rPr>
          <w:rFonts w:ascii="Times New Roman" w:cs="Times New Roman" w:eastAsia="Times New Roman" w:hAnsi="Times New Roman"/>
          <w:sz w:val="18"/>
          <w:szCs w:val="18"/>
          <w:color w:val="0000EE"/>
        </w:rPr>
      </w:pPr>
    </w:p>
    <w:p>
      <w:pPr>
        <w:ind w:left="760" w:hanging="752"/>
        <w:spacing w:after="0" w:line="266" w:lineRule="auto"/>
        <w:tabs>
          <w:tab w:leader="none" w:pos="760" w:val="left"/>
        </w:tabs>
        <w:numPr>
          <w:ilvl w:val="0"/>
          <w:numId w:val="78"/>
        </w:numPr>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u w:val="single" w:color="auto"/>
            <w:color w:val="0000EE"/>
          </w:rPr>
          <w:t>Restated 2012 Share Option Plan (Exhibit 10.1 to the Company's Registration Statement on Form F-1 (File No. 333-256219) filed with the SEC</w:t>
        </w:r>
      </w:hyperlink>
      <w:r>
        <w:rPr>
          <w:rFonts w:ascii="Times New Roman" w:cs="Times New Roman" w:eastAsia="Times New Roman" w:hAnsi="Times New Roman"/>
          <w:sz w:val="18"/>
          <w:szCs w:val="18"/>
          <w:u w:val="single" w:color="auto"/>
          <w:color w:val="0000EE"/>
        </w:rPr>
        <w:t xml:space="preserve"> </w:t>
      </w:r>
      <w:hyperlink r:id="rId155">
        <w:r>
          <w:rPr>
            <w:rFonts w:ascii="Times New Roman" w:cs="Times New Roman" w:eastAsia="Times New Roman" w:hAnsi="Times New Roman"/>
            <w:sz w:val="18"/>
            <w:szCs w:val="18"/>
            <w:u w:val="single" w:color="auto"/>
            <w:color w:val="0000EE"/>
          </w:rPr>
          <w:t>on May 17, 2021).</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See Item 6, "Directors, Senior Management and Employees" for more information about this document.</w:t>
        </w:r>
      </w:hyperlink>
    </w:p>
    <w:p>
      <w:pPr>
        <w:ind w:left="760" w:right="20" w:hanging="752"/>
        <w:spacing w:after="0" w:line="258" w:lineRule="auto"/>
        <w:tabs>
          <w:tab w:leader="none" w:pos="760" w:val="left"/>
        </w:tabs>
        <w:numPr>
          <w:ilvl w:val="0"/>
          <w:numId w:val="78"/>
        </w:numPr>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u w:val="single" w:color="auto"/>
            <w:color w:val="0000EE"/>
          </w:rPr>
          <w:t>2021 Share Incentive Plan (Exhibit 10.2 to the Company's Registration Statement on Form F-1 (File No. 333-256219) filed with the SEC on May</w:t>
        </w:r>
      </w:hyperlink>
      <w:r>
        <w:rPr>
          <w:rFonts w:ascii="Times New Roman" w:cs="Times New Roman" w:eastAsia="Times New Roman" w:hAnsi="Times New Roman"/>
          <w:sz w:val="18"/>
          <w:szCs w:val="18"/>
          <w:u w:val="single" w:color="auto"/>
          <w:color w:val="0000EE"/>
        </w:rPr>
        <w:t xml:space="preserve"> </w:t>
      </w:r>
      <w:hyperlink r:id="rId156">
        <w:r>
          <w:rPr>
            <w:rFonts w:ascii="Times New Roman" w:cs="Times New Roman" w:eastAsia="Times New Roman" w:hAnsi="Times New Roman"/>
            <w:sz w:val="18"/>
            <w:szCs w:val="18"/>
            <w:u w:val="single" w:color="auto"/>
            <w:color w:val="0000EE"/>
          </w:rPr>
          <w:t>17, 2021).</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See Item 6, "Directors, Senior Management and Employees" for more information about this document.</w:t>
        </w:r>
      </w:hyperlink>
    </w:p>
    <w:p>
      <w:pPr>
        <w:ind w:left="760" w:hanging="752"/>
        <w:spacing w:after="0" w:line="258" w:lineRule="auto"/>
        <w:tabs>
          <w:tab w:leader="none" w:pos="760" w:val="left"/>
        </w:tabs>
        <w:numPr>
          <w:ilvl w:val="0"/>
          <w:numId w:val="78"/>
        </w:numPr>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u w:val="single" w:color="auto"/>
            <w:color w:val="0000EE"/>
          </w:rPr>
          <w:t>2021 Employee Share Purchase Plan (Exhibit 10.3 to the Company's Registration Statement on Form F-1 (File No. 333-256219) filed with the</w:t>
        </w:r>
      </w:hyperlink>
      <w:r>
        <w:rPr>
          <w:rFonts w:ascii="Times New Roman" w:cs="Times New Roman" w:eastAsia="Times New Roman" w:hAnsi="Times New Roman"/>
          <w:sz w:val="18"/>
          <w:szCs w:val="18"/>
          <w:u w:val="single" w:color="auto"/>
          <w:color w:val="0000EE"/>
        </w:rPr>
        <w:t xml:space="preserve"> </w:t>
      </w:r>
      <w:hyperlink r:id="rId157">
        <w:r>
          <w:rPr>
            <w:rFonts w:ascii="Times New Roman" w:cs="Times New Roman" w:eastAsia="Times New Roman" w:hAnsi="Times New Roman"/>
            <w:sz w:val="18"/>
            <w:szCs w:val="18"/>
            <w:u w:val="single" w:color="auto"/>
            <w:color w:val="0000EE"/>
          </w:rPr>
          <w:t>SEC on May 17, 2021).</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See Item 6, "Directors, Senior Management and Employees" for more information about this document.</w:t>
        </w:r>
      </w:hyperlink>
    </w:p>
    <w:p>
      <w:pPr>
        <w:ind w:left="760" w:hanging="752"/>
        <w:spacing w:after="0" w:line="258" w:lineRule="auto"/>
        <w:tabs>
          <w:tab w:leader="none" w:pos="760" w:val="left"/>
        </w:tabs>
        <w:numPr>
          <w:ilvl w:val="0"/>
          <w:numId w:val="78"/>
        </w:numPr>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u w:val="single" w:color="auto"/>
            <w:color w:val="0000EE"/>
          </w:rPr>
          <w:t>Compensation Policy for Officers and Directors (Exhibit 10.4 to the Company's Registration Statement on Form F-1 (File No. 333-256219) filed</w:t>
        </w:r>
      </w:hyperlink>
      <w:r>
        <w:rPr>
          <w:rFonts w:ascii="Times New Roman" w:cs="Times New Roman" w:eastAsia="Times New Roman" w:hAnsi="Times New Roman"/>
          <w:sz w:val="18"/>
          <w:szCs w:val="18"/>
          <w:u w:val="single" w:color="auto"/>
          <w:color w:val="0000EE"/>
        </w:rPr>
        <w:t xml:space="preserve"> </w:t>
      </w:r>
      <w:hyperlink r:id="rId158">
        <w:r>
          <w:rPr>
            <w:rFonts w:ascii="Times New Roman" w:cs="Times New Roman" w:eastAsia="Times New Roman" w:hAnsi="Times New Roman"/>
            <w:sz w:val="18"/>
            <w:szCs w:val="18"/>
            <w:u w:val="single" w:color="auto"/>
            <w:color w:val="0000EE"/>
          </w:rPr>
          <w:t>with the SEC on May 10, 2021).</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See Item 6, "Directors, Senior Management and Employees" for more information about this document.</w:t>
        </w:r>
      </w:hyperlink>
    </w:p>
    <w:p>
      <w:pPr>
        <w:jc w:val="both"/>
        <w:ind w:left="760" w:hanging="752"/>
        <w:spacing w:after="0" w:line="263" w:lineRule="auto"/>
        <w:tabs>
          <w:tab w:leader="none" w:pos="760" w:val="left"/>
        </w:tabs>
        <w:numPr>
          <w:ilvl w:val="0"/>
          <w:numId w:val="78"/>
        </w:numPr>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u w:val="single" w:color="auto"/>
            <w:color w:val="0000EE"/>
          </w:rPr>
          <w:t>2021 Amended and Restated Investor’s Rights Agreement, dated as of June 6, 2021, by and among the Registrant and the parties named in</w:t>
        </w:r>
      </w:hyperlink>
      <w:r>
        <w:rPr>
          <w:rFonts w:ascii="Times New Roman" w:cs="Times New Roman" w:eastAsia="Times New Roman" w:hAnsi="Times New Roman"/>
          <w:sz w:val="18"/>
          <w:szCs w:val="18"/>
          <w:u w:val="single" w:color="auto"/>
          <w:color w:val="0000EE"/>
        </w:rPr>
        <w:t xml:space="preserve"> </w:t>
      </w:r>
      <w:hyperlink r:id="rId159">
        <w:r>
          <w:rPr>
            <w:rFonts w:ascii="Times New Roman" w:cs="Times New Roman" w:eastAsia="Times New Roman" w:hAnsi="Times New Roman"/>
            <w:sz w:val="18"/>
            <w:szCs w:val="18"/>
            <w:u w:val="single" w:color="auto"/>
            <w:color w:val="0000EE"/>
          </w:rPr>
          <w:t>Schedule 1 thereto (Exhibit 4.2 to the Company's Registration Statement on Form F-1 (File No. 333-256219) filed with the SEC on May 17,</w:t>
        </w:r>
      </w:hyperlink>
      <w:r>
        <w:rPr>
          <w:rFonts w:ascii="Times New Roman" w:cs="Times New Roman" w:eastAsia="Times New Roman" w:hAnsi="Times New Roman"/>
          <w:sz w:val="18"/>
          <w:szCs w:val="18"/>
          <w:u w:val="single" w:color="auto"/>
          <w:color w:val="0000EE"/>
        </w:rPr>
        <w:t xml:space="preserve"> </w:t>
      </w:r>
      <w:hyperlink r:id="rId159">
        <w:r>
          <w:rPr>
            <w:rFonts w:ascii="Times New Roman" w:cs="Times New Roman" w:eastAsia="Times New Roman" w:hAnsi="Times New Roman"/>
            <w:sz w:val="18"/>
            <w:szCs w:val="18"/>
            <w:u w:val="single" w:color="auto"/>
            <w:color w:val="0000EE"/>
          </w:rPr>
          <w:t>2021).</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See Item 6, "Directors, Senior Management and Employees" for more information about this document.</w:t>
        </w:r>
      </w:hyperlink>
    </w:p>
    <w:p>
      <w:pPr>
        <w:spacing w:after="0" w:line="202" w:lineRule="exact"/>
        <w:rPr>
          <w:rFonts w:ascii="Times New Roman" w:cs="Times New Roman" w:eastAsia="Times New Roman" w:hAnsi="Times New Roman"/>
          <w:sz w:val="18"/>
          <w:szCs w:val="18"/>
          <w:u w:val="single" w:color="auto"/>
          <w:color w:val="0000EE"/>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Exchange Controls</w:t>
      </w:r>
    </w:p>
    <w:p>
      <w:pPr>
        <w:spacing w:after="0" w:line="243" w:lineRule="exact"/>
        <w:rPr>
          <w:rFonts w:ascii="Times New Roman" w:cs="Times New Roman" w:eastAsia="Times New Roman" w:hAnsi="Times New Roman"/>
          <w:sz w:val="18"/>
          <w:szCs w:val="18"/>
          <w:u w:val="single" w:color="auto"/>
          <w:color w:val="0000EE"/>
        </w:rPr>
      </w:pPr>
    </w:p>
    <w:p>
      <w:pPr>
        <w:jc w:val="both"/>
        <w:ind w:firstLine="441"/>
        <w:spacing w:after="0" w:line="281" w:lineRule="auto"/>
        <w:rPr>
          <w:sz w:val="20"/>
          <w:szCs w:val="20"/>
          <w:color w:val="auto"/>
        </w:rPr>
      </w:pPr>
      <w:r>
        <w:rPr>
          <w:rFonts w:ascii="Times New Roman" w:cs="Times New Roman" w:eastAsia="Times New Roman" w:hAnsi="Times New Roman"/>
          <w:sz w:val="18"/>
          <w:szCs w:val="18"/>
          <w:color w:val="auto"/>
        </w:rPr>
        <w:t>There are currently no Israeli currency control restrictions on remittances of dividends on our ordinary shares, proceeds from the sale of the ordinary shares or interest or other payments to non-residents of Israel, except for shareholders who are subjects of countries that are, have been, or will be, in a state of war with Israel.</w:t>
      </w:r>
    </w:p>
    <w:p>
      <w:pPr>
        <w:spacing w:after="0" w:line="173" w:lineRule="exact"/>
        <w:rPr>
          <w:rFonts w:ascii="Times New Roman" w:cs="Times New Roman" w:eastAsia="Times New Roman" w:hAnsi="Times New Roman"/>
          <w:sz w:val="18"/>
          <w:szCs w:val="18"/>
          <w:u w:val="single" w:color="auto"/>
          <w:color w:val="0000EE"/>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Taxation</w:t>
      </w:r>
    </w:p>
    <w:p>
      <w:pPr>
        <w:spacing w:after="0" w:line="252"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b w:val="1"/>
          <w:bCs w:val="1"/>
          <w:color w:val="auto"/>
        </w:rPr>
        <w:t>Israeli Tax Considerations</w:t>
      </w:r>
    </w:p>
    <w:p>
      <w:pPr>
        <w:spacing w:after="0" w:line="241"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i w:val="1"/>
          <w:iCs w:val="1"/>
          <w:color w:val="auto"/>
        </w:rPr>
        <w:t>General corporate tax structure in Israel</w:t>
      </w:r>
    </w:p>
    <w:p>
      <w:pPr>
        <w:spacing w:after="0" w:line="241" w:lineRule="exact"/>
        <w:rPr>
          <w:rFonts w:ascii="Times New Roman" w:cs="Times New Roman" w:eastAsia="Times New Roman" w:hAnsi="Times New Roman"/>
          <w:sz w:val="18"/>
          <w:szCs w:val="18"/>
          <w:u w:val="single" w:color="auto"/>
          <w:color w:val="0000EE"/>
        </w:rPr>
      </w:pPr>
    </w:p>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Israeli companies are generally subject to corporate tax. The standard corporate tax rate in 2022 was 23%. However, the effective tax rate payable by a company that derives income from an , a "Preferred Enterprise", a “Special Preferred Enterprise”, a “Preferred Technological Enterprise”, or a "Special Preferred Technology Enterprise" (as discussed below) may be considerably less. Capital gains derived by an Israeli company are generally subject to the prevailing corporate tax rate.</w:t>
      </w:r>
    </w:p>
    <w:p>
      <w:pPr>
        <w:spacing w:after="0" w:line="184"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i w:val="1"/>
          <w:iCs w:val="1"/>
          <w:color w:val="auto"/>
        </w:rPr>
        <w:t>Law for the Encouragement of Capital Investments, 5719-1959</w:t>
      </w:r>
    </w:p>
    <w:p>
      <w:pPr>
        <w:spacing w:after="0" w:line="254" w:lineRule="exact"/>
        <w:rPr>
          <w:rFonts w:ascii="Times New Roman" w:cs="Times New Roman" w:eastAsia="Times New Roman" w:hAnsi="Times New Roman"/>
          <w:sz w:val="18"/>
          <w:szCs w:val="18"/>
          <w:u w:val="single" w:color="auto"/>
          <w:color w:val="0000EE"/>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Law for the Encouragement of Capital Investments, 5719-1959, generally referred to as the Investment Law, provides certain incentives for capital investments in production facilities (or other eligible assets).</w:t>
      </w:r>
    </w:p>
    <w:p>
      <w:pPr>
        <w:spacing w:after="0" w:line="364" w:lineRule="exact"/>
        <w:rPr>
          <w:rFonts w:ascii="Times New Roman" w:cs="Times New Roman" w:eastAsia="Times New Roman" w:hAnsi="Times New Roman"/>
          <w:sz w:val="18"/>
          <w:szCs w:val="18"/>
          <w:u w:val="single" w:color="auto"/>
          <w:color w:val="0000EE"/>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39" w:name="page140"/>
    <w:bookmarkEnd w:id="139"/>
    <w:p>
      <w:pPr>
        <w:jc w:val="both"/>
        <w:ind w:firstLine="441"/>
        <w:spacing w:after="0" w:line="263" w:lineRule="auto"/>
        <w:rPr>
          <w:sz w:val="20"/>
          <w:szCs w:val="20"/>
          <w:color w:val="auto"/>
        </w:rPr>
      </w:pPr>
      <w:r>
        <w:rPr>
          <w:rFonts w:ascii="Times New Roman" w:cs="Times New Roman" w:eastAsia="Times New Roman" w:hAnsi="Times New Roman"/>
          <w:sz w:val="18"/>
          <w:szCs w:val="18"/>
          <w:color w:val="auto"/>
        </w:rPr>
        <w:t>The Investment Law was significantly amended effective as of April 1, 2005 (the “2005 Amendment”), as of January 1, 2011 (the “2011 Amendment”) and as of January 1, 2017 (the “2017 Amendment”). Pursuant to the 2005 Amendment, tax benefits granted in accordance with the provisions of the Investment Law prior to its revision by the 2005 Amendment remain in force but any benefits granted subsequently are subject to the provisions of the amended Investment Law. Similarly, the 2011 Amendment introduced new benefits to replace those granted in accordance with the provisions of the Investment Law in effect prior to the 2011 Amendment. However, companies entitled to benefits under the Investment Law as in effect prior to January 1, 2011 were entitled to choose to continue to enjoy such benefits, provided that certain conditions are met, or elect instead, irrevocably, to forego such benefits and have the benefits of the 2011 Amendment apply. The 2017 Amendment introduced new benefits for Preferred Technological Enterprises, alongside the existing tax benefits.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benefits under the 2011 Amendment</w:t>
      </w:r>
    </w:p>
    <w:p>
      <w:pPr>
        <w:spacing w:after="0" w:line="241" w:lineRule="exact"/>
        <w:rPr>
          <w:sz w:val="20"/>
          <w:szCs w:val="20"/>
          <w:color w:val="auto"/>
        </w:rPr>
      </w:pPr>
    </w:p>
    <w:p>
      <w:pPr>
        <w:jc w:val="both"/>
        <w:ind w:firstLine="441"/>
        <w:spacing w:after="0" w:line="274" w:lineRule="auto"/>
        <w:rPr>
          <w:sz w:val="20"/>
          <w:szCs w:val="20"/>
          <w:color w:val="auto"/>
        </w:rPr>
      </w:pPr>
      <w:r>
        <w:rPr>
          <w:rFonts w:ascii="Times New Roman" w:cs="Times New Roman" w:eastAsia="Times New Roman" w:hAnsi="Times New Roman"/>
          <w:sz w:val="18"/>
          <w:szCs w:val="18"/>
          <w:color w:val="auto"/>
        </w:rPr>
        <w:t>The 2011 Amendment introduced new benefits for income generated by a “Preferred Company” through its “Preferred Enterprise” (as such terms are defined in the Investment Law) as of January 1, 2011. The definition of a Preferred Company includes a company incorporated in Israel that is not fully owned by a governmental entity, and that has, among other things, Preferred Enterprise status and is controlled and managed from Israel.</w:t>
      </w:r>
    </w:p>
    <w:p>
      <w:pPr>
        <w:spacing w:after="0" w:line="196" w:lineRule="exact"/>
        <w:rPr>
          <w:sz w:val="20"/>
          <w:szCs w:val="20"/>
          <w:color w:val="auto"/>
        </w:rPr>
      </w:pPr>
    </w:p>
    <w:p>
      <w:pPr>
        <w:jc w:val="both"/>
        <w:ind w:firstLine="441"/>
        <w:spacing w:after="0" w:line="263" w:lineRule="auto"/>
        <w:rPr>
          <w:sz w:val="20"/>
          <w:szCs w:val="20"/>
          <w:color w:val="auto"/>
        </w:rPr>
      </w:pPr>
      <w:r>
        <w:rPr>
          <w:rFonts w:ascii="Times New Roman" w:cs="Times New Roman" w:eastAsia="Times New Roman" w:hAnsi="Times New Roman"/>
          <w:sz w:val="18"/>
          <w:szCs w:val="18"/>
          <w:color w:val="auto"/>
        </w:rPr>
        <w:t>Pursuant to the 2011 Amendment, a Preferred Company was entitled to a reduced corporate tax rate of 15% with respect to its income derived from its Preferred Enterprise in 2011 and 2012, unless the Preferred Enterprise is located in a certain development zone, in which case the rate was 10%. Under the 2011 Amendment, together with amendments to the Investment Law from 2014 and 2017, such corporate tax rate was reduced from 15% and 10%, respectively, to 12.5% and 7%, respectively, in 2013, 16% and 9% respectively, in 2014, 2015 and 2016, and 16% and 7.5%, respectively, in 2017 and thereafter. Income derived by a Preferred Company from a “Special Preferred Enterprise” (as such term is defined in the Investment Law) would be entitled, during a benefits period of 10 years, to further reduced tax rates of 8%, or 5% if the Special Preferred Enterprise is located in a certain development zone. Since January 1, 2017, the definition for “Special Preferred Enterprise” includes less stringent conditions.</w:t>
      </w:r>
    </w:p>
    <w:p>
      <w:pPr>
        <w:spacing w:after="0" w:line="208"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Dividends distributed from preferred income which is attributed to a “Preferred Enterprise” or to a "Special Preferred Enterprise" should generally be subject to withholding tax at source at the following rates: (i) Israeli resident corporations-0%, (although, if such dividends are subsequently distributed to individuals or a non-Israeli company the below rates detailed in sub sections (ii) and (iii) shall apply), (ii) Israeli resident individuals-20% and (iii) non-Israeli residents (individuals and corporations)- subject to the receipt in advance of a valid certificate from the Israel Tax Authority (“ITA”) allowing for a reduced tax rate, 20% or such lower rate as may be provided under the provisions of any applicable double tax treaty.</w:t>
      </w:r>
    </w:p>
    <w:p>
      <w:pPr>
        <w:spacing w:after="0" w:line="203"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The 2011 Amendment also provided transitional provisions to address companies already enjoying existing tax benefits under the Investment Law. These transitional provisions provide, among other things, that unless an irrevocable request is made to apply the provisions of the Investment Law as amended in 2011 with respect to income to be derived as of January 1, 2011, a “Benefited Enterprise” (as such term is defined under the Investment Law) can elect to continue to benefit from the benefits provided to it before the 2011 Amendment came into effect, provided that certain conditions are met.</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currently do not intend to implement the 2011 Amendment.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i w:val="1"/>
          <w:iCs w:val="1"/>
          <w:color w:val="auto"/>
        </w:rPr>
        <w:t>Tax benefits under the 2017 Amendment that became effective on January 1, 2017</w:t>
      </w:r>
    </w:p>
    <w:p>
      <w:pPr>
        <w:spacing w:after="0" w:line="241" w:lineRule="exact"/>
        <w:rPr>
          <w:sz w:val="20"/>
          <w:szCs w:val="20"/>
          <w:color w:val="auto"/>
        </w:rPr>
      </w:pPr>
    </w:p>
    <w:p>
      <w:pPr>
        <w:jc w:val="both"/>
        <w:ind w:firstLine="441"/>
        <w:spacing w:after="0" w:line="274" w:lineRule="auto"/>
        <w:rPr>
          <w:sz w:val="20"/>
          <w:szCs w:val="20"/>
          <w:color w:val="auto"/>
        </w:rPr>
      </w:pPr>
      <w:r>
        <w:rPr>
          <w:rFonts w:ascii="Times New Roman" w:cs="Times New Roman" w:eastAsia="Times New Roman" w:hAnsi="Times New Roman"/>
          <w:sz w:val="18"/>
          <w:szCs w:val="18"/>
          <w:color w:val="auto"/>
        </w:rPr>
        <w:t>The 2017 Amendment was enacted as part of the Economic Efficiency Law that was published on December 29, 2016, and is effective as of January 1, 2017. The 2017 Amendment provided new tax benefits for two types of “Preferred Technological Enterprises,” as described below, and is in addition to the other existing tax beneficial programs under the Investment Law.</w:t>
      </w:r>
    </w:p>
    <w:p>
      <w:pPr>
        <w:spacing w:after="0" w:line="196"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2017 Amendment provides that a technology company satisfying certain conditions should qualify as a Preferred Technological Enterprise (“PTE”) and thereby enjoy a reduced corporate tax rate of 12% on income that qualifies as “Preferred Technological Income,” as defined in the Investment Law. The tax rate is further reduced to 7.5% for a PTE located in development zone “A”. In addition, a PTE will enjoy a reduced corporate tax rate of 12% on capital gain derived from the sale of certain “Benefited Intangible Assets” (as defined in the Investment Law) to a related foreign company if the Benefited Intangible Assets were acquired from a foreign company after January 1, 2017 for at least NIS 200 million, and the sale received prior approval from the National Authority for Technological Innovation previously known as the Israeli Office of the Chief Scientist), to which we refer as IIA.</w:t>
      </w:r>
    </w:p>
    <w:p>
      <w:pPr>
        <w:spacing w:after="0" w:line="190"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2017 Amendment further provides that a technology company satisfying certain conditions (group turnover of at least NIS 10 billion) should qualify as a “Special Preferred Technological Enterprise” and will thereby enjoy a reduced corporate tax rate of 6% on “Preferred Technological Income” regardless of the company’s geographic location within Israel. In addition, a Special Preferred Technological Enterprise should enjoy a reduced corporate tax rate of 6% on capital gain derived from the sale of certain “Benefited Intangible Assets” to a related foreign company if the Benefited Intangible Assets were either developed by the Special Preferred Enterprise or acquired from a foreign company after January 1, 2017, and the sale received prior approval from IIA. A Special Preferred Technological Enterprise that acquires Benefited Intangible Assets from a foreign company for more than NIS 500 million should be eligible for these benefits for at least ten years, subject to certain approvals as specified in the Investment Law.</w:t>
      </w:r>
    </w:p>
    <w:p>
      <w:pPr>
        <w:spacing w:after="0" w:line="190"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Dividends distributed to Israeli shareholders by a PTE or a Special Preferred Technology Enterprise, paid out of Preferred Technological Income, should generally subject to withholding tax at source at the rate of 20% (in the case of non-Israeli shareholders- subject to the receipt in advance of a valid certificate from the ITA allowing for a reduced tax rate, 20%, or such a lower rate as may be provided in an applicable tax treaty). However, if such dividends are paid to an Israeli company, no tax is generally required to be withheld (although, if such dividends are subsequently distributed to individuals or a non-Israeli company, the aforesaid should apply). If such dividends are distributed to a foreign company that holds solely or together with other foreign companies 90% or more in the Israeli company and other conditions are met, the withholding tax rate should be 4% (or such lower rate as may be provided in an applicable tax treaty, in either case, subject to the receipt in advance of a valid certificate from the ITA allowing for such reduced tax rate).</w:t>
      </w:r>
    </w:p>
    <w:p>
      <w:pPr>
        <w:spacing w:after="0" w:line="203"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Currently we have not exhausted the benefits we believe we may qualify for as a PTE and continue to examine the degree to which we may qualify as a PTE, the amount of Preferred Technological Income that we may have and other benefits that we may receive from the 2017 Amendment in the future.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benefits and grants for research and development</w:t>
      </w:r>
    </w:p>
    <w:p>
      <w:pPr>
        <w:spacing w:after="0" w:line="241" w:lineRule="exact"/>
        <w:rPr>
          <w:sz w:val="20"/>
          <w:szCs w:val="20"/>
          <w:color w:val="auto"/>
        </w:rPr>
      </w:pPr>
    </w:p>
    <w:p>
      <w:pPr>
        <w:jc w:val="both"/>
        <w:ind w:firstLine="441"/>
        <w:spacing w:after="0" w:line="274" w:lineRule="auto"/>
        <w:rPr>
          <w:sz w:val="20"/>
          <w:szCs w:val="20"/>
          <w:color w:val="auto"/>
        </w:rPr>
      </w:pPr>
      <w:r>
        <w:rPr>
          <w:rFonts w:ascii="Times New Roman" w:cs="Times New Roman" w:eastAsia="Times New Roman" w:hAnsi="Times New Roman"/>
          <w:sz w:val="18"/>
          <w:szCs w:val="18"/>
          <w:color w:val="auto"/>
        </w:rPr>
        <w:t>Israeli tax law allows, under certain conditions, a tax deduction for expenditures, including capital expenditures, in scientific research in the fields of industry, agriculture, transportation or energy, for the year in which they are incurred. Expenditures are deemed related to scientific research and development projects, if:</w:t>
      </w:r>
    </w:p>
    <w:p>
      <w:pPr>
        <w:spacing w:after="0" w:line="196" w:lineRule="exact"/>
        <w:rPr>
          <w:sz w:val="20"/>
          <w:szCs w:val="20"/>
          <w:color w:val="auto"/>
        </w:rPr>
      </w:pPr>
    </w:p>
    <w:p>
      <w:pPr>
        <w:ind w:left="340" w:hanging="332"/>
        <w:spacing w:after="0"/>
        <w:tabs>
          <w:tab w:leader="none" w:pos="3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expenditures are approved by the relevant Israeli government ministry, determined by the field of research;</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and development must be for the promotion of the company; and</w:t>
      </w:r>
    </w:p>
    <w:p>
      <w:pPr>
        <w:spacing w:after="0" w:line="2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and development is carried out by or on behalf of the company seeking such tax deduction.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141" w:name="page142"/>
    <w:bookmarkEnd w:id="141"/>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The amount of such deductible expenses is reduced by the sum of any funds received through government grants for the finance of such scientific research and development projects. No deduction under these research and development deduction rules is allowed if such deduction is related to an expense invested in an asset depreciable under the general depreciation rules of the Ordinance. Expenditures that are unqualified under the conditions above are deductible in equal amounts over three years.</w:t>
      </w:r>
    </w:p>
    <w:p>
      <w:pPr>
        <w:spacing w:after="0" w:line="186" w:lineRule="exact"/>
        <w:rPr>
          <w:sz w:val="20"/>
          <w:szCs w:val="20"/>
          <w:color w:val="auto"/>
        </w:rPr>
      </w:pPr>
    </w:p>
    <w:p>
      <w:pPr>
        <w:jc w:val="both"/>
        <w:ind w:right="20" w:firstLine="441"/>
        <w:spacing w:after="0" w:line="297" w:lineRule="auto"/>
        <w:rPr>
          <w:sz w:val="20"/>
          <w:szCs w:val="20"/>
          <w:color w:val="auto"/>
        </w:rPr>
      </w:pPr>
      <w:r>
        <w:rPr>
          <w:rFonts w:ascii="Times New Roman" w:cs="Times New Roman" w:eastAsia="Times New Roman" w:hAnsi="Times New Roman"/>
          <w:sz w:val="18"/>
          <w:szCs w:val="18"/>
          <w:color w:val="auto"/>
        </w:rPr>
        <w:t>From time to time we may apply to the Israel Innovation Authority for approval to allow a tax deduction for all or most of research and development expenses during the year incurred. There can be no assurance that such application will be accepted.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our shareholders</w:t>
      </w:r>
    </w:p>
    <w:p>
      <w:pPr>
        <w:spacing w:after="0" w:line="241" w:lineRule="exact"/>
        <w:rPr>
          <w:sz w:val="20"/>
          <w:szCs w:val="20"/>
          <w:color w:val="auto"/>
        </w:rPr>
      </w:pPr>
    </w:p>
    <w:p>
      <w:pPr>
        <w:jc w:val="both"/>
        <w:ind w:firstLine="441"/>
        <w:spacing w:after="0" w:line="269" w:lineRule="auto"/>
        <w:rPr>
          <w:sz w:val="20"/>
          <w:szCs w:val="20"/>
          <w:color w:val="auto"/>
        </w:rPr>
      </w:pPr>
      <w:r>
        <w:rPr>
          <w:rFonts w:ascii="Times New Roman" w:cs="Times New Roman" w:eastAsia="Times New Roman" w:hAnsi="Times New Roman"/>
          <w:sz w:val="18"/>
          <w:szCs w:val="18"/>
          <w:i w:val="1"/>
          <w:iCs w:val="1"/>
          <w:color w:val="auto"/>
        </w:rPr>
        <w:t>Capital gains taxes applicable to non-Israeli resident shareholders</w:t>
      </w:r>
      <w:r>
        <w:rPr>
          <w:rFonts w:ascii="Times New Roman" w:cs="Times New Roman" w:eastAsia="Times New Roman" w:hAnsi="Times New Roman"/>
          <w:sz w:val="18"/>
          <w:szCs w:val="18"/>
          <w:color w:val="auto"/>
        </w:rPr>
        <w:t>. Capital gain tax is imposed on the disposition of capital assets by an Israeli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resident for tax purposes, and on the disposition of such assets by a non-Israeli resident for tax purposes if those assets are (i) located in Israel; (ii) are shares or a right to a share in an Israeli resident corporation, or (iii) represent, directly or indirectly, rights to assets the majority of which are located in Israel, unless a specific exemption is available or unless a tax treaty between Israel and the shareholder’s country of residence provides otherwise. The Ordinance distinguishes between “Real Capital Gain” and the “Inflationary Surplus.” Real Capital Gain is the excess of the total capital gain over Inflationary Surplus.</w:t>
      </w:r>
    </w:p>
    <w:p>
      <w:pPr>
        <w:spacing w:after="0" w:line="190" w:lineRule="exact"/>
        <w:rPr>
          <w:sz w:val="20"/>
          <w:szCs w:val="20"/>
          <w:color w:val="auto"/>
        </w:rPr>
      </w:pPr>
    </w:p>
    <w:p>
      <w:pPr>
        <w:jc w:val="both"/>
        <w:ind w:firstLine="441"/>
        <w:spacing w:after="0" w:line="274" w:lineRule="auto"/>
        <w:rPr>
          <w:sz w:val="20"/>
          <w:szCs w:val="20"/>
          <w:color w:val="auto"/>
        </w:rPr>
      </w:pPr>
      <w:r>
        <w:rPr>
          <w:rFonts w:ascii="Times New Roman" w:cs="Times New Roman" w:eastAsia="Times New Roman" w:hAnsi="Times New Roman"/>
          <w:sz w:val="18"/>
          <w:szCs w:val="18"/>
          <w:color w:val="auto"/>
        </w:rPr>
        <w:t>Inflationary Surplus is a portion of the total capital gain which is equivalent to the increase in the relevant asset’s cost base that is attributable to the increase in the Israeli consumer price index or, in certain circumstances, a foreign currency exchange rate, between the date of purchase and the date of disposition. Inflationary Surplus attributed to the period after December 31, 1993 is not currently subject to tax in Israel.</w:t>
      </w:r>
    </w:p>
    <w:p>
      <w:pPr>
        <w:spacing w:after="0" w:line="182" w:lineRule="exact"/>
        <w:rPr>
          <w:sz w:val="20"/>
          <w:szCs w:val="20"/>
          <w:color w:val="auto"/>
        </w:rPr>
      </w:pPr>
    </w:p>
    <w:p>
      <w:pPr>
        <w:jc w:val="both"/>
        <w:ind w:firstLine="441"/>
        <w:spacing w:after="0" w:line="270" w:lineRule="auto"/>
        <w:rPr>
          <w:sz w:val="20"/>
          <w:szCs w:val="20"/>
          <w:color w:val="auto"/>
        </w:rPr>
      </w:pPr>
      <w:r>
        <w:rPr>
          <w:rFonts w:ascii="Times New Roman" w:cs="Times New Roman" w:eastAsia="Times New Roman" w:hAnsi="Times New Roman"/>
          <w:sz w:val="18"/>
          <w:szCs w:val="18"/>
          <w:color w:val="auto"/>
        </w:rPr>
        <w:t>Real Capital Gain accrued by individuals from the sale of our shares should generally be taxed at the rate of 25%. However, if the individual shareholder is a “substantial shareholder” (as defined below) at the time of sale or at any time during the preceding 12-month period, such capital gain should be taxed at the rate of 30%. Furthermore, where an individual claimed real interest expenses and linkage differentials on securities, the capital gain on the sale of the securities should be taxed at a rate of 30%. Real Capital Gain derived by corporations should generally be subject to the corporate tax rate (23% in 2022).</w:t>
      </w:r>
    </w:p>
    <w:p>
      <w:pPr>
        <w:spacing w:after="0" w:line="186" w:lineRule="exact"/>
        <w:rPr>
          <w:sz w:val="20"/>
          <w:szCs w:val="20"/>
          <w:color w:val="auto"/>
        </w:rPr>
      </w:pPr>
    </w:p>
    <w:p>
      <w:pPr>
        <w:jc w:val="both"/>
        <w:ind w:firstLine="420"/>
        <w:spacing w:after="0" w:line="281" w:lineRule="auto"/>
        <w:rPr>
          <w:sz w:val="20"/>
          <w:szCs w:val="20"/>
          <w:color w:val="auto"/>
        </w:rPr>
      </w:pPr>
      <w:r>
        <w:rPr>
          <w:rFonts w:ascii="Times New Roman" w:cs="Times New Roman" w:eastAsia="Times New Roman" w:hAnsi="Times New Roman"/>
          <w:sz w:val="18"/>
          <w:szCs w:val="18"/>
          <w:color w:val="auto"/>
        </w:rPr>
        <w:t>Individual and corporate shareholders dealing in securities in Israel are taxed at the tax rates applicable to business income (a corporate tax rate for a corporation and a marginal tax rate of up to 47% for an individual in 2022, excluding surtax as discussed below) unless contrary provisions in a relevant tax treaty applies.</w:t>
      </w:r>
    </w:p>
    <w:p>
      <w:pPr>
        <w:spacing w:after="0" w:line="177"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A non-Israeli resident who derives capital gains from the sale of shares in an Israeli resident company that were purchased upon or after the company was listed for trading on a stock exchange outside of Israel, should be exempt from Israeli capital gains tax so long as the capital gain derived from the sale of shares was not attributed to a permanent establishment that the non-Israeli resident maintains in Israel. However, non-Israeli entities (including corporations) should not be entitled to the foregoing exemption if Israeli residents: (i) have a controlling interest of more than 25% in such non-Israeli entity or (ii) are the beneficiaries of, or are entitled to, 25% or more of the revenues or profits of such non-Israeli corporation, whether directly or indirectly. In addition, such exemption is not applicable to a person whose gains from selling or otherwise disposing of the shares are deemed to be business income.</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42" w:name="page143"/>
    <w:bookmarkEnd w:id="142"/>
    <w:p>
      <w:pPr>
        <w:jc w:val="both"/>
        <w:ind w:firstLine="441"/>
        <w:spacing w:after="0" w:line="264" w:lineRule="auto"/>
        <w:rPr>
          <w:sz w:val="20"/>
          <w:szCs w:val="20"/>
          <w:color w:val="auto"/>
        </w:rPr>
      </w:pPr>
      <w:r>
        <w:rPr>
          <w:rFonts w:ascii="Times New Roman" w:cs="Times New Roman" w:eastAsia="Times New Roman" w:hAnsi="Times New Roman"/>
          <w:sz w:val="18"/>
          <w:szCs w:val="18"/>
          <w:color w:val="auto"/>
        </w:rPr>
        <w:t>Additionally, a sale of securities by a non-Israeli resident may be exempt from Israeli capital gains tax under the provisions of an applicable tax treaty, subject to the eligibility of such person to the treaty benefits. For example, under Convention Between the Government of the United States of America and the Government of the State of Israel with respect to Taxes on Income, as amended (the “U.S Israel Tax Treaty”), the sale, exchange or other disposition of shares by a shareholder who is a United States resident (for purposes of the treaty) holding the shares as a capital asset and is entitled to claim the benefits afforded to such a resident by the U.S. Israel Tax Treaty (a “Treaty U.S. Resident”) is generally exempt from Israeli capital gains tax unless: (i) the capital gain arising from such sale, exchange or disposition is attributed to real estate located in Israel; (ii) the capital gain arising from such sale, exchange or disposition is attributed to royalties; (iii) the capital gain arising from the such sale, exchange or disposition is attributed to a permanent establishment in Israel, under certain terms; (iv) such Treaty U.S. Resident holds, directly or indirectly, shares representing 10% or more of the voting capital during any part of the 12 month period preceding the disposition, subject to certain conditions; or (v) such Treaty U.S. Resident , being an individual, was present in Israel for 183 days or more during the relevant taxable year.</w:t>
      </w:r>
    </w:p>
    <w:p>
      <w:pPr>
        <w:spacing w:after="0" w:line="194" w:lineRule="exact"/>
        <w:rPr>
          <w:sz w:val="20"/>
          <w:szCs w:val="20"/>
          <w:color w:val="auto"/>
        </w:rPr>
      </w:pPr>
    </w:p>
    <w:p>
      <w:pPr>
        <w:jc w:val="both"/>
        <w:ind w:firstLine="441"/>
        <w:spacing w:after="0" w:line="270" w:lineRule="auto"/>
        <w:rPr>
          <w:sz w:val="20"/>
          <w:szCs w:val="20"/>
          <w:color w:val="auto"/>
        </w:rPr>
      </w:pPr>
      <w:r>
        <w:rPr>
          <w:rFonts w:ascii="Times New Roman" w:cs="Times New Roman" w:eastAsia="Times New Roman" w:hAnsi="Times New Roman"/>
          <w:sz w:val="18"/>
          <w:szCs w:val="18"/>
          <w:color w:val="auto"/>
        </w:rPr>
        <w:t>Shareholders may be required to demonstrate that they are exempt from tax on their capital gains in order to avoid withholding at source at the time of sale, by presenting a valid withholding exemption certificate issued by the ITA prior to the applicable payment. In addition, in transactions involving a sale of all of the shares of an Israeli resident company, in the form of a merger or otherwise, the ITA may require from shareholders who are not liable for Israeli tax to sign declarations in forms specified by this authority or obtain a specific exemption from the ITA to confirm their status as a non-Israeli resident for tax purposes, and, in the absence of such declarations or exemptions, may require the purchaser of the shares to withhold taxes.</w:t>
      </w:r>
    </w:p>
    <w:p>
      <w:pPr>
        <w:spacing w:after="0" w:line="184" w:lineRule="exact"/>
        <w:rPr>
          <w:sz w:val="20"/>
          <w:szCs w:val="20"/>
          <w:color w:val="auto"/>
        </w:rPr>
      </w:pPr>
    </w:p>
    <w:p>
      <w:pPr>
        <w:jc w:val="both"/>
        <w:ind w:firstLine="441"/>
        <w:spacing w:after="0" w:line="262" w:lineRule="auto"/>
        <w:rPr>
          <w:sz w:val="20"/>
          <w:szCs w:val="20"/>
          <w:color w:val="auto"/>
        </w:rPr>
      </w:pPr>
      <w:r>
        <w:rPr>
          <w:rFonts w:ascii="Times New Roman" w:cs="Times New Roman" w:eastAsia="Times New Roman" w:hAnsi="Times New Roman"/>
          <w:sz w:val="18"/>
          <w:szCs w:val="18"/>
          <w:i w:val="1"/>
          <w:iCs w:val="1"/>
          <w:color w:val="auto"/>
        </w:rPr>
        <w:t>Taxation of non-Israeli shareholders on receipt of dividends</w:t>
      </w:r>
      <w:r>
        <w:rPr>
          <w:rFonts w:ascii="Times New Roman" w:cs="Times New Roman" w:eastAsia="Times New Roman" w:hAnsi="Times New Roman"/>
          <w:sz w:val="18"/>
          <w:szCs w:val="18"/>
          <w:color w:val="auto"/>
        </w:rPr>
        <w:t>. Non-Israeli residents (either individuals or corporations) are generally subject to Israeli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 on the receipt of dividends paid on our ordinary shares at the rate of 25%, which tax will be withheld at source, unless relief is provided in a treaty between Israel and the shareholder’s country of residence (subject to the receipt in advance of a valid certificate from the ITA allowing for a reduced tax rate). With respect to a person who is a “substantial shareholder” at the time of receiving the dividend or on any time during the preceding twelve months, the applicable tax rate is 30%. A “substantial shareholder” is generally a person who alone or together with such person’s relative or another person who collaborates with such person on a permanent basis, holds, directly or indirectly, 10% or more of any of the “means of control” of the corporation. “Means of control” generally include the right to vote, receive profits, nominate a director or an executive officer, receive assets upon liquidation, or order someone who holds any of the aforesaid rights how to act, regardless of the source of such right. Such dividends are generally subject to Israeli withholding tax at a rate of 25% so long as the shares are registered with a nominee company (whether the recipient is a substantial shareholder or not), or 20% if the dividend is distributed from income attributed to a Preferred Enterprise or PTE or such lower rate as may be provided in an applicable tax treaty, subject to the receipt in advance of a valid certificate from the ITA allowing for a reduced tax rate. For example, under the U.S. Israel Tax Treaty, and subject to the eligibility to the benefits under this treaty, the maximum rate of tax withheld at source in Israel on dividends paid to a holder of our ordinary shares who is a Treaty U.S. Resident is 25%. However, generally, the maximum rate of withholding tax on dividends, not generated by a Preferred Enterprise, that are paid to a United States corporation holding 10% or more of the outstanding voting capital throughout the tax year in which the dividend is distributed as well as during the previous tax year, is 12.5%, provided that not more than 25% of the gross income for such preceding year consists of certain types of dividends and interest. Notwithstanding the foregoing, dividends distributed from income attributed to a Preferred Enterprise are not entitled to such reduction under the tax treaty but are subject to a withholding tax rate of 15% for a shareholder that is a U.S. corporation, provided that the conditions related to 10% or more holding and to our gross income for the previous year (as set forth in the previous sentence) are met. If the dividend is attributable partly to income derived from a Preferred Enterprise, and partly to other sources of income, the withholding rate will be a blended rate reflecting the relative portions of the two types of income. We cannot assure you that we will designate the profits that we may distribute in a way that will reduce shareholders’ tax liability. The aforementioned rates under the U.S. Israel Tax Treaty would not apply if the dividend income is derived through a permanent establishment of the Treaty U.S. Resident in Israel.</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43" w:name="page144"/>
    <w:bookmarkEnd w:id="143"/>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A non-Israeli resident who receives dividends from which full tax was withheld is generally exempt from the obligation to file tax returns in Israel with respect to such income, provided that (i) such income was not generated from business conducted in Israel by the taxpayer, (ii) the taxpayer has no other taxable sources of income in Israel with respect to which a tax return is required to be filed, and (iii) the taxpayer is not obligated to pay surtax (as further explained below).</w:t>
      </w:r>
    </w:p>
    <w:p>
      <w:pPr>
        <w:spacing w:after="0" w:line="184" w:lineRule="exact"/>
        <w:rPr>
          <w:sz w:val="20"/>
          <w:szCs w:val="20"/>
          <w:color w:val="auto"/>
        </w:rPr>
      </w:pPr>
    </w:p>
    <w:p>
      <w:pPr>
        <w:jc w:val="both"/>
        <w:ind w:firstLine="441"/>
        <w:spacing w:after="0" w:line="275" w:lineRule="auto"/>
        <w:rPr>
          <w:sz w:val="20"/>
          <w:szCs w:val="20"/>
          <w:color w:val="auto"/>
        </w:rPr>
      </w:pPr>
      <w:r>
        <w:rPr>
          <w:rFonts w:ascii="Times New Roman" w:cs="Times New Roman" w:eastAsia="Times New Roman" w:hAnsi="Times New Roman"/>
          <w:sz w:val="18"/>
          <w:szCs w:val="18"/>
          <w:i w:val="1"/>
          <w:iCs w:val="1"/>
          <w:color w:val="auto"/>
        </w:rPr>
        <w:t xml:space="preserve">Surtax. </w:t>
      </w:r>
      <w:r>
        <w:rPr>
          <w:rFonts w:ascii="Times New Roman" w:cs="Times New Roman" w:eastAsia="Times New Roman" w:hAnsi="Times New Roman"/>
          <w:sz w:val="18"/>
          <w:szCs w:val="18"/>
          <w:color w:val="auto"/>
        </w:rPr>
        <w:t>Subject to the provisions of an applicable tax treaty, individuals who are subject to tax in Israel (whether any such individual is an Israeli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resident or non-Israeli resident) are also subject to an additional tax at a rate of 3% on annual taxable income (including, but not limited to, dividends, interest and capital gain) exceeding NIS 663,240 for 2022, which amount is linked to the annual change in the Israeli consumer price index.</w:t>
      </w:r>
    </w:p>
    <w:p>
      <w:pPr>
        <w:spacing w:after="0" w:line="1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Estate and Gift Tax. </w:t>
      </w:r>
      <w:r>
        <w:rPr>
          <w:rFonts w:ascii="Times New Roman" w:cs="Times New Roman" w:eastAsia="Times New Roman" w:hAnsi="Times New Roman"/>
          <w:sz w:val="18"/>
          <w:szCs w:val="18"/>
          <w:color w:val="auto"/>
        </w:rPr>
        <w:t>Israeli law presently does not impose estate or gift taxes.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 for U.S. Holders</w:t>
      </w:r>
    </w:p>
    <w:p>
      <w:pPr>
        <w:spacing w:after="0" w:line="243" w:lineRule="exact"/>
        <w:rPr>
          <w:sz w:val="20"/>
          <w:szCs w:val="20"/>
          <w:color w:val="auto"/>
        </w:rPr>
      </w:pPr>
    </w:p>
    <w:p>
      <w:pPr>
        <w:jc w:val="both"/>
        <w:ind w:firstLine="441"/>
        <w:spacing w:after="0" w:line="264" w:lineRule="auto"/>
        <w:rPr>
          <w:sz w:val="20"/>
          <w:szCs w:val="20"/>
          <w:color w:val="auto"/>
        </w:rPr>
      </w:pPr>
      <w:r>
        <w:rPr>
          <w:rFonts w:ascii="Times New Roman" w:cs="Times New Roman" w:eastAsia="Times New Roman" w:hAnsi="Times New Roman"/>
          <w:sz w:val="18"/>
          <w:szCs w:val="18"/>
          <w:color w:val="auto"/>
        </w:rPr>
        <w:t>The following is a description of certain material United States federal income tax considerations of the ownership and disposition of our ordinary shares. This description addresses only the United States federal income tax consequences to U.S. Holders (as defined below) that hold our ordinary shares as capital assets within the meaning of Section 1221 of the Internal Revenue Code of 1986, as amended (the “Code”), and that have the U.S. dollar as their functional currency. This discussion is based upon the Code, applicable U.S. Treasury regulations, administrative pronouncements and judicial decisions, in each case as in effect on the date hereof, all of which are subject to change (possibly with retroactive effect). No ruling will be requested from the Internal Revenue Service (the “IRS”) regarding the tax consequences of the ownership or disposition of the ordinary shares, and there can be no assurance that the IRS will agree with the discussion set out below. This summary does not address any U.S. tax consequences other than U.S. federal income tax consequences (e.g., the estate and gift tax or the Medicare tax on net investment income) and does not address any state, local or non-U.S. tax consequences.</w:t>
      </w: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This description does not address tax considerations applicable to holders that may be subject to special tax rules, including, without limitation:</w:t>
      </w:r>
    </w:p>
    <w:p>
      <w:pPr>
        <w:spacing w:after="0" w:line="239" w:lineRule="exact"/>
        <w:rPr>
          <w:sz w:val="20"/>
          <w:szCs w:val="20"/>
          <w:color w:val="auto"/>
        </w:rPr>
      </w:pPr>
    </w:p>
    <w:p>
      <w:pPr>
        <w:ind w:left="340" w:hanging="332"/>
        <w:spacing w:after="0"/>
        <w:tabs>
          <w:tab w:leader="none" w:pos="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financial institutions or insurance companies;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 or regulated investment companies;</w:t>
      </w:r>
    </w:p>
    <w:p>
      <w:pPr>
        <w:spacing w:after="0" w:line="2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brokers;</w:t>
      </w:r>
    </w:p>
    <w:p>
      <w:pPr>
        <w:spacing w:after="0" w:line="2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that elect to mark to market;</w:t>
      </w:r>
    </w:p>
    <w:p>
      <w:pPr>
        <w:spacing w:after="0" w:line="2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or organizations;</w:t>
      </w:r>
    </w:p>
    <w:p>
      <w:pPr>
        <w:spacing w:after="0" w:line="2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retirement accounts” and other tax-deferred accounts;</w:t>
      </w:r>
    </w:p>
    <w:p>
      <w:pPr>
        <w:spacing w:after="0" w:line="2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citizens or long-term residents of the United States;</w:t>
      </w:r>
    </w:p>
    <w:p>
      <w:pPr>
        <w:spacing w:after="0" w:line="2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are resident or ordinarily resident in or have a permanent establishment in a jurisdiction outside the United States;</w:t>
      </w:r>
    </w:p>
    <w:p>
      <w:pPr>
        <w:spacing w:after="0" w:line="22" w:lineRule="exact"/>
        <w:rPr>
          <w:rFonts w:ascii="Times New Roman" w:cs="Times New Roman" w:eastAsia="Times New Roman" w:hAnsi="Times New Roman"/>
          <w:sz w:val="18"/>
          <w:szCs w:val="18"/>
          <w:color w:val="auto"/>
        </w:rPr>
      </w:pPr>
    </w:p>
    <w:p>
      <w:pPr>
        <w:ind w:left="340" w:hanging="332"/>
        <w:spacing w:after="0" w:line="266" w:lineRule="auto"/>
        <w:tabs>
          <w:tab w:leader="none" w:pos="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our ordinary shares pursuant to the exercise of any employee share option or otherwise as compensation for the performance of services;</w:t>
      </w:r>
    </w:p>
    <w:p>
      <w:pPr>
        <w:ind w:left="340" w:hanging="332"/>
        <w:spacing w:after="0" w:line="258" w:lineRule="auto"/>
        <w:tabs>
          <w:tab w:leader="none" w:pos="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ordinary shares as part of a “hedging,” “integrated” or “conversion” transaction or as a position in a “straddle” for United States federal income tax purposes;</w:t>
      </w:r>
    </w:p>
    <w:p>
      <w:pPr>
        <w:ind w:left="340" w:hanging="332"/>
        <w:spacing w:after="0" w:line="258" w:lineRule="auto"/>
        <w:tabs>
          <w:tab w:leader="none" w:pos="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special tax accounting as a result of any item of gross income with respect to the ordinary shares being taken into account in an applicable financial statement;</w:t>
      </w:r>
    </w:p>
    <w:p>
      <w:pPr>
        <w:ind w:left="340" w:hanging="332"/>
        <w:spacing w:after="0"/>
        <w:tabs>
          <w:tab w:leader="none" w:pos="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pass-through entities and persons holding the ordinary shares through partnerships or other pass-through entities; or</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that own directly, indirectly or through attribution 10% or more of the total voting power or value of all of our outstanding shares.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44" w:name="page145"/>
    <w:bookmarkEnd w:id="144"/>
    <w:p>
      <w:pPr>
        <w:ind w:left="440"/>
        <w:spacing w:after="0"/>
        <w:rPr>
          <w:sz w:val="20"/>
          <w:szCs w:val="20"/>
          <w:color w:val="auto"/>
        </w:rPr>
      </w:pPr>
      <w:r>
        <w:rPr>
          <w:rFonts w:ascii="Times New Roman" w:cs="Times New Roman" w:eastAsia="Times New Roman" w:hAnsi="Times New Roman"/>
          <w:sz w:val="18"/>
          <w:szCs w:val="18"/>
          <w:color w:val="auto"/>
        </w:rPr>
        <w:t>For purposes of this description, a “U.S. Holder” is a beneficial owner of our ordinary shares that, for United States federal income tax purposes, is:</w:t>
      </w:r>
    </w:p>
    <w:p>
      <w:pPr>
        <w:spacing w:after="0" w:line="239" w:lineRule="exact"/>
        <w:rPr>
          <w:sz w:val="20"/>
          <w:szCs w:val="20"/>
          <w:color w:val="auto"/>
        </w:rPr>
      </w:pPr>
    </w:p>
    <w:p>
      <w:pPr>
        <w:ind w:left="340" w:hanging="332"/>
        <w:spacing w:after="0"/>
        <w:tabs>
          <w:tab w:leader="none" w:pos="3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7" w:lineRule="exact"/>
        <w:rPr>
          <w:rFonts w:ascii="Times New Roman" w:cs="Times New Roman" w:eastAsia="Times New Roman" w:hAnsi="Times New Roman"/>
          <w:sz w:val="18"/>
          <w:szCs w:val="18"/>
          <w:color w:val="auto"/>
        </w:rPr>
      </w:pPr>
    </w:p>
    <w:p>
      <w:pPr>
        <w:ind w:left="340" w:hanging="332"/>
        <w:spacing w:after="0" w:line="266" w:lineRule="auto"/>
        <w:tabs>
          <w:tab w:leader="none" w:pos="3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United States federal income tax purposes) created or organized in or under the laws of the United States or any state thereof, including the District of Columbia;</w:t>
      </w:r>
    </w:p>
    <w:p>
      <w:pPr>
        <w:ind w:left="340" w:hanging="332"/>
        <w:spacing w:after="0"/>
        <w:tabs>
          <w:tab w:leader="none" w:pos="3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United States federal income taxation regardless of its source; or</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71" w:lineRule="auto"/>
        <w:tabs>
          <w:tab w:leader="none" w:pos="3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such trust has validly elected to be treated as a United States person for United States federal income tax purposes or if (1) a court within the United States is able to exercise primary supervision over its administration and (2) one or more United States persons have the authority to control all of the substantial decisions of such trust.</w:t>
      </w:r>
    </w:p>
    <w:p>
      <w:pPr>
        <w:spacing w:after="0" w:line="199"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If an entity or arrangement treated as a partnership for United States federal income tax purposes holds our ordinary shares, the tax treatment of a partner in such partnership will generally depend on the status of the partner and the activities of the partnership. Such a partner or partnership should consult its tax advisor as to the particular United States federal income tax consequences of owning and disposing of our ordinary shares in its particular circumstance.</w:t>
      </w:r>
    </w:p>
    <w:p>
      <w:pPr>
        <w:spacing w:after="0" w:line="182" w:lineRule="exact"/>
        <w:rPr>
          <w:sz w:val="20"/>
          <w:szCs w:val="20"/>
          <w:color w:val="auto"/>
        </w:rPr>
      </w:pPr>
    </w:p>
    <w:p>
      <w:pPr>
        <w:jc w:val="both"/>
        <w:ind w:right="20" w:firstLine="441"/>
        <w:spacing w:after="0" w:line="302" w:lineRule="auto"/>
        <w:rPr>
          <w:sz w:val="20"/>
          <w:szCs w:val="20"/>
          <w:color w:val="auto"/>
        </w:rPr>
      </w:pPr>
      <w:r>
        <w:rPr>
          <w:rFonts w:ascii="Times New Roman" w:cs="Times New Roman" w:eastAsia="Times New Roman" w:hAnsi="Times New Roman"/>
          <w:sz w:val="18"/>
          <w:szCs w:val="18"/>
          <w:b w:val="1"/>
          <w:bCs w:val="1"/>
          <w:color w:val="auto"/>
        </w:rPr>
        <w:t>You should consult your tax advisor with respect to the United States federal, state, local and foreign tax consequences of owning and disposing of our ordinary shares.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43" w:lineRule="exact"/>
        <w:rPr>
          <w:sz w:val="20"/>
          <w:szCs w:val="20"/>
          <w:color w:val="auto"/>
        </w:rPr>
      </w:pPr>
    </w:p>
    <w:p>
      <w:pPr>
        <w:jc w:val="both"/>
        <w:ind w:firstLine="441"/>
        <w:spacing w:after="0" w:line="263" w:lineRule="auto"/>
        <w:rPr>
          <w:sz w:val="20"/>
          <w:szCs w:val="20"/>
          <w:color w:val="auto"/>
        </w:rPr>
      </w:pPr>
      <w:r>
        <w:rPr>
          <w:rFonts w:ascii="Times New Roman" w:cs="Times New Roman" w:eastAsia="Times New Roman" w:hAnsi="Times New Roman"/>
          <w:sz w:val="18"/>
          <w:szCs w:val="18"/>
          <w:color w:val="auto"/>
        </w:rPr>
        <w:t>Subject to the discussion under “-Passive Foreign Investment Company Considerations” below, the gross amount of any distribution made to you with respect to our ordinary shares before reduction for any Israeli taxes withheld therefrom, generally will be includible in your income as dividend income on the date on which the dividends are actually or constructively received, to the extent such distribution is paid out of our current or accumulated earnings and profits as determined under United States federal income tax principles. To the extent that the amount of any distribution by us exceeds our current and accumulated earnings and profits as determined under United States federal income tax principles, it will be treated first as a tax-free return of your adjusted tax basis in our ordinary shares and thereafter as capital gain. However, we do not expect to maintain calculations of our earnings and profits under United States federal income tax principles and, therefore, you should expect that the entire amount of any distribution generally will be taxable as dividend income to you. Non-corporate U.S. Holders may qualify for the lower rates of taxation with respect to dividends on ordinary shares applicable to long-term capital gains (i.e., gains from the sale of capital assets held for more than one year), provided that we are not a PFIC (as discussed below under “-Passive Foreign Investment Company Considerations”) with respect to you in our taxable year in which the dividend was paid or in the prior taxable year and certain other conditions are met, including certain holding period requirements and the absence of certain risk reduction transactions. However, such dividends will not be eligible for the dividends received deduction generally allowed to corporate U.S. Holders. You should consult your tax advisor regarding the availability of the lower rate for dividends paid with respect to our shares.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45" w:name="page146"/>
    <w:bookmarkEnd w:id="145"/>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amount of any distribution paid in foreign currency will be equal to the U.S. dollar value of such currency, translated at the spot rate of exchange on the date such distribution is received, regardless of whether the payment is in fact converted into U.S. dollars at that time.</w:t>
      </w:r>
    </w:p>
    <w:p>
      <w:pPr>
        <w:spacing w:after="0" w:line="189" w:lineRule="exact"/>
        <w:rPr>
          <w:sz w:val="20"/>
          <w:szCs w:val="20"/>
          <w:color w:val="auto"/>
        </w:rPr>
      </w:pPr>
    </w:p>
    <w:p>
      <w:pPr>
        <w:jc w:val="both"/>
        <w:ind w:firstLine="441"/>
        <w:spacing w:after="0" w:line="262" w:lineRule="auto"/>
        <w:rPr>
          <w:sz w:val="20"/>
          <w:szCs w:val="20"/>
          <w:color w:val="auto"/>
        </w:rPr>
      </w:pPr>
      <w:r>
        <w:rPr>
          <w:rFonts w:ascii="Times New Roman" w:cs="Times New Roman" w:eastAsia="Times New Roman" w:hAnsi="Times New Roman"/>
          <w:sz w:val="18"/>
          <w:szCs w:val="18"/>
          <w:color w:val="auto"/>
        </w:rPr>
        <w:t>Dividends paid to you with respect to our ordinary shares generally will be treated as foreign source income, which may be relevant in calculating your foreign tax credit limitation. Subject to certain conditions and limitations, Israeli tax withheld on dividends may be credited against your United States federal income tax liability or, at your election, be deducted from your U.S. federal taxable income. Dividends that we distribute generally should constitute “passive category income” for purposes of the foreign tax credit. However, if we are a “United States-owned foreign corporation,” solely for foreign tax credit purposes, a portion of the dividends allocable to our U.S. source earnings and profits may be recharacterized as U.S. source. A “United States-owned foreign corporation” is any foreign corporation in which United States persons own, directly or indirectly, 50% or more (by vote or by value) of the stock. In general, United States-owned foreign corporations with less than 10% of earnings and profits attributable to sources within the United States are excepted from these rules. In the event we are treated as a “United States-owned foreign corporation,” if 10% or more of our earnings and profits are attributable to sources within the United States, a portion of the dividends paid on our ordinary shares allocable to our U.S. source earnings and profits will be treated as U.S. source, and, as such, a U.S. Holder may not offset any foreign tax withheld as a credit against U.S. federal income tax imposed on that portion of dividends. A foreign tax credit for foreign taxes imposed on distributions may be denied if you do not satisfy certain minimum holding period requirements. The rules relating to the determination of the foreign tax credit are complex, and you should consult your tax advisor regarding the availability of a U.S. foreign tax credit in your particular circumstances and the possibility of claiming a deduction (in lieu of the U.S. foreign tax credit) for any foreign taxes paid or withheld.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Exchange or Other Disposition of Ordinary Shares</w:t>
      </w:r>
    </w:p>
    <w:p>
      <w:pPr>
        <w:spacing w:after="0" w:line="256"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Subject to the discussion under “-Passive Foreign Investment Company Considerations” below, you generally will recognize gain or loss on the sale, exchange or other disposition of our ordinary shares equal to the difference between the amount realized on such sale, exchange or other disposition and your adjusted tax basis in our ordinary shares, and such gain or loss will be capital gain or loss. If you are a non-corporate U.S. Holder, capital gain from the sale, exchange or other disposition of ordinary shares is generally eligible for a preferential rate of taxation applicable to capital gains, if your holding period for such ordinary shares exceeds one year (i.e., such gain is long-term capital gain). The deductibility of capital losses for United States federal income tax purposes is subject to limitations under the Code. Any such gain or loss that a U.S. Holder recognizes generally will be treated as U.S. source income or loss for foreign tax credit limitation purposes.</w:t>
      </w:r>
    </w:p>
    <w:p>
      <w:pPr>
        <w:spacing w:after="0" w:line="190" w:lineRule="exact"/>
        <w:rPr>
          <w:sz w:val="20"/>
          <w:szCs w:val="20"/>
          <w:color w:val="auto"/>
        </w:rPr>
      </w:pPr>
    </w:p>
    <w:p>
      <w:pPr>
        <w:jc w:val="both"/>
        <w:ind w:firstLine="441"/>
        <w:spacing w:after="0" w:line="264" w:lineRule="auto"/>
        <w:rPr>
          <w:sz w:val="20"/>
          <w:szCs w:val="20"/>
          <w:color w:val="auto"/>
        </w:rPr>
      </w:pPr>
      <w:r>
        <w:rPr>
          <w:rFonts w:ascii="Times New Roman" w:cs="Times New Roman" w:eastAsia="Times New Roman" w:hAnsi="Times New Roman"/>
          <w:sz w:val="18"/>
          <w:szCs w:val="18"/>
          <w:color w:val="auto"/>
        </w:rPr>
        <w:t>If the consideration received upon the sale or other disposition of our ordinary shares is paid in foreign currency, the amount realized will be the U.S. dollar value of the payment received, translated at the spot rate of exchange on the date of the sale or other disposition. If the ordinary shares are treated as traded on an established securities market and you are either a cash basis taxpayer or an accrual basis taxpayer who has made a special election (which must be applied consistently from year to year and cannot be changed without the consent of the IRS), the U.S. dollar value of the amount realized in foreign currency will be determined by translating the amount received at the spot rate of exchange on the settlement date of the sale. If our ordinary shares are not treated as traded on an established securities market, or you are an accrual basis taxpayer that does not elect to determine the amount realized using the spot rate of exchange on the settlement date, you will recognize foreign currency gain or loss to the extent of any difference between the U.S. dollar amount realized on the date of sale or disposition (as determined above) and the U.S. dollar value of the currency received translated at the spot rate of exchange on the settlement date, and such gain or loss generally will constitute U.S. source ordinary income or loss.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46" w:name="page147"/>
    <w:bookmarkEnd w:id="146"/>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adjusted tax basis in an ordinary share generally will be equal to the cost of such ordinary share. If you used foreign currency to purchase the ordinary shares, the cost of the ordinary shares will be the U.S. dollar value of the foreign currency purchase price on the date of purchase, translated at the spot rate of exchange on that date. If our ordinary shares are treated as traded on an established securities market and you are either a cash basis taxpayer or an accrual basis taxpayer who has made the special election described above, the U.S. dollar value of the cost of such ordinary shares will be determined by translating the amount paid at the spot rate of exchange on the settlement date of the purchase.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Considerations</w:t>
      </w:r>
    </w:p>
    <w:p>
      <w:pPr>
        <w:spacing w:after="0" w:line="243" w:lineRule="exact"/>
        <w:rPr>
          <w:sz w:val="20"/>
          <w:szCs w:val="20"/>
          <w:color w:val="auto"/>
        </w:rPr>
      </w:pPr>
    </w:p>
    <w:p>
      <w:pPr>
        <w:jc w:val="both"/>
        <w:ind w:firstLine="441"/>
        <w:spacing w:after="0" w:line="274" w:lineRule="auto"/>
        <w:rPr>
          <w:sz w:val="20"/>
          <w:szCs w:val="20"/>
          <w:color w:val="auto"/>
        </w:rPr>
      </w:pPr>
      <w:r>
        <w:rPr>
          <w:rFonts w:ascii="Times New Roman" w:cs="Times New Roman" w:eastAsia="Times New Roman" w:hAnsi="Times New Roman"/>
          <w:sz w:val="18"/>
          <w:szCs w:val="18"/>
          <w:color w:val="auto"/>
        </w:rPr>
        <w:t>If a non-U.S. company is classified as a PFIC in any taxable year, a U.S. Holder of such PFIC’s shares will be subject to special rules generally intended to reduce or eliminate any benefits from the deferral of U.S. federal income tax that such U.S. Holder could derive from investing in a non-U.S. company that does not distribute all of its earnings on a current basis.</w:t>
      </w:r>
    </w:p>
    <w:p>
      <w:pPr>
        <w:spacing w:after="0" w:line="196" w:lineRule="exact"/>
        <w:rPr>
          <w:sz w:val="20"/>
          <w:szCs w:val="20"/>
          <w:color w:val="auto"/>
        </w:rPr>
      </w:pPr>
    </w:p>
    <w:p>
      <w:pPr>
        <w:jc w:val="both"/>
        <w:ind w:firstLine="441"/>
        <w:spacing w:after="0" w:line="263" w:lineRule="auto"/>
        <w:rPr>
          <w:sz w:val="20"/>
          <w:szCs w:val="20"/>
          <w:color w:val="auto"/>
        </w:rPr>
      </w:pPr>
      <w:r>
        <w:rPr>
          <w:rFonts w:ascii="Times New Roman" w:cs="Times New Roman" w:eastAsia="Times New Roman" w:hAnsi="Times New Roman"/>
          <w:sz w:val="18"/>
          <w:szCs w:val="18"/>
          <w:color w:val="auto"/>
        </w:rPr>
        <w:t>In general, a non-U.S. corporation will be classified as a PFIC for any taxable year if at least (i) 75% of its gross income is classified as “passive income” or (ii) 50% of its gross assets (determined on the basis of a quarterly average) produce or are held for the production of passive income (the “asset test”). Passive income for this purpose generally includes dividends, interest, royalties, rents, gains from commodities and securities transactions and the excess of gains over losses from the disposition of assets which produce passive income. For these purposes, cash and other assets readily convertible into cash are considered passive assets, and the company’s goodwill and other unbooked intangibles are generally taken into account. In making this determination, the non-U.S. corporation is treated as earning its proportionate share of any income and owning its proportionate share of any assets of any corporation in which it directly or indirectly holds 25% or more (by value) of the stock.</w:t>
      </w:r>
    </w:p>
    <w:p>
      <w:pPr>
        <w:spacing w:after="0" w:line="2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Based on the composition of our income, assets and operations, we do not believe that we were a PFIC for the taxable year ended December 31,</w:t>
      </w:r>
    </w:p>
    <w:p>
      <w:pPr>
        <w:spacing w:after="0" w:line="2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2022. However, our status as a PFIC requires a factual determination that depends on, among other things, our income, assets and operations in each year. Fluctuations in the market price of our ordinary shares may cause our classification as a PFIC for the current or future taxable years to change because the value of our assets for purposes of the asset test, including the value of our goodwill and unbooked intangibles, may be determined by reference to the market price of our shares from time to time (which may be volatile). Among other matters, if our market capitalization subsequently declines, it may make our classification as a PFIC more likely for the current or future taxable years. The composition of our income and assets may also be affected by how, and how quickly, we use our liquid assets. Therefore, there can be no assurance that we will not be treated as a PFIC for our current taxable year or any future taxable year.</w:t>
      </w:r>
    </w:p>
    <w:p>
      <w:pPr>
        <w:spacing w:after="0" w:line="209" w:lineRule="exact"/>
        <w:rPr>
          <w:sz w:val="20"/>
          <w:szCs w:val="20"/>
          <w:color w:val="auto"/>
        </w:rPr>
      </w:pPr>
    </w:p>
    <w:p>
      <w:pPr>
        <w:jc w:val="both"/>
        <w:ind w:firstLine="441"/>
        <w:spacing w:after="0" w:line="263" w:lineRule="auto"/>
        <w:rPr>
          <w:sz w:val="20"/>
          <w:szCs w:val="20"/>
          <w:color w:val="auto"/>
        </w:rPr>
      </w:pPr>
      <w:r>
        <w:rPr>
          <w:rFonts w:ascii="Times New Roman" w:cs="Times New Roman" w:eastAsia="Times New Roman" w:hAnsi="Times New Roman"/>
          <w:sz w:val="18"/>
          <w:szCs w:val="18"/>
          <w:color w:val="auto"/>
        </w:rPr>
        <w:t>Under the PFIC rules, if we were considered a PFIC at any time that you hold our ordinary shares, we would continue to be treated as a PFIC with respect to your investment in all succeeding years during which you own our ordinary shares (regardless of whether we continue to meet the tests described above) unless (i) we have ceased to be a PFIC and (ii) you have made a “deemed sale” election under the PFIC rules. If such election is made, you will be deemed to have sold your ordinary shares at their fair market value on the last day of the last taxable year in which we were a PFIC, and any gain from the deemed sale would be subject to the rules described in the following paragraph. After the deemed sale election, so long as we do not become a PFIC in a subsequent taxable year, the ordinary shares with respect to which such election was made will not be treated as shares in a PFIC. You should consult your tax advisor as to the possibility and consequences of making a deemed sale election if we are (or were to become) and then cease to be a PFIC, and such election becomes available.</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47" w:name="page148"/>
    <w:bookmarkEnd w:id="147"/>
    <w:p>
      <w:pPr>
        <w:jc w:val="both"/>
        <w:ind w:firstLine="441"/>
        <w:spacing w:after="0" w:line="264" w:lineRule="auto"/>
        <w:rPr>
          <w:sz w:val="20"/>
          <w:szCs w:val="20"/>
          <w:color w:val="auto"/>
        </w:rPr>
      </w:pPr>
      <w:r>
        <w:rPr>
          <w:rFonts w:ascii="Times New Roman" w:cs="Times New Roman" w:eastAsia="Times New Roman" w:hAnsi="Times New Roman"/>
          <w:sz w:val="18"/>
          <w:szCs w:val="18"/>
          <w:color w:val="auto"/>
        </w:rPr>
        <w:t>If we are considered a PFIC at any time that you hold ordinary shares, unless you make one of the elections described below, any gain recognized by you on a sale or other disposition of the ordinary shares, as well as the amount of any “excess distribution” (defined below) received by you, would be allocated ratably over your holding period for the ordinary shares. The amounts allocated to the taxable year of the sale or other disposition (or the taxable year of receipt, in the case of an excess distribution) and to any year before we became a PFIC would be taxed as ordinary income. The amount allocated to each other taxable year would be subject to tax at the highest rate in effect for individuals or corporations, as appropriate, for that taxable year, and an interest charge would be imposed. For purposes of these rules, an excess distribution is the amount by which any distribution received by you on your ordinary shares in a taxable year exceeds 125% of the average of the annual distributions on the ordinary shares during the preceding three taxable years or your holding period, whichever is shorter. Distributions below the 125% threshold are treated as dividends taxable in the year of receipt and are not subject to prior highest tax rates or the interest charge.</w:t>
      </w:r>
    </w:p>
    <w:p>
      <w:pPr>
        <w:spacing w:after="0" w:line="192" w:lineRule="exact"/>
        <w:rPr>
          <w:sz w:val="20"/>
          <w:szCs w:val="20"/>
          <w:color w:val="auto"/>
        </w:rPr>
      </w:pPr>
    </w:p>
    <w:p>
      <w:pPr>
        <w:jc w:val="both"/>
        <w:ind w:firstLine="441"/>
        <w:spacing w:after="0" w:line="281" w:lineRule="auto"/>
        <w:rPr>
          <w:sz w:val="20"/>
          <w:szCs w:val="20"/>
          <w:color w:val="auto"/>
        </w:rPr>
      </w:pPr>
      <w:r>
        <w:rPr>
          <w:rFonts w:ascii="Times New Roman" w:cs="Times New Roman" w:eastAsia="Times New Roman" w:hAnsi="Times New Roman"/>
          <w:sz w:val="18"/>
          <w:szCs w:val="18"/>
          <w:color w:val="auto"/>
        </w:rPr>
        <w:t>If we are treated as a PFIC with respect to you for any taxable year, you will be deemed to own shares in any entities in which we directly or indirectly own equity that are also PFICs, and you may be subject to the tax consequences described above with respect to the shares of such lower-tier PFIC you would be deemed to own.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Mark-to-market elections</w:t>
      </w:r>
    </w:p>
    <w:p>
      <w:pPr>
        <w:spacing w:after="0" w:line="241" w:lineRule="exact"/>
        <w:rPr>
          <w:sz w:val="20"/>
          <w:szCs w:val="20"/>
          <w:color w:val="auto"/>
        </w:rPr>
      </w:pPr>
    </w:p>
    <w:p>
      <w:pPr>
        <w:jc w:val="both"/>
        <w:ind w:firstLine="441"/>
        <w:spacing w:after="0" w:line="262" w:lineRule="auto"/>
        <w:rPr>
          <w:sz w:val="20"/>
          <w:szCs w:val="20"/>
          <w:color w:val="auto"/>
        </w:rPr>
      </w:pPr>
      <w:r>
        <w:rPr>
          <w:rFonts w:ascii="Times New Roman" w:cs="Times New Roman" w:eastAsia="Times New Roman" w:hAnsi="Times New Roman"/>
          <w:sz w:val="18"/>
          <w:szCs w:val="18"/>
          <w:color w:val="auto"/>
        </w:rPr>
        <w:t xml:space="preserve">If we are a PFIC for any taxable year during which you hold ordinary shares, then in lieu of being subject to the tax and interest charge rules discussed above, you may make an election to include gain on the ordinary shares as ordinary income under a mark-to-market method, provided that such ordinary shares are “marketable.” The ordinary shares will be marketable if they are “regularly traded” on a qualified exchange or other market, as defined in applicable U.S. Treasury regulations, such as the Nasdaq Global Select Market. For these purposes, the ordinary shares will be considered regularly traded during any calendar year during which they are traded, other than in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quantities, on at least 15 days during each calendar quarter. Any trades that have as their principal purpose meeting this requirement will be disregarded. However, because a mark-to-market election cannot be made for any lower-tier PFICs that we may own, you will generally continue to be subject to the PFIC rules discussed above with respect to your indirect interest in any investments we hold that are treated as an equity interest in a PFIC for United States federal income tax purposes. As a result, it is possible that any mark-to-market election will be of limited benefit. If you make an effective mark-to-market election, in each year that we are a PFIC, you will include in ordinary income the excess of the fair market value of your ordinary shares at the end of the year over your adjusted tax basis in the ordinary shares. You will be entitled to deduct as an ordinary loss in each such year the excess of your adjusted tax basis in the ordinary shares over their fair market value at the end of the year, but only to the extent of the net amount previously included in income as a result of the mark-to-market election. If you make an effective mark-to-market election, in each year that we are a PFIC, any gain that you recognize upon the sale or other disposition of your ordinary shares will be treated as ordinary income and any loss will be treated as ordinary loss, but only to the extent of the net amount of previously included income as a result of the mark-to-market election.</w:t>
      </w:r>
    </w:p>
    <w:p>
      <w:pPr>
        <w:spacing w:after="0" w:line="215"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Your adjusted tax basis in the ordinary shares will be increased by the amount of any income inclusion and decreased by the amount of any deductions under the mark-to-market rules discussed above. If you make an effective mark-to-market election, it will be effective for the taxable year for which the election is made and all subsequent taxable years unless the ordinary shares are no longer regularly traded on a qualified exchange or the IRS consents to the revocation of the election. You should consult your tax advisor about the availability of the mark-to-market election, and whether making the election would be advisable in your particular circumstances.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Qualified electing fund elections</w:t>
      </w:r>
    </w:p>
    <w:p>
      <w:pPr>
        <w:spacing w:after="0" w:line="241"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In certain circumstances, a U.S. equity holder in a PFIC may avoid the adverse tax and interest-charge regime described above by making a “qualified electing fund” election to include in income its share of the corporation’s income on a current basis. However, you may make a qualified electing fund election with respect to the ordinary shares only if we agree to furnish you annually with a PFIC annual information statement as specified in the applicable U.S. Treasury regulations. We do not intend to provide the information necessary for you to make a qualified electing fund election if we are classified as a PFIC. Therefore, you should assume that you will not receive such information from us and would therefore be unable to make a qualified electing fund election with respect to any of our ordinary shares were we to be or become a PFIC.</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i w:val="1"/>
          <w:iCs w:val="1"/>
          <w:color w:val="auto"/>
        </w:rPr>
        <w:t>Tax reporting</w:t>
      </w:r>
    </w:p>
    <w:p>
      <w:pPr>
        <w:spacing w:after="0" w:line="241"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If you own ordinary shares during any year in which we are a PFIC and you recognize gain on a disposition of such ordinary shares or receive distributions with respect to such ordinary shares, you generally will be required to file an IRS Form 8621 with respect to us, generally with your federal income tax return for that year. If we are a PFIC for a given taxable year, then you should consult your tax advisor concerning your annual filing requirements.</w:t>
      </w:r>
    </w:p>
    <w:p>
      <w:pPr>
        <w:spacing w:after="0" w:line="182" w:lineRule="exact"/>
        <w:rPr>
          <w:sz w:val="20"/>
          <w:szCs w:val="20"/>
          <w:color w:val="auto"/>
        </w:rPr>
      </w:pPr>
    </w:p>
    <w:p>
      <w:pPr>
        <w:jc w:val="both"/>
        <w:ind w:firstLine="441"/>
        <w:spacing w:after="0" w:line="284" w:lineRule="auto"/>
        <w:rPr>
          <w:sz w:val="20"/>
          <w:szCs w:val="20"/>
          <w:color w:val="auto"/>
        </w:rPr>
      </w:pPr>
      <w:r>
        <w:rPr>
          <w:rFonts w:ascii="Times New Roman" w:cs="Times New Roman" w:eastAsia="Times New Roman" w:hAnsi="Times New Roman"/>
          <w:sz w:val="18"/>
          <w:szCs w:val="18"/>
          <w:b w:val="1"/>
          <w:bCs w:val="1"/>
          <w:color w:val="auto"/>
        </w:rPr>
        <w:t>You should consult your tax advisor regarding whether we are a PFIC as well as the potential U.S. federal income tax consequences of holding and disposing of our ordinary shares if we are or become classified as a PFIC, including the possibility of making a mark-to-market election in your particular circumstances.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Backup Withholding Tax and Information Reporting Requirements</w:t>
      </w:r>
    </w:p>
    <w:p>
      <w:pPr>
        <w:spacing w:after="0" w:line="243" w:lineRule="exact"/>
        <w:rPr>
          <w:sz w:val="20"/>
          <w:szCs w:val="20"/>
          <w:color w:val="auto"/>
        </w:rPr>
      </w:pPr>
    </w:p>
    <w:p>
      <w:pPr>
        <w:jc w:val="both"/>
        <w:ind w:firstLine="441"/>
        <w:spacing w:after="0" w:line="281" w:lineRule="auto"/>
        <w:rPr>
          <w:sz w:val="20"/>
          <w:szCs w:val="20"/>
          <w:color w:val="auto"/>
        </w:rPr>
      </w:pPr>
      <w:r>
        <w:rPr>
          <w:rFonts w:ascii="Times New Roman" w:cs="Times New Roman" w:eastAsia="Times New Roman" w:hAnsi="Times New Roman"/>
          <w:sz w:val="18"/>
          <w:szCs w:val="18"/>
          <w:color w:val="auto"/>
        </w:rPr>
        <w:t>Dividend payments on and proceeds paid from the sale or other taxable disposition of the ordinary shares may be subject to information reporting to the IRS. In addition, a U.S. Holder may be subject to backup withholding on cash payments received in connection with dividend payments and proceeds from the sale or other taxable disposition of ordinary shares made within the United States or through certain U.S. related financial intermediaries.</w:t>
      </w:r>
    </w:p>
    <w:p>
      <w:pPr>
        <w:spacing w:after="0" w:line="177"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Backup withholding will not apply, however, to a U.S. Holder who furnishes a correct taxpayer identification number, provides other required certification and otherwise complies with the applicable requirements of the backup withholding rules or who is otherwise exempt from backup withholding (and, when required, demonstrates such exemption). Backup withholding is not an additional tax. Rather, any amount withheld under the backup withholding rules will be creditable or refundable against the U.S. Holder’s U.S. federal income tax liability, provided the required information is timely furnished to the IRS.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Asset Reporting</w:t>
      </w:r>
    </w:p>
    <w:p>
      <w:pPr>
        <w:spacing w:after="0" w:line="243" w:lineRule="exact"/>
        <w:rPr>
          <w:sz w:val="20"/>
          <w:szCs w:val="20"/>
          <w:color w:val="auto"/>
        </w:rPr>
      </w:pPr>
    </w:p>
    <w:p>
      <w:pPr>
        <w:jc w:val="both"/>
        <w:ind w:firstLine="441"/>
        <w:spacing w:after="0" w:line="270" w:lineRule="auto"/>
        <w:rPr>
          <w:sz w:val="20"/>
          <w:szCs w:val="20"/>
          <w:color w:val="auto"/>
        </w:rPr>
      </w:pPr>
      <w:r>
        <w:rPr>
          <w:rFonts w:ascii="Times New Roman" w:cs="Times New Roman" w:eastAsia="Times New Roman" w:hAnsi="Times New Roman"/>
          <w:sz w:val="18"/>
          <w:szCs w:val="18"/>
          <w:color w:val="auto"/>
        </w:rPr>
        <w:t>Certain U.S. Holders are required to report their holdings of certain foreign financial assets, including equity of foreign entities, if the aggregate value of all of these assets exceeds certain threshold amounts by filing an IRS Form 8938 with their federal income tax return. Our ordinary shares are expected to constitute foreign financial assets subject to these requirements unless the ordinary shares are held in an account at certain financial institutions. U.S. Holders are urged to consult their tax advisors regarding their information reporting obligations, if any, with respect to their ownership and disposition of our ordinary shares and the significant penalties for non-compliance.</w:t>
      </w:r>
    </w:p>
    <w:p>
      <w:pPr>
        <w:spacing w:after="0" w:line="182" w:lineRule="exact"/>
        <w:rPr>
          <w:sz w:val="20"/>
          <w:szCs w:val="20"/>
          <w:color w:val="auto"/>
        </w:rPr>
      </w:pPr>
    </w:p>
    <w:p>
      <w:pPr>
        <w:jc w:val="both"/>
        <w:ind w:firstLine="441"/>
        <w:spacing w:after="0" w:line="302" w:lineRule="auto"/>
        <w:rPr>
          <w:sz w:val="20"/>
          <w:szCs w:val="20"/>
          <w:color w:val="auto"/>
        </w:rPr>
      </w:pPr>
      <w:r>
        <w:rPr>
          <w:rFonts w:ascii="Times New Roman" w:cs="Times New Roman" w:eastAsia="Times New Roman" w:hAnsi="Times New Roman"/>
          <w:sz w:val="18"/>
          <w:szCs w:val="18"/>
          <w:b w:val="1"/>
          <w:bCs w:val="1"/>
          <w:color w:val="auto"/>
        </w:rPr>
        <w:t>The above description is not intended to constitute a complete analysis of all tax consequences relating to the ownership and disposition of our ordinary shares. You should consult your tax advisor concerning the tax consequences of your particular situation.</w:t>
      </w:r>
    </w:p>
    <w:p>
      <w:pPr>
        <w:spacing w:after="0" w:line="154" w:lineRule="exact"/>
        <w:rPr>
          <w:sz w:val="20"/>
          <w:szCs w:val="20"/>
          <w:color w:val="auto"/>
        </w:rPr>
      </w:pPr>
    </w:p>
    <w:p>
      <w:pPr>
        <w:ind w:left="440" w:right="8640" w:hanging="432"/>
        <w:spacing w:after="0" w:line="524" w:lineRule="auto"/>
        <w:tabs>
          <w:tab w:leader="none" w:pos="337"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Dividends and Paying Agents </w:t>
      </w:r>
      <w:r>
        <w:rPr>
          <w:rFonts w:ascii="Times New Roman" w:cs="Times New Roman" w:eastAsia="Times New Roman" w:hAnsi="Times New Roman"/>
          <w:sz w:val="18"/>
          <w:szCs w:val="18"/>
          <w:color w:val="auto"/>
        </w:rPr>
        <w:t>Not applicable.</w:t>
      </w:r>
    </w:p>
    <w:p>
      <w:pPr>
        <w:ind w:left="340" w:hanging="332"/>
        <w:spacing w:after="0"/>
        <w:tabs>
          <w:tab w:leader="none" w:pos="34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Statement by Experts</w:t>
      </w:r>
    </w:p>
    <w:p>
      <w:pPr>
        <w:spacing w:after="0" w:line="2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149" w:name="page150"/>
    <w:bookmarkEnd w:id="149"/>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H.</w:t>
      </w:r>
      <w:r>
        <w:rPr>
          <w:sz w:val="20"/>
          <w:szCs w:val="20"/>
          <w:color w:val="auto"/>
        </w:rPr>
        <w:tab/>
      </w:r>
      <w:r>
        <w:rPr>
          <w:rFonts w:ascii="Times New Roman" w:cs="Times New Roman" w:eastAsia="Times New Roman" w:hAnsi="Times New Roman"/>
          <w:sz w:val="17"/>
          <w:szCs w:val="17"/>
          <w:b w:val="1"/>
          <w:bCs w:val="1"/>
          <w:color w:val="auto"/>
        </w:rPr>
        <w:t>Documents on Display</w:t>
      </w:r>
    </w:p>
    <w:p>
      <w:pPr>
        <w:spacing w:after="0" w:line="243" w:lineRule="exact"/>
        <w:rPr>
          <w:sz w:val="20"/>
          <w:szCs w:val="20"/>
          <w:color w:val="auto"/>
        </w:rPr>
      </w:pPr>
    </w:p>
    <w:p>
      <w:pPr>
        <w:jc w:val="both"/>
        <w:ind w:firstLine="441"/>
        <w:spacing w:after="0" w:line="281" w:lineRule="auto"/>
        <w:rPr>
          <w:sz w:val="20"/>
          <w:szCs w:val="20"/>
          <w:color w:val="auto"/>
        </w:rPr>
      </w:pPr>
      <w:r>
        <w:rPr>
          <w:rFonts w:ascii="Times New Roman" w:cs="Times New Roman" w:eastAsia="Times New Roman" w:hAnsi="Times New Roman"/>
          <w:sz w:val="18"/>
          <w:szCs w:val="18"/>
          <w:color w:val="auto"/>
        </w:rPr>
        <w:t>We are subject to the informational requirements of the Exchange Act. Accordingly, we are required to file reports and other information with the SEC, including annual reports on Form 20-F and reports on Form 6-K. The SEC maintains an internet website that contains reports and other information about issuers, like us, that file electronically with the SEC. The address of that website is www.sec.gov.</w:t>
      </w:r>
    </w:p>
    <w:p>
      <w:pPr>
        <w:spacing w:after="0" w:line="175" w:lineRule="exact"/>
        <w:rPr>
          <w:sz w:val="20"/>
          <w:szCs w:val="20"/>
          <w:color w:val="auto"/>
        </w:rPr>
      </w:pPr>
    </w:p>
    <w:p>
      <w:pPr>
        <w:jc w:val="both"/>
        <w:ind w:firstLine="441"/>
        <w:spacing w:after="0" w:line="270" w:lineRule="auto"/>
        <w:rPr>
          <w:sz w:val="20"/>
          <w:szCs w:val="20"/>
          <w:color w:val="auto"/>
        </w:rPr>
      </w:pPr>
      <w:r>
        <w:rPr>
          <w:rFonts w:ascii="Times New Roman" w:cs="Times New Roman" w:eastAsia="Times New Roman" w:hAnsi="Times New Roman"/>
          <w:sz w:val="18"/>
          <w:szCs w:val="18"/>
          <w:color w:val="auto"/>
        </w:rPr>
        <w:t xml:space="preserve">We maintain a corporate website at </w:t>
      </w:r>
      <w:r>
        <w:rPr>
          <w:rFonts w:ascii="Times New Roman" w:cs="Times New Roman" w:eastAsia="Times New Roman" w:hAnsi="Times New Roman"/>
          <w:sz w:val="18"/>
          <w:szCs w:val="18"/>
          <w:i w:val="1"/>
          <w:iCs w:val="1"/>
          <w:color w:val="auto"/>
        </w:rPr>
        <w:t>http://www.walkme.com</w:t>
      </w:r>
      <w:r>
        <w:rPr>
          <w:rFonts w:ascii="Times New Roman" w:cs="Times New Roman" w:eastAsia="Times New Roman" w:hAnsi="Times New Roman"/>
          <w:sz w:val="18"/>
          <w:szCs w:val="18"/>
          <w:color w:val="auto"/>
        </w:rPr>
        <w:t xml:space="preserve">. Information contained on, or that can be accessed through our website does not constitute a part of this Annual Report on Form 20-F. We also make available on our website’s investor relations page at </w:t>
      </w:r>
      <w:r>
        <w:rPr>
          <w:rFonts w:ascii="Times New Roman" w:cs="Times New Roman" w:eastAsia="Times New Roman" w:hAnsi="Times New Roman"/>
          <w:sz w:val="18"/>
          <w:szCs w:val="18"/>
          <w:i w:val="1"/>
          <w:iCs w:val="1"/>
          <w:color w:val="auto"/>
        </w:rPr>
        <w:t>http://ir.walkme.com</w:t>
      </w:r>
      <w:r>
        <w:rPr>
          <w:rFonts w:ascii="Times New Roman" w:cs="Times New Roman" w:eastAsia="Times New Roman" w:hAnsi="Times New Roman"/>
          <w:sz w:val="18"/>
          <w:szCs w:val="18"/>
          <w:color w:val="auto"/>
        </w:rPr>
        <w:t>, free of charge, our Annual Report and the text of our reports on Form 6-K, including any amendments to these reports, as well as certain other SEC filings, as soon as reasonably practicable after they are electronically filed with or furnished to the SEC. The information contained on our website is not incorporated by reference in this Annual Report.</w:t>
      </w:r>
    </w:p>
    <w:p>
      <w:pPr>
        <w:spacing w:after="0" w:line="188"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As a foreign private issuer, we are exempt under the Exchange Act from, among other things, the rules prescribing the furnishing and content of proxy statements, and our officers, directors and principal shareholders are exempt from the reporting and short-swing profit recovery provisions contained in Section 16 of the Exchange Act. In addition, we are not be required under the Exchange Act to file periodic reports and financial statements with the SEC as frequently or as promptly as U.S. companies whose securities are registered under the Exchange Act. However, we will file with the SEC, within four months after the end of each subsequent fiscal year, or such applicable time as required by the SEC, an annual report on Form 20-F containing financial statements audited by an independent registered public accounting firm. We also intend to furnish certain other material information to the SEC under cover of Form 6-K.</w:t>
      </w:r>
    </w:p>
    <w:p>
      <w:pPr>
        <w:spacing w:after="0" w:line="190"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We will send our transfer agent a copy of all notices of shareholders’ meetings and other reports, communications and information that are made generally available to shareholders. The transfer agent has agreed to mail to all shareholders a notice containing the information (or a summary of the information) contained in any notice of a meeting of our shareholders received by the transfer agent and will make available to all shareholders such notices and all such other reports and communications received by the transfer agent.</w:t>
      </w:r>
    </w:p>
    <w:p>
      <w:pPr>
        <w:spacing w:after="0" w:line="182" w:lineRule="exact"/>
        <w:rPr>
          <w:sz w:val="20"/>
          <w:szCs w:val="20"/>
          <w:color w:val="auto"/>
        </w:rPr>
      </w:pPr>
    </w:p>
    <w:p>
      <w:pPr>
        <w:ind w:left="440" w:right="9080" w:hanging="432"/>
        <w:spacing w:after="0" w:line="524" w:lineRule="auto"/>
        <w:tabs>
          <w:tab w:leader="none" w:pos="337"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Subsidiary Information </w:t>
      </w:r>
      <w:r>
        <w:rPr>
          <w:rFonts w:ascii="Times New Roman" w:cs="Times New Roman" w:eastAsia="Times New Roman" w:hAnsi="Times New Roman"/>
          <w:sz w:val="18"/>
          <w:szCs w:val="18"/>
          <w:color w:val="auto"/>
        </w:rPr>
        <w:t>Not applicable.</w:t>
      </w:r>
    </w:p>
    <w:p>
      <w:pPr>
        <w:ind w:left="340" w:hanging="332"/>
        <w:spacing w:after="0"/>
        <w:tabs>
          <w:tab w:leader="none" w:pos="34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Annual Report to Security Holders</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Quantitative and Qualitative Disclosures about Market Risk</w:t>
      </w:r>
    </w:p>
    <w:p>
      <w:pPr>
        <w:spacing w:after="0" w:line="256"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We are exposed to market risk from changes in exchange rates, interest rates and inflation. All of these market risks arise in the ordinary course of business, as we do not engage in speculative trading activities. The following analysis provides additional information regarding these risks.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43"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Our investments are subject to market risk due to changes in interest rates, which may affect our interest income and fair market value of our investments. To minimize this risk, we maintain our portfolio in a variety of high-grade securities, including U.S. treasury bonds and government agencies. The primary objectives of our investment activities are to support liquidity, preserve principal and to maximize income without significantly increasing risk.</w:t>
      </w:r>
    </w:p>
    <w:p>
      <w:pPr>
        <w:spacing w:after="0" w:line="186"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As of December 31, 2022, we had $304.9 million of cash and cash equivalent, bank deposits and marketable securities. Interest-earning instruments carry a degree of interest rate risk. However, our historical interest income has not fluctuated significantly. A hypothetical 10% change in interest rates would not have had a material impact on our financial results for the years ended December 30, 2021 and 2022. We do not enter into investments for trading or speculative purposes and have not used any derivative financial instruments to manage our interest rate risk exposure.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50" w:name="page151"/>
    <w:bookmarkEnd w:id="150"/>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43" w:lineRule="exact"/>
        <w:rPr>
          <w:sz w:val="20"/>
          <w:szCs w:val="20"/>
          <w:color w:val="auto"/>
        </w:rPr>
      </w:pPr>
    </w:p>
    <w:p>
      <w:pPr>
        <w:jc w:val="both"/>
        <w:ind w:firstLine="441"/>
        <w:spacing w:after="0" w:line="270" w:lineRule="auto"/>
        <w:rPr>
          <w:sz w:val="20"/>
          <w:szCs w:val="20"/>
          <w:color w:val="auto"/>
        </w:rPr>
      </w:pPr>
      <w:r>
        <w:rPr>
          <w:rFonts w:ascii="Times New Roman" w:cs="Times New Roman" w:eastAsia="Times New Roman" w:hAnsi="Times New Roman"/>
          <w:sz w:val="18"/>
          <w:szCs w:val="18"/>
          <w:color w:val="auto"/>
        </w:rPr>
        <w:t>Our reporting currency and the functional currency of our non-U.S. subsidiaries is U.S. dollar, with the exception of Walkme K.K our Japanese subsidiary, for which the Japanese Yen is the functional currency. The majority of our revenues were denominated in U.S. dollars and the remainder in other currencies. However, a significant portion of our operating costs in Israel, consisting principally of salaries and employee-related costs, and operating lease and facility expenses are denominated in NIS. This foreign currency exposure gives rise to market risk associated with exchange rate movements of the U.S. dollar against the NIS.</w:t>
      </w:r>
    </w:p>
    <w:p>
      <w:pPr>
        <w:spacing w:after="0" w:line="186"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To reduce the impact of foreign currency exchange risks associated with forecasted future cash flows and certain existing assets and liabilities and the volatility in our consolidated statements of operations, we have established a hedging policy. Currently, our hedging activity relates to U.S. dollar/NIS exchange rate exposure. We do not enter into derivative instruments for trading or speculative purposes. We account for our derivative instruments as either assets or liabilities and carry them at fair value in the consolidated balance sheets. The accounting for changes in the fair value of the derivative depends on the intended use of the derivative and the resulting designation. Our hedging activities reduce but do not eliminate the impact of currency exchange rate movements.</w:t>
      </w:r>
    </w:p>
    <w:p>
      <w:pPr>
        <w:spacing w:after="0" w:line="203"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A decrease of 10% in the U.S. dollar/NIS exchange rate would have increased our cost of revenue and operating expenses by 2.2% for the year ended December 31, 2022. If the NIS fluctuates significantly against the U.S. dollar, it may have a negative impact on our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Description of Securities Other than Equity Securities</w:t>
      </w:r>
    </w:p>
    <w:p>
      <w:pPr>
        <w:spacing w:after="0" w:line="2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Defaults, Dividend Arrearages and Delinquencies</w:t>
      </w:r>
    </w:p>
    <w:p>
      <w:pPr>
        <w:spacing w:after="0" w:line="2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w:t>
      </w:r>
    </w:p>
    <w:p>
      <w:pPr>
        <w:spacing w:after="0" w:line="2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243" w:lineRule="exact"/>
        <w:rPr>
          <w:sz w:val="20"/>
          <w:szCs w:val="20"/>
          <w:color w:val="auto"/>
        </w:rPr>
      </w:pPr>
    </w:p>
    <w:p>
      <w:pPr>
        <w:jc w:val="both"/>
        <w:ind w:firstLine="441"/>
        <w:spacing w:after="0" w:line="274" w:lineRule="auto"/>
        <w:rPr>
          <w:sz w:val="20"/>
          <w:szCs w:val="20"/>
          <w:color w:val="auto"/>
        </w:rPr>
      </w:pPr>
      <w:r>
        <w:rPr>
          <w:rFonts w:ascii="Times New Roman" w:cs="Times New Roman" w:eastAsia="Times New Roman" w:hAnsi="Times New Roman"/>
          <w:sz w:val="18"/>
          <w:szCs w:val="18"/>
          <w:color w:val="auto"/>
        </w:rPr>
        <w:t>On June 18, 2021, we completed an IPO of 9,250,000 ordinary shares sold at an initial public offering price of $31.00 per share. The ordinary shares offered and sold in the IPO were registered under the Securities Act pursuant to our Registration Statement on Form F-1 (File No. 333-256219), which was declared effective by the SEC on June 15, 2021.</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51" w:name="page152"/>
    <w:bookmarkEnd w:id="151"/>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The IPO generated gross proceeds of $286,750,000. We had underwriting discounts and commissions of $18,638,750 and other issuance costs of $4,200,000. We paid out of Company proceeds all of our fees, costs and expenses in connection with the IPO.</w:t>
      </w:r>
    </w:p>
    <w:p>
      <w:pPr>
        <w:spacing w:after="0" w:line="189"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No offering expenses were paid directly or indirectly to any of our directors or officers (or their associates), persons owning 10% or more of our ordinary shares or any other affiliates.</w:t>
      </w:r>
    </w:p>
    <w:p>
      <w:pPr>
        <w:spacing w:after="0" w:line="189"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in the expected use of the net proceeds from our IPO as described in our final prospectus filed with the SEC on June 16, 2021 pursuant to Rule 424(b).</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Controls and Procedures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43" w:lineRule="exact"/>
        <w:rPr>
          <w:sz w:val="20"/>
          <w:szCs w:val="20"/>
          <w:color w:val="auto"/>
        </w:rPr>
      </w:pPr>
    </w:p>
    <w:p>
      <w:pPr>
        <w:jc w:val="both"/>
        <w:ind w:firstLine="441"/>
        <w:spacing w:after="0" w:line="264"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Rules 13a-15(e) and 15d-15(e) under the Securities Exchange Act of 1934, as amended (“Exchange Act”)) that are designed to ensure that information required to be disclosed in the Company’s reports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Any controls and procedures, no matter how well designed and operated, can provide only reasonable assurance of achieving the desired control objectives. Our management, with the participation of our Chief Executive Officer and Chief Financial Officer, has evaluated the effectiveness of the design and operation of our disclosure controls and procedures as of December 31, 2022. Based upon that evaluation, our Chief Executive Officer and Chief Financial Officer concluded that, as of December 31, 2022, our disclosure controls and procedures were effective to accomplish their objectives at the reasonable assurance level.</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243" w:lineRule="exact"/>
        <w:rPr>
          <w:sz w:val="20"/>
          <w:szCs w:val="20"/>
          <w:color w:val="auto"/>
        </w:rPr>
      </w:pPr>
    </w:p>
    <w:p>
      <w:pPr>
        <w:jc w:val="both"/>
        <w:ind w:firstLine="441"/>
        <w:spacing w:after="0" w:line="270"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our financial reporting (as such term is defined in Rule 13a-15(f) and 15d-15(f) under the Exchange Act). Our management conducted an assessment of the effectiveness of our internal control over financial reporting based on the criteria set forth in “Internal Control - Integrated Framework (2013)” issued by the Committee of Sponsoring Organizations of the Treadway Commission. Based on this assessment, our management concluded that, as of December 31, 2022, our internal control over financial reporting was effective.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Attestation Report of the Registered Public Accounting Firm</w:t>
      </w:r>
    </w:p>
    <w:p>
      <w:pPr>
        <w:spacing w:after="0" w:line="24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This Annual Report on Form 20-F does not include an attestation report of our independent registered public accounting firm due to a transition period established by rules of the SEC for emerging growth companies.</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56" w:lineRule="exact"/>
        <w:rPr>
          <w:sz w:val="20"/>
          <w:szCs w:val="20"/>
          <w:color w:val="auto"/>
        </w:rPr>
      </w:pPr>
    </w:p>
    <w:p>
      <w:pPr>
        <w:jc w:val="both"/>
        <w:ind w:right="20" w:firstLine="441"/>
        <w:spacing w:after="0" w:line="274" w:lineRule="auto"/>
        <w:rPr>
          <w:sz w:val="20"/>
          <w:szCs w:val="20"/>
          <w:color w:val="auto"/>
        </w:rPr>
      </w:pPr>
      <w:r>
        <w:rPr>
          <w:rFonts w:ascii="Times New Roman" w:cs="Times New Roman" w:eastAsia="Times New Roman" w:hAnsi="Times New Roman"/>
          <w:sz w:val="18"/>
          <w:szCs w:val="18"/>
          <w:color w:val="auto"/>
        </w:rPr>
        <w:t>There were no changes in our internal controls over financial reporting (as such term is defined in Rules 13a-15(f) and 15d-15(f) under the Exchange Act) that occurred during the period covered by this Annual Report that have materially affected, or are reasonably likely to materially affect, our internal control over financial reporting.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[Reserved]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243" w:lineRule="exact"/>
        <w:rPr>
          <w:sz w:val="20"/>
          <w:szCs w:val="20"/>
          <w:color w:val="auto"/>
        </w:rPr>
      </w:pPr>
    </w:p>
    <w:p>
      <w:pPr>
        <w:jc w:val="both"/>
        <w:ind w:firstLine="441"/>
        <w:spacing w:after="0" w:line="297" w:lineRule="auto"/>
        <w:rPr>
          <w:sz w:val="20"/>
          <w:szCs w:val="20"/>
          <w:color w:val="auto"/>
        </w:rPr>
      </w:pPr>
      <w:r>
        <w:rPr>
          <w:rFonts w:ascii="Times New Roman" w:cs="Times New Roman" w:eastAsia="Times New Roman" w:hAnsi="Times New Roman"/>
          <w:sz w:val="18"/>
          <w:szCs w:val="18"/>
          <w:color w:val="auto"/>
        </w:rPr>
        <w:t>Our board of directors has determined that each of Ron Gutler, Michele Bettencourt and Roy Saar is an audit committee financial expert as defined by the SEC rules and has the requisite financial experience as defined by Nasdaq corporate governance rules.</w:t>
      </w:r>
    </w:p>
    <w:p>
      <w:pPr>
        <w:spacing w:after="0" w:line="163" w:lineRule="exact"/>
        <w:rPr>
          <w:sz w:val="20"/>
          <w:szCs w:val="20"/>
          <w:color w:val="auto"/>
        </w:rPr>
      </w:pPr>
    </w:p>
    <w:p>
      <w:pPr>
        <w:jc w:val="both"/>
        <w:ind w:right="20" w:firstLine="441"/>
        <w:spacing w:after="0" w:line="274" w:lineRule="auto"/>
        <w:rPr>
          <w:sz w:val="20"/>
          <w:szCs w:val="20"/>
          <w:color w:val="auto"/>
        </w:rPr>
      </w:pPr>
      <w:r>
        <w:rPr>
          <w:rFonts w:ascii="Times New Roman" w:cs="Times New Roman" w:eastAsia="Times New Roman" w:hAnsi="Times New Roman"/>
          <w:sz w:val="18"/>
          <w:szCs w:val="18"/>
          <w:color w:val="auto"/>
        </w:rPr>
        <w:t>Our board of directors has determined that each member of our audit committee is “independent” as such term is defined under the Nasdaq corporate governance rules and under Rule 10A-3(b)(1) under the Exchange Act, which is different from the general test for independence of board and committee members.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243" w:lineRule="exact"/>
        <w:rPr>
          <w:sz w:val="20"/>
          <w:szCs w:val="20"/>
          <w:color w:val="auto"/>
        </w:rPr>
      </w:pPr>
    </w:p>
    <w:p>
      <w:pPr>
        <w:jc w:val="both"/>
        <w:ind w:firstLine="441"/>
        <w:spacing w:after="0" w:line="270" w:lineRule="auto"/>
        <w:rPr>
          <w:sz w:val="20"/>
          <w:szCs w:val="20"/>
          <w:color w:val="auto"/>
        </w:rPr>
      </w:pPr>
      <w:r>
        <w:rPr>
          <w:rFonts w:ascii="Times New Roman" w:cs="Times New Roman" w:eastAsia="Times New Roman" w:hAnsi="Times New Roman"/>
          <w:sz w:val="18"/>
          <w:szCs w:val="18"/>
          <w:color w:val="auto"/>
        </w:rPr>
        <w:t>We have adopted a Code of Ethics and Conduct that applies to all our employees, officers and directors, including our principal executive, principal financial and principal accounting officers. Our Code of Ethics and Conduct addresses, among other things, competition and fair dealing, gifts and entertainment, conflicts of interest, international business laws, financial matters and external reporting, company assets, confidentiality and corporate opportunity requirements and the process for reporting violations of the Code of Ethics and Conduct. Our Code of Ethics and Conduct is intended to meet the definition of “code of ethics” under Item 16B of 20-F under the Exchange Act.</w:t>
      </w:r>
    </w:p>
    <w:p>
      <w:pPr>
        <w:spacing w:after="0" w:line="186"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 xml:space="preserve">We will disclose on our website any amendment to, or waiver from, a provision of our Code of Ethics and Conduct that applies to our directors or executive officers to the extent required under the rules of the SEC or Nasdaq. Our Code of Ethics and Conduct is available on our website at </w:t>
      </w:r>
      <w:r>
        <w:rPr>
          <w:rFonts w:ascii="Times New Roman" w:cs="Times New Roman" w:eastAsia="Times New Roman" w:hAnsi="Times New Roman"/>
          <w:sz w:val="18"/>
          <w:szCs w:val="18"/>
          <w:u w:val="single" w:color="auto"/>
          <w:color w:val="auto"/>
        </w:rPr>
        <w:t>https://ir.walkme.com/corporate-governance/governance-overview</w:t>
      </w:r>
      <w:r>
        <w:rPr>
          <w:rFonts w:ascii="Times New Roman" w:cs="Times New Roman" w:eastAsia="Times New Roman" w:hAnsi="Times New Roman"/>
          <w:sz w:val="18"/>
          <w:szCs w:val="18"/>
          <w:color w:val="auto"/>
        </w:rPr>
        <w:t>. The information contained on or through our website, or any other website referred to herein, is not incorporated by reference in this Annual Report.</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granted no waivers under our Code of Ethics and Conduct in 2022.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243"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WalkMe Ltd. as of December 31, 2021 and 2022, and for each of the three years in the period ended December 31, 2022, appearing in this Annual Report have been audited by Kost Forer Gabbay &amp; Kasierer, a member of Ernst &amp; Young Global, independent registered public accounting firm, as set forth in their report thereon appearing elsewhere herein, and are included in reliance upon such report given on the authority of such firm as experts in accounting and auditing. The current address of Kost Forer Gabbay &amp; Kasierer is 144 Menachem Begin Road, Building A, Tel Aviv 6492101, Israel.</w:t>
      </w:r>
    </w:p>
    <w:p>
      <w:pPr>
        <w:spacing w:after="0" w:line="203"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table below sets out the total amount of services rendered to us by Kost Forer Gabbay &amp; Kasierer, a member of Ernst &amp; Young Global, for services performed in the years ended December 31, 2021 and 2022, and breaks down these amounts by category of service: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440" w:type="dxa"/>
            <w:vAlign w:val="bottom"/>
          </w:tcPr>
          <w:p>
            <w:pPr>
              <w:spacing w:after="0"/>
              <w:rPr>
                <w:sz w:val="22"/>
                <w:szCs w:val="22"/>
                <w:color w:val="auto"/>
              </w:rPr>
            </w:pPr>
          </w:p>
        </w:tc>
        <w:tc>
          <w:tcPr>
            <w:tcW w:w="5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7"/>
        </w:trPr>
        <w:tc>
          <w:tcPr>
            <w:tcW w:w="344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30"/>
        </w:trPr>
        <w:tc>
          <w:tcPr>
            <w:tcW w:w="344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134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color w:val="auto"/>
                <w:w w:val="76"/>
              </w:rPr>
              <w:t>thousands)</w:t>
            </w:r>
          </w:p>
        </w:tc>
        <w:tc>
          <w:tcPr>
            <w:tcW w:w="100" w:type="dxa"/>
            <w:vAlign w:val="bottom"/>
          </w:tcPr>
          <w:p>
            <w:pPr>
              <w:spacing w:after="0"/>
              <w:rPr>
                <w:sz w:val="19"/>
                <w:szCs w:val="19"/>
                <w:color w:val="auto"/>
              </w:rPr>
            </w:pPr>
          </w:p>
        </w:tc>
      </w:tr>
      <w:tr>
        <w:trPr>
          <w:trHeight w:val="229"/>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5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1,110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r>
      <w:tr>
        <w:trPr>
          <w:trHeight w:val="230"/>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Audit Related Fees</w:t>
            </w:r>
          </w:p>
        </w:tc>
        <w:tc>
          <w:tcPr>
            <w:tcW w:w="5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5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5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1,198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539</w:t>
            </w:r>
          </w:p>
        </w:tc>
      </w:tr>
      <w:tr>
        <w:trPr>
          <w:trHeight w:val="621"/>
        </w:trPr>
        <w:tc>
          <w:tcPr>
            <w:tcW w:w="3440" w:type="dxa"/>
            <w:vAlign w:val="bottom"/>
            <w:tcBorders>
              <w:top w:val="single" w:sz="8" w:color="CCEEFF"/>
            </w:tcBorders>
          </w:tcPr>
          <w:p>
            <w:pPr>
              <w:spacing w:after="0"/>
              <w:rPr>
                <w:sz w:val="24"/>
                <w:szCs w:val="24"/>
                <w:color w:val="auto"/>
              </w:rPr>
            </w:pPr>
          </w:p>
        </w:tc>
        <w:tc>
          <w:tcPr>
            <w:tcW w:w="5240" w:type="dxa"/>
            <w:vAlign w:val="bottom"/>
            <w:tcBorders>
              <w:top w:val="single" w:sz="8" w:color="CCEEFF"/>
            </w:tcBorders>
          </w:tcPr>
          <w:p>
            <w:pPr>
              <w:jc w:val="right"/>
              <w:ind w:right="2830"/>
              <w:spacing w:after="0"/>
              <w:rPr>
                <w:sz w:val="20"/>
                <w:szCs w:val="20"/>
                <w:color w:val="auto"/>
              </w:rPr>
            </w:pPr>
            <w:r>
              <w:rPr>
                <w:rFonts w:ascii="Times New Roman" w:cs="Times New Roman" w:eastAsia="Times New Roman" w:hAnsi="Times New Roman"/>
                <w:sz w:val="18"/>
                <w:szCs w:val="18"/>
                <w:color w:val="auto"/>
              </w:rPr>
              <w:t>138</w:t>
            </w: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61"/>
        </w:trPr>
        <w:tc>
          <w:tcPr>
            <w:tcW w:w="3440" w:type="dxa"/>
            <w:vAlign w:val="bottom"/>
            <w:tcBorders>
              <w:bottom w:val="single" w:sz="8" w:color="auto"/>
            </w:tcBorders>
          </w:tcPr>
          <w:p>
            <w:pPr>
              <w:spacing w:after="0"/>
              <w:rPr>
                <w:sz w:val="5"/>
                <w:szCs w:val="5"/>
                <w:color w:val="auto"/>
              </w:rPr>
            </w:pPr>
          </w:p>
        </w:tc>
        <w:tc>
          <w:tcPr>
            <w:tcW w:w="52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347"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color w:val="auto"/>
        </w:rPr>
        <w:t>Audit Fees</w:t>
      </w:r>
    </w:p>
    <w:p>
      <w:pPr>
        <w:spacing w:after="0" w:line="243"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Audit fees for the years ended December 31, 2022 and 2021 consisted of fees for professional services provided in connection with the audit of our annual consolidated financial statements and audit services that are normally provided by an independent registered public accounting firm in connection with statutory and regulatory filings or engagements for those years. The audit fees for the year ended 2021 include fees for professional services provided in connection with our initial public offering incurred during the year ended December 31, 2021.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Fees</w:t>
      </w:r>
    </w:p>
    <w:p>
      <w:pPr>
        <w:spacing w:after="0" w:line="256"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Tax fees for the years ended December 31, 2022 and 2021 refer to professional services rendered by our auditors, which include ongoing tax advisory, tax compliance and tax consulting associated with transfer pricing.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Other Fees</w:t>
      </w:r>
    </w:p>
    <w:p>
      <w:pPr>
        <w:spacing w:after="0" w:line="243" w:lineRule="exact"/>
        <w:rPr>
          <w:sz w:val="20"/>
          <w:szCs w:val="20"/>
          <w:color w:val="auto"/>
        </w:rPr>
      </w:pPr>
    </w:p>
    <w:p>
      <w:pPr>
        <w:jc w:val="both"/>
        <w:ind w:firstLine="441"/>
        <w:spacing w:after="0" w:line="297" w:lineRule="auto"/>
        <w:rPr>
          <w:sz w:val="20"/>
          <w:szCs w:val="20"/>
          <w:color w:val="auto"/>
        </w:rPr>
      </w:pPr>
      <w:r>
        <w:rPr>
          <w:rFonts w:ascii="Times New Roman" w:cs="Times New Roman" w:eastAsia="Times New Roman" w:hAnsi="Times New Roman"/>
          <w:sz w:val="18"/>
          <w:szCs w:val="18"/>
          <w:color w:val="auto"/>
        </w:rPr>
        <w:t>All other fees for the years ended December 31, 2022 and 2021 consisted of fees for services provided in connection with the assessment and reports of our compliance programs.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243" w:lineRule="exact"/>
        <w:rPr>
          <w:sz w:val="20"/>
          <w:szCs w:val="20"/>
          <w:color w:val="auto"/>
        </w:rPr>
      </w:pPr>
    </w:p>
    <w:p>
      <w:pPr>
        <w:jc w:val="both"/>
        <w:ind w:firstLine="441"/>
        <w:spacing w:after="0" w:line="297" w:lineRule="auto"/>
        <w:rPr>
          <w:sz w:val="20"/>
          <w:szCs w:val="20"/>
          <w:color w:val="auto"/>
        </w:rPr>
      </w:pPr>
      <w:r>
        <w:rPr>
          <w:rFonts w:ascii="Times New Roman" w:cs="Times New Roman" w:eastAsia="Times New Roman" w:hAnsi="Times New Roman"/>
          <w:sz w:val="18"/>
          <w:szCs w:val="18"/>
          <w:color w:val="auto"/>
        </w:rPr>
        <w:t>The advance approval of the Audit Committee or members thereof, to whom approval authority has been delegated, is required for all audit and non-audit services provided by our auditors.</w:t>
      </w:r>
    </w:p>
    <w:p>
      <w:pPr>
        <w:spacing w:after="0" w:line="163" w:lineRule="exact"/>
        <w:rPr>
          <w:sz w:val="20"/>
          <w:szCs w:val="20"/>
          <w:color w:val="auto"/>
        </w:rPr>
      </w:pPr>
    </w:p>
    <w:p>
      <w:pPr>
        <w:jc w:val="both"/>
        <w:ind w:firstLine="441"/>
        <w:spacing w:after="0" w:line="297" w:lineRule="auto"/>
        <w:rPr>
          <w:sz w:val="20"/>
          <w:szCs w:val="20"/>
          <w:color w:val="auto"/>
        </w:rPr>
      </w:pPr>
      <w:r>
        <w:rPr>
          <w:rFonts w:ascii="Times New Roman" w:cs="Times New Roman" w:eastAsia="Times New Roman" w:hAnsi="Times New Roman"/>
          <w:sz w:val="18"/>
          <w:szCs w:val="18"/>
          <w:color w:val="auto"/>
        </w:rPr>
        <w:t>All services provided by our auditors are approved in advance by either the Audit Committee or members thereof, to whom authority has been delegated, in accordance with the Audit Committee’s pre-approval policy.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2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2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pacing w:after="0" w:line="2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243" w:lineRule="exact"/>
        <w:rPr>
          <w:sz w:val="20"/>
          <w:szCs w:val="20"/>
          <w:color w:val="auto"/>
        </w:rPr>
      </w:pPr>
    </w:p>
    <w:p>
      <w:pPr>
        <w:jc w:val="both"/>
        <w:ind w:firstLine="441"/>
        <w:spacing w:after="0" w:line="263" w:lineRule="auto"/>
        <w:rPr>
          <w:sz w:val="20"/>
          <w:szCs w:val="20"/>
          <w:color w:val="auto"/>
        </w:rPr>
      </w:pPr>
      <w:r>
        <w:rPr>
          <w:rFonts w:ascii="Times New Roman" w:cs="Times New Roman" w:eastAsia="Times New Roman" w:hAnsi="Times New Roman"/>
          <w:sz w:val="18"/>
          <w:szCs w:val="18"/>
          <w:color w:val="auto"/>
        </w:rPr>
        <w:t>We are a “foreign private issuer” (as such term is defined in Rule 3b-4 under the Exchange Act) and our ordinary shares are listed on the Nasdaq Global Select Market. Under the Listing Rules of the Nasdaq Stock Market, listed companies that are foreign private issuers are permitted to follow home country practice in lieu of the corporate governance provisions specified by the Listing Rules of the Nasdaq Stock Market with limited exceptions. We rely on this “home country practice exemption” with respect to the quorum requirement for shareholder meetings. Whereas under the Listing Rules of the Nasdaq Stock Market, a quorum requires the presence, in person or by proxy, of holders of at least 331/3% of the total issued outstanding voting power of our shares at each general meeting of shareholders, pursuant to our Articles of Association, and as permitted under the Companies Law, the quorum required for a general meeting of shareholders consists of at least two shareholders present in person or by proxy in accordance with the Companies Law, who hold or represent at least 331/3% of the total outstanding voting power of our shares, except if (i) any such general meeting of shareholders was initiated by and convened pursuant to a resolution adopted by the board of directors and (ii) at the time of such general meeting, we qualify to use the forms and rules of a “foreign private issuer,” the requisite quorum will consist of two or more shareholders present in person or by proxy who hold or represent at least 25% of the total outstanding voting power of our shares (and if the meeting is adjourned for a lack of quorum, the quorum for such adjourned meeting will be, subject to certain exceptions, any number of shareholders).</w:t>
      </w:r>
    </w:p>
    <w:p>
      <w:pPr>
        <w:spacing w:after="0" w:line="208"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We otherwise comply with and intend to continue to comply with the rules generally applicable to U.S. domestic companies listed on the Nasdaq Global Select Market. We may in the future, however, decide to use other foreign private issuer exemptions with respect to some or all of the Listing Rules of the Nasdaq Stock Market. Following our home country governance practices may provide less protection than is accorded to investors under the Listing Rules of the Nasdaq Stock Market applicable to domestic issuers.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2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16I. Disclosure Regarding Foreign Jurisdictions that Prevent Inspections</w:t>
      </w:r>
    </w:p>
    <w:p>
      <w:pPr>
        <w:spacing w:after="0" w:line="2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Financial Statements</w:t>
      </w:r>
    </w:p>
    <w:p>
      <w:pPr>
        <w:spacing w:after="0" w:line="2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have provided financial statements pursuant to Item 18.</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18. Financial Statements</w:t>
      </w:r>
    </w:p>
    <w:p>
      <w:pPr>
        <w:spacing w:after="0" w:line="243" w:lineRule="exact"/>
        <w:rPr>
          <w:sz w:val="20"/>
          <w:szCs w:val="20"/>
          <w:color w:val="auto"/>
        </w:rPr>
      </w:pPr>
    </w:p>
    <w:p>
      <w:pPr>
        <w:jc w:val="both"/>
        <w:ind w:firstLine="441"/>
        <w:spacing w:after="0" w:line="281" w:lineRule="auto"/>
        <w:rPr>
          <w:sz w:val="20"/>
          <w:szCs w:val="20"/>
          <w:color w:val="auto"/>
        </w:rPr>
      </w:pPr>
      <w:r>
        <w:rPr>
          <w:rFonts w:ascii="Times New Roman" w:cs="Times New Roman" w:eastAsia="Times New Roman" w:hAnsi="Times New Roman"/>
          <w:sz w:val="18"/>
          <w:szCs w:val="18"/>
          <w:color w:val="auto"/>
        </w:rPr>
        <w:t>The audited consolidated financial statements as required under Item 18 are attached hereto starting on page F-1 of this Annual Report. The audit report of Kost Forer Gabbay &amp; Kasierer (a member of Ernst &amp; Young Global), an independent registered public accounting firm, is included herein preceding the audited consolidated financial statements.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238"/>
        </w:trPr>
        <w:tc>
          <w:tcPr>
            <w:tcW w:w="586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auto"/>
              </w:rPr>
              <w:t>Item 19. Exhibits</w:t>
            </w: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4"/>
        </w:trPr>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gridSpan w:val="4"/>
          </w:tcPr>
          <w:p>
            <w:pPr>
              <w:ind w:left="360"/>
              <w:spacing w:after="0"/>
              <w:rPr>
                <w:sz w:val="20"/>
                <w:szCs w:val="20"/>
                <w:color w:val="auto"/>
              </w:rPr>
            </w:pPr>
            <w:r>
              <w:rPr>
                <w:rFonts w:ascii="Times New Roman" w:cs="Times New Roman" w:eastAsia="Times New Roman" w:hAnsi="Times New Roman"/>
                <w:sz w:val="18"/>
                <w:szCs w:val="18"/>
                <w:b w:val="1"/>
                <w:bCs w:val="1"/>
                <w:color w:val="auto"/>
              </w:rPr>
              <w:t>Incorporation by</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gridSpan w:val="4"/>
          </w:tcPr>
          <w:p>
            <w:pPr>
              <w:ind w:left="640"/>
              <w:spacing w:after="0"/>
              <w:rPr>
                <w:sz w:val="20"/>
                <w:szCs w:val="20"/>
                <w:color w:val="auto"/>
              </w:rPr>
            </w:pPr>
            <w:r>
              <w:rPr>
                <w:rFonts w:ascii="Times New Roman" w:cs="Times New Roman" w:eastAsia="Times New Roman" w:hAnsi="Times New Roman"/>
                <w:sz w:val="18"/>
                <w:szCs w:val="18"/>
                <w:b w:val="1"/>
                <w:bCs w:val="1"/>
                <w:color w:val="auto"/>
              </w:rPr>
              <w:t>Reference</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18"/>
        </w:trPr>
        <w:tc>
          <w:tcPr>
            <w:tcW w:w="40" w:type="dxa"/>
            <w:vAlign w:val="bottom"/>
          </w:tcPr>
          <w:p>
            <w:pPr>
              <w:spacing w:after="0"/>
              <w:rPr>
                <w:sz w:val="24"/>
                <w:szCs w:val="24"/>
                <w:color w:val="auto"/>
              </w:rPr>
            </w:pPr>
          </w:p>
        </w:tc>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0" w:type="dxa"/>
            <w:vAlign w:val="bottom"/>
            <w:gridSpan w:val="15"/>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40" w:type="dxa"/>
            <w:vAlign w:val="bottom"/>
          </w:tcPr>
          <w:p>
            <w:pPr>
              <w:spacing w:after="0"/>
              <w:rPr>
                <w:sz w:val="24"/>
                <w:szCs w:val="24"/>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Form</w:t>
            </w:r>
          </w:p>
        </w:tc>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20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Filing</w:t>
            </w: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0" w:type="dxa"/>
            <w:vAlign w:val="bottom"/>
            <w:gridSpan w:val="15"/>
            <w:vMerge w:val="continue"/>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No.</w:t>
            </w: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Date</w:t>
            </w:r>
          </w:p>
        </w:tc>
        <w:tc>
          <w:tcPr>
            <w:tcW w:w="0" w:type="dxa"/>
            <w:vAlign w:val="bottom"/>
          </w:tcPr>
          <w:p>
            <w:pPr>
              <w:spacing w:after="0"/>
              <w:rPr>
                <w:sz w:val="1"/>
                <w:szCs w:val="1"/>
                <w:color w:val="auto"/>
              </w:rPr>
            </w:pPr>
          </w:p>
        </w:tc>
      </w:tr>
      <w:tr>
        <w:trPr>
          <w:trHeight w:val="34"/>
        </w:trPr>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60" w:type="dxa"/>
            <w:vAlign w:val="bottom"/>
            <w:gridSpan w:val="2"/>
          </w:tcPr>
          <w:p>
            <w:pPr>
              <w:ind w:left="40"/>
              <w:spacing w:after="0" w:line="202" w:lineRule="exact"/>
              <w:rPr>
                <w:rFonts w:ascii="Times New Roman" w:cs="Times New Roman" w:eastAsia="Times New Roman" w:hAnsi="Times New Roman"/>
                <w:sz w:val="18"/>
                <w:szCs w:val="18"/>
                <w:color w:val="0000EE"/>
                <w:w w:val="88"/>
              </w:rPr>
            </w:pPr>
            <w:hyperlink r:id="rId176">
              <w:r>
                <w:rPr>
                  <w:rFonts w:ascii="Times New Roman" w:cs="Times New Roman" w:eastAsia="Times New Roman" w:hAnsi="Times New Roman"/>
                  <w:sz w:val="18"/>
                  <w:szCs w:val="18"/>
                  <w:color w:val="0000EE"/>
                  <w:w w:val="88"/>
                </w:rPr>
                <w:t>1.</w:t>
              </w:r>
              <w:r>
                <w:rPr>
                  <w:rFonts w:ascii="Times New Roman" w:cs="Times New Roman" w:eastAsia="Times New Roman" w:hAnsi="Times New Roman"/>
                  <w:sz w:val="18"/>
                  <w:szCs w:val="18"/>
                  <w:u w:val="single" w:color="auto"/>
                  <w:color w:val="0000EE"/>
                  <w:w w:val="88"/>
                </w:rPr>
                <w:t>1</w:t>
              </w:r>
            </w:hyperlink>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0" w:type="dxa"/>
            <w:vAlign w:val="bottom"/>
            <w:gridSpan w:val="15"/>
          </w:tcPr>
          <w:p>
            <w:pPr>
              <w:spacing w:after="0" w:line="202" w:lineRule="exact"/>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Amended and Restated Articles of Association of the Registrant.</w:t>
              </w:r>
            </w:hyperlink>
          </w:p>
        </w:tc>
        <w:tc>
          <w:tcPr>
            <w:tcW w:w="240" w:type="dxa"/>
            <w:vAlign w:val="bottom"/>
          </w:tcPr>
          <w:p>
            <w:pPr>
              <w:spacing w:after="0"/>
              <w:rPr>
                <w:sz w:val="17"/>
                <w:szCs w:val="17"/>
                <w:color w:val="auto"/>
              </w:rPr>
            </w:pPr>
          </w:p>
        </w:tc>
        <w:tc>
          <w:tcPr>
            <w:tcW w:w="9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20-F</w:t>
            </w:r>
          </w:p>
        </w:tc>
        <w:tc>
          <w:tcPr>
            <w:tcW w:w="92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001-40490</w:t>
            </w:r>
          </w:p>
        </w:tc>
        <w:tc>
          <w:tcPr>
            <w:tcW w:w="1100" w:type="dxa"/>
            <w:vAlign w:val="bottom"/>
            <w:gridSpan w:val="2"/>
          </w:tcPr>
          <w:p>
            <w:pPr>
              <w:ind w:left="240"/>
              <w:spacing w:after="0" w:line="202" w:lineRule="exact"/>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7"/>
                <w:szCs w:val="17"/>
                <w:color w:val="auto"/>
              </w:rPr>
            </w:pPr>
          </w:p>
        </w:tc>
        <w:tc>
          <w:tcPr>
            <w:tcW w:w="8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3/24/2022</w:t>
            </w:r>
          </w:p>
        </w:tc>
        <w:tc>
          <w:tcPr>
            <w:tcW w:w="0" w:type="dxa"/>
            <w:vAlign w:val="bottom"/>
          </w:tcPr>
          <w:p>
            <w:pPr>
              <w:spacing w:after="0"/>
              <w:rPr>
                <w:sz w:val="1"/>
                <w:szCs w:val="1"/>
                <w:color w:val="auto"/>
              </w:rPr>
            </w:pPr>
          </w:p>
        </w:tc>
      </w:tr>
      <w:tr>
        <w:trPr>
          <w:trHeight w:val="263"/>
        </w:trPr>
        <w:tc>
          <w:tcPr>
            <w:tcW w:w="260" w:type="dxa"/>
            <w:vAlign w:val="bottom"/>
            <w:gridSpan w:val="2"/>
          </w:tcPr>
          <w:p>
            <w:pPr>
              <w:ind w:left="40"/>
              <w:spacing w:after="0"/>
              <w:rPr>
                <w:rFonts w:ascii="Times New Roman" w:cs="Times New Roman" w:eastAsia="Times New Roman" w:hAnsi="Times New Roman"/>
                <w:sz w:val="18"/>
                <w:szCs w:val="18"/>
                <w:color w:val="0000EE"/>
                <w:w w:val="88"/>
              </w:rPr>
            </w:pPr>
            <w:hyperlink r:id="rId177">
              <w:r>
                <w:rPr>
                  <w:rFonts w:ascii="Times New Roman" w:cs="Times New Roman" w:eastAsia="Times New Roman" w:hAnsi="Times New Roman"/>
                  <w:sz w:val="18"/>
                  <w:szCs w:val="18"/>
                  <w:color w:val="0000EE"/>
                  <w:w w:val="88"/>
                </w:rPr>
                <w:t>2.</w:t>
              </w:r>
              <w:r>
                <w:rPr>
                  <w:rFonts w:ascii="Times New Roman" w:cs="Times New Roman" w:eastAsia="Times New Roman" w:hAnsi="Times New Roman"/>
                  <w:sz w:val="18"/>
                  <w:szCs w:val="18"/>
                  <w:u w:val="single" w:color="auto"/>
                  <w:color w:val="0000EE"/>
                  <w:w w:val="88"/>
                </w:rPr>
                <w:t>1</w:t>
              </w:r>
            </w:hyperlink>
          </w:p>
        </w:tc>
        <w:tc>
          <w:tcPr>
            <w:tcW w:w="20" w:type="dxa"/>
            <w:vAlign w:val="bottom"/>
            <w:tcBorders>
              <w:top w:val="single" w:sz="8" w:color="0000EE"/>
            </w:tcBorders>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60" w:type="dxa"/>
            <w:vAlign w:val="bottom"/>
            <w:tcBorders>
              <w:top w:val="single" w:sz="8" w:color="0000EE"/>
            </w:tcBorders>
            <w:gridSpan w:val="12"/>
          </w:tcPr>
          <w:p>
            <w:pPr>
              <w:spacing w:after="0"/>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Description of Securities.</w:t>
              </w:r>
            </w:hyperlink>
          </w:p>
        </w:tc>
        <w:tc>
          <w:tcPr>
            <w:tcW w:w="140" w:type="dxa"/>
            <w:vAlign w:val="bottom"/>
            <w:gridSpan w:val="3"/>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20-F</w:t>
            </w:r>
          </w:p>
        </w:tc>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001-40490</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22"/>
                <w:szCs w:val="22"/>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3/24/2022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80" w:type="dxa"/>
            <w:vAlign w:val="bottom"/>
            <w:gridSpan w:val="3"/>
          </w:tcPr>
          <w:p>
            <w:pPr>
              <w:ind w:left="40"/>
              <w:spacing w:after="0"/>
              <w:rPr>
                <w:rFonts w:ascii="Times New Roman" w:cs="Times New Roman" w:eastAsia="Times New Roman" w:hAnsi="Times New Roman"/>
                <w:sz w:val="18"/>
                <w:szCs w:val="18"/>
                <w:color w:val="0000EE"/>
                <w:w w:val="88"/>
              </w:rPr>
            </w:pPr>
            <w:hyperlink r:id="rId178">
              <w:r>
                <w:rPr>
                  <w:rFonts w:ascii="Times New Roman" w:cs="Times New Roman" w:eastAsia="Times New Roman" w:hAnsi="Times New Roman"/>
                  <w:sz w:val="18"/>
                  <w:szCs w:val="18"/>
                  <w:color w:val="0000EE"/>
                  <w:w w:val="88"/>
                </w:rPr>
                <w:t>2.</w:t>
              </w:r>
              <w:r>
                <w:rPr>
                  <w:rFonts w:ascii="Times New Roman" w:cs="Times New Roman" w:eastAsia="Times New Roman" w:hAnsi="Times New Roman"/>
                  <w:sz w:val="18"/>
                  <w:szCs w:val="18"/>
                  <w:u w:val="single" w:color="auto"/>
                  <w:color w:val="0000EE"/>
                  <w:w w:val="88"/>
                </w:rPr>
                <w:t>2</w:t>
              </w:r>
            </w:hyperlink>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0" w:type="dxa"/>
            <w:vAlign w:val="bottom"/>
            <w:gridSpan w:val="15"/>
          </w:tcPr>
          <w:p>
            <w:pPr>
              <w:spacing w:after="0"/>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Specimen share certificate</w:t>
              </w:r>
            </w:hyperlink>
            <w:r>
              <w:rPr>
                <w:rFonts w:ascii="Times New Roman" w:cs="Times New Roman" w:eastAsia="Times New Roman" w:hAnsi="Times New Roman"/>
                <w:sz w:val="18"/>
                <w:szCs w:val="18"/>
                <w:color w:val="000000"/>
              </w:rPr>
              <w:t>.</w:t>
            </w:r>
          </w:p>
        </w:tc>
        <w:tc>
          <w:tcPr>
            <w:tcW w:w="240" w:type="dxa"/>
            <w:vAlign w:val="bottom"/>
          </w:tcPr>
          <w:p>
            <w:pPr>
              <w:spacing w:after="0"/>
              <w:rPr>
                <w:sz w:val="22"/>
                <w:szCs w:val="22"/>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F-1/A</w:t>
            </w:r>
          </w:p>
        </w:tc>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333-</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22"/>
                <w:szCs w:val="22"/>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6/7/2021</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256219</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60" w:type="dxa"/>
            <w:vAlign w:val="bottom"/>
            <w:gridSpan w:val="4"/>
          </w:tcPr>
          <w:p>
            <w:pPr>
              <w:spacing w:after="0"/>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hyperlink>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0" w:type="dxa"/>
            <w:vAlign w:val="bottom"/>
            <w:gridSpan w:val="15"/>
          </w:tcPr>
          <w:p>
            <w:pPr>
              <w:spacing w:after="0"/>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Form of Indemnification Agreement between the Registrant and</w:t>
              </w:r>
            </w:hyperlink>
          </w:p>
        </w:tc>
        <w:tc>
          <w:tcPr>
            <w:tcW w:w="240" w:type="dxa"/>
            <w:vAlign w:val="bottom"/>
          </w:tcPr>
          <w:p>
            <w:pPr>
              <w:spacing w:after="0"/>
              <w:rPr>
                <w:sz w:val="19"/>
                <w:szCs w:val="19"/>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F-1/A</w:t>
            </w:r>
          </w:p>
        </w:tc>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333-</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6/7/2021</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tcBorders>
              <w:top w:val="single" w:sz="8" w:color="0000EE"/>
            </w:tcBorders>
            <w:gridSpan w:val="14"/>
          </w:tcPr>
          <w:p>
            <w:pPr>
              <w:spacing w:after="0"/>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its directors and officers.</w:t>
              </w:r>
            </w:hyperlink>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256219</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60" w:type="dxa"/>
            <w:vAlign w:val="bottom"/>
            <w:gridSpan w:val="4"/>
          </w:tcPr>
          <w:p>
            <w:pPr>
              <w:spacing w:after="0"/>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hyperlink>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0" w:type="dxa"/>
            <w:vAlign w:val="bottom"/>
            <w:gridSpan w:val="15"/>
          </w:tcPr>
          <w:p>
            <w:pPr>
              <w:spacing w:after="0"/>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Restated 2012 Share Option Plan.</w:t>
              </w:r>
            </w:hyperlink>
          </w:p>
        </w:tc>
        <w:tc>
          <w:tcPr>
            <w:tcW w:w="240" w:type="dxa"/>
            <w:vAlign w:val="bottom"/>
          </w:tcPr>
          <w:p>
            <w:pPr>
              <w:spacing w:after="0"/>
              <w:rPr>
                <w:sz w:val="21"/>
                <w:szCs w:val="21"/>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F-1/A</w:t>
            </w:r>
          </w:p>
        </w:tc>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333-</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21"/>
                <w:szCs w:val="21"/>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5/17/2021</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256219</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60" w:type="dxa"/>
            <w:vAlign w:val="bottom"/>
            <w:gridSpan w:val="4"/>
          </w:tcPr>
          <w:p>
            <w:pPr>
              <w:spacing w:after="0"/>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3†</w:t>
              </w:r>
            </w:hyperlink>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0" w:type="dxa"/>
            <w:vAlign w:val="bottom"/>
            <w:gridSpan w:val="15"/>
          </w:tcPr>
          <w:p>
            <w:pPr>
              <w:spacing w:after="0"/>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2021 Share Incentive Plan.</w:t>
              </w:r>
            </w:hyperlink>
          </w:p>
        </w:tc>
        <w:tc>
          <w:tcPr>
            <w:tcW w:w="240" w:type="dxa"/>
            <w:vAlign w:val="bottom"/>
          </w:tcPr>
          <w:p>
            <w:pPr>
              <w:spacing w:after="0"/>
              <w:rPr>
                <w:sz w:val="19"/>
                <w:szCs w:val="19"/>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F-1/A</w:t>
            </w:r>
          </w:p>
        </w:tc>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333-</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5/17/2021</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256219</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60" w:type="dxa"/>
            <w:vAlign w:val="bottom"/>
            <w:gridSpan w:val="4"/>
          </w:tcPr>
          <w:p>
            <w:pPr>
              <w:spacing w:after="0"/>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4†</w:t>
              </w:r>
            </w:hyperlink>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0" w:type="dxa"/>
            <w:vAlign w:val="bottom"/>
            <w:gridSpan w:val="15"/>
          </w:tcPr>
          <w:p>
            <w:pPr>
              <w:spacing w:after="0"/>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2021 Employee Share Purchase Plan.</w:t>
              </w:r>
            </w:hyperlink>
          </w:p>
        </w:tc>
        <w:tc>
          <w:tcPr>
            <w:tcW w:w="240" w:type="dxa"/>
            <w:vAlign w:val="bottom"/>
          </w:tcPr>
          <w:p>
            <w:pPr>
              <w:spacing w:after="0"/>
              <w:rPr>
                <w:sz w:val="19"/>
                <w:szCs w:val="19"/>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F-1/A</w:t>
            </w:r>
          </w:p>
        </w:tc>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333-</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5/17/2021</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8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256219</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60" w:type="dxa"/>
            <w:vAlign w:val="bottom"/>
            <w:gridSpan w:val="4"/>
          </w:tcPr>
          <w:p>
            <w:pPr>
              <w:spacing w:after="0"/>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5†</w:t>
              </w:r>
            </w:hyperlink>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0" w:type="dxa"/>
            <w:vAlign w:val="bottom"/>
            <w:gridSpan w:val="15"/>
          </w:tcPr>
          <w:p>
            <w:pPr>
              <w:spacing w:after="0"/>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Compensation Policy for Officers and Directors.</w:t>
              </w:r>
            </w:hyperlink>
          </w:p>
        </w:tc>
        <w:tc>
          <w:tcPr>
            <w:tcW w:w="240" w:type="dxa"/>
            <w:vAlign w:val="bottom"/>
          </w:tcPr>
          <w:p>
            <w:pPr>
              <w:spacing w:after="0"/>
              <w:rPr>
                <w:sz w:val="19"/>
                <w:szCs w:val="19"/>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F-1/A</w:t>
            </w:r>
          </w:p>
        </w:tc>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333-</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5/17/2021</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800" w:type="dxa"/>
            <w:vAlign w:val="bottom"/>
            <w:tcBorders>
              <w:top w:val="single" w:sz="8" w:color="0000EE"/>
            </w:tcBorders>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256219</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80" w:type="dxa"/>
            <w:vAlign w:val="bottom"/>
            <w:gridSpan w:val="3"/>
          </w:tcPr>
          <w:p>
            <w:pPr>
              <w:ind w:left="40"/>
              <w:spacing w:after="0"/>
              <w:rPr>
                <w:rFonts w:ascii="Times New Roman" w:cs="Times New Roman" w:eastAsia="Times New Roman" w:hAnsi="Times New Roman"/>
                <w:sz w:val="18"/>
                <w:szCs w:val="18"/>
                <w:color w:val="0000EE"/>
                <w:w w:val="88"/>
              </w:rPr>
            </w:pPr>
            <w:hyperlink r:id="rId159">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6</w:t>
              </w:r>
            </w:hyperlink>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0" w:type="dxa"/>
            <w:vAlign w:val="bottom"/>
            <w:gridSpan w:val="15"/>
          </w:tcPr>
          <w:p>
            <w:pPr>
              <w:spacing w:after="0"/>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2021 Amended and Restated Investor Rights Agreement, dated as</w:t>
              </w:r>
            </w:hyperlink>
          </w:p>
        </w:tc>
        <w:tc>
          <w:tcPr>
            <w:tcW w:w="240" w:type="dxa"/>
            <w:vAlign w:val="bottom"/>
          </w:tcPr>
          <w:p>
            <w:pPr>
              <w:spacing w:after="0"/>
              <w:rPr>
                <w:sz w:val="19"/>
                <w:szCs w:val="19"/>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F-1/A</w:t>
            </w:r>
          </w:p>
        </w:tc>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333-</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6/14/2021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of June 10, 2021, by and among the Registrant and the parties</w:t>
              </w:r>
            </w:hyperlink>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256219</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59">
              <w:r>
                <w:rPr>
                  <w:rFonts w:ascii="Times New Roman" w:cs="Times New Roman" w:eastAsia="Times New Roman" w:hAnsi="Times New Roman"/>
                  <w:sz w:val="18"/>
                  <w:szCs w:val="18"/>
                  <w:color w:val="0000EE"/>
                  <w:w w:val="99"/>
                </w:rPr>
                <w:t>named in Schedule 1 thereto.</w:t>
              </w:r>
            </w:hyperlink>
          </w:p>
        </w:tc>
        <w:tc>
          <w:tcPr>
            <w:tcW w:w="2700" w:type="dxa"/>
            <w:vAlign w:val="bottom"/>
            <w:gridSpan w:val="10"/>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EE"/>
                <w:w w:val="88"/>
              </w:rPr>
              <w:t>8.</w:t>
            </w:r>
            <w:r>
              <w:rPr>
                <w:rFonts w:ascii="Times New Roman" w:cs="Times New Roman" w:eastAsia="Times New Roman" w:hAnsi="Times New Roman"/>
                <w:sz w:val="18"/>
                <w:szCs w:val="18"/>
                <w:u w:val="single" w:color="auto"/>
                <w:color w:val="0000EE"/>
                <w:w w:val="88"/>
              </w:rPr>
              <w:t>1</w:t>
            </w: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List of subsidiaries of the Registrant.</w:t>
            </w: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28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EE"/>
              </w:rPr>
              <w:t>12.</w:t>
            </w:r>
            <w:r>
              <w:rPr>
                <w:rFonts w:ascii="Times New Roman" w:cs="Times New Roman" w:eastAsia="Times New Roman" w:hAnsi="Times New Roman"/>
                <w:sz w:val="18"/>
                <w:szCs w:val="18"/>
                <w:u w:val="single" w:color="auto"/>
                <w:color w:val="0000EE"/>
              </w:rPr>
              <w:t>1</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Principal Executive Officer Certification Pursuant to Section 302</w:t>
            </w: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2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of the Sarbanes-Oxley Act of 2002</w:t>
            </w:r>
          </w:p>
        </w:tc>
        <w:tc>
          <w:tcPr>
            <w:tcW w:w="2260" w:type="dxa"/>
            <w:vAlign w:val="bottom"/>
            <w:tcBorders>
              <w:top w:val="single" w:sz="8" w:color="0000EE"/>
            </w:tcBorders>
            <w:gridSpan w:val="7"/>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EE"/>
              </w:rPr>
              <w:t>12.</w:t>
            </w:r>
            <w:r>
              <w:rPr>
                <w:rFonts w:ascii="Times New Roman" w:cs="Times New Roman" w:eastAsia="Times New Roman" w:hAnsi="Times New Roman"/>
                <w:sz w:val="18"/>
                <w:szCs w:val="18"/>
                <w:u w:val="single" w:color="auto"/>
                <w:color w:val="0000EE"/>
              </w:rPr>
              <w:t>2</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Principal Financial Officer Certification Pursuant to Section 302</w:t>
            </w: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6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of the Sarbanes-Oxley Act of 2002.</w:t>
            </w:r>
          </w:p>
        </w:tc>
        <w:tc>
          <w:tcPr>
            <w:tcW w:w="2220" w:type="dxa"/>
            <w:vAlign w:val="bottom"/>
            <w:tcBorders>
              <w:top w:val="single" w:sz="8" w:color="0000EE"/>
            </w:tcBorders>
            <w:gridSpan w:val="6"/>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EE"/>
              </w:rPr>
              <w:t>13.</w:t>
            </w:r>
            <w:r>
              <w:rPr>
                <w:rFonts w:ascii="Times New Roman" w:cs="Times New Roman" w:eastAsia="Times New Roman" w:hAnsi="Times New Roman"/>
                <w:sz w:val="18"/>
                <w:szCs w:val="18"/>
                <w:u w:val="single" w:color="auto"/>
                <w:color w:val="0000EE"/>
              </w:rPr>
              <w:t>1</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Principal Executive Officer Certification Pursuant to Section 906</w:t>
            </w: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6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of the Sarbanes-Oxley Act of 2002.</w:t>
            </w:r>
          </w:p>
        </w:tc>
        <w:tc>
          <w:tcPr>
            <w:tcW w:w="2220" w:type="dxa"/>
            <w:vAlign w:val="bottom"/>
            <w:tcBorders>
              <w:top w:val="single" w:sz="8" w:color="0000EE"/>
            </w:tcBorders>
            <w:gridSpan w:val="6"/>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EE"/>
              </w:rPr>
              <w:t>13.</w:t>
            </w:r>
            <w:r>
              <w:rPr>
                <w:rFonts w:ascii="Times New Roman" w:cs="Times New Roman" w:eastAsia="Times New Roman" w:hAnsi="Times New Roman"/>
                <w:sz w:val="18"/>
                <w:szCs w:val="18"/>
                <w:u w:val="single" w:color="auto"/>
                <w:color w:val="0000EE"/>
              </w:rPr>
              <w:t>2</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Principal Financial Officer Certification Pursuant to Section 906</w:t>
            </w: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6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of the Sarbanes-Oxley Act of 2002.</w:t>
            </w:r>
          </w:p>
        </w:tc>
        <w:tc>
          <w:tcPr>
            <w:tcW w:w="2220" w:type="dxa"/>
            <w:vAlign w:val="bottom"/>
            <w:tcBorders>
              <w:top w:val="single" w:sz="8" w:color="0000EE"/>
            </w:tcBorders>
            <w:gridSpan w:val="6"/>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EE"/>
              </w:rPr>
              <w:t>15.</w:t>
            </w:r>
            <w:r>
              <w:rPr>
                <w:rFonts w:ascii="Times New Roman" w:cs="Times New Roman" w:eastAsia="Times New Roman" w:hAnsi="Times New Roman"/>
                <w:sz w:val="18"/>
                <w:szCs w:val="18"/>
                <w:u w:val="single" w:color="auto"/>
                <w:color w:val="0000EE"/>
              </w:rPr>
              <w:t>1</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Consent of Kost, Forer, Gabbay and Kasierer, a member of Ernst</w:t>
            </w: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&amp; Young Global.</w:t>
            </w:r>
          </w:p>
        </w:tc>
        <w:tc>
          <w:tcPr>
            <w:tcW w:w="3540" w:type="dxa"/>
            <w:vAlign w:val="bottom"/>
            <w:tcBorders>
              <w:top w:val="single" w:sz="8" w:color="0000EE"/>
            </w:tcBorders>
            <w:gridSpan w:val="13"/>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40" w:type="dxa"/>
            <w:vAlign w:val="bottom"/>
          </w:tcPr>
          <w:p>
            <w:pPr>
              <w:spacing w:after="0"/>
              <w:rPr>
                <w:sz w:val="24"/>
                <w:szCs w:val="24"/>
                <w:color w:val="auto"/>
              </w:rPr>
            </w:pPr>
          </w:p>
        </w:tc>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101.INS</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w:t>
            </w: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not appear in the Interactive Data File because XBRL tags are</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101.SCH</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101.CAL</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Document.</w:t>
            </w: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101.DEF</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Definition Linkbase Document.</w:t>
            </w: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101.LAB</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101.PRE</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Document.</w:t>
            </w: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060" w:right="4300" w:hanging="1025"/>
        <w:spacing w:after="0" w:line="297" w:lineRule="auto"/>
        <w:tabs>
          <w:tab w:leader="none" w:pos="106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Inline XBRL for the cover page of this Annual Report on Form 20-F, included in the Exhibit 101 Inline XBRL Document Set.</w:t>
      </w:r>
    </w:p>
    <w:p>
      <w:pPr>
        <w:spacing w:after="0" w:line="18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Filed herewith.</w:t>
      </w:r>
    </w:p>
    <w:p>
      <w:pPr>
        <w:spacing w:after="0" w:line="27" w:lineRule="exact"/>
        <w:rPr>
          <w:rFonts w:ascii="Times New Roman" w:cs="Times New Roman" w:eastAsia="Times New Roman" w:hAnsi="Times New Roman"/>
          <w:sz w:val="18"/>
          <w:szCs w:val="18"/>
          <w:color w:val="auto"/>
        </w:rPr>
      </w:pPr>
    </w:p>
    <w:p>
      <w:pPr>
        <w:ind w:left="780" w:hanging="772"/>
        <w:spacing w:after="0"/>
        <w:tabs>
          <w:tab w:leader="none" w:pos="7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3" w:lineRule="exact"/>
        <w:rPr>
          <w:sz w:val="20"/>
          <w:szCs w:val="20"/>
          <w:color w:val="auto"/>
        </w:rPr>
      </w:pPr>
    </w:p>
    <w:p>
      <w:pPr>
        <w:ind w:left="780" w:hanging="772"/>
        <w:spacing w:after="0"/>
        <w:tabs>
          <w:tab w:leader="none" w:pos="7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Filed /</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45720</wp:posOffset>
            </wp:positionV>
            <wp:extent cx="55753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9">
                      <a:extLst>
                        <a:ext uri="{28A0092B-C50C-407E-A947-70E740481C1C}"/>
                      </a:extLst>
                    </a:blip>
                    <a:srcRect/>
                    <a:stretch>
                      <a:fillRect/>
                    </a:stretch>
                  </pic:blipFill>
                  <pic:spPr bwMode="auto">
                    <a:xfrm>
                      <a:off x="0" y="0"/>
                      <a:ext cx="5575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365" w:lineRule="exact"/>
        <w:rPr>
          <w:sz w:val="20"/>
          <w:szCs w:val="20"/>
          <w:color w:val="auto"/>
        </w:rPr>
      </w:pPr>
    </w:p>
    <w:p>
      <w:pPr>
        <w:sectPr>
          <w:pgSz w:w="11900" w:h="16838" w:orient="portrait"/>
          <w:cols w:equalWidth="0" w:num="2">
            <w:col w:w="10140" w:space="240"/>
            <w:col w:w="860"/>
          </w:cols>
          <w:pgMar w:left="320" w:top="347" w:right="339" w:bottom="663" w:gutter="0" w:footer="0" w:header="0"/>
        </w:sectPr>
      </w:pPr>
    </w:p>
    <w:p>
      <w:pPr>
        <w:spacing w:after="0" w:line="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agreements filed as exhibits to this Annual Report contain representations and warranties that the parties thereto made to each other. These representations and warranties have been made solely for the benefit of the other parties to such agreements and may have been qualified by certain information that has been disclosed to the other parties to such agreements and that may not be reflected in such agreements. In addition, these representations and warranties may be intended as a way of allocating risks among parties if the statements contained therein prove to be incorrect, rather than as actual statements of fact. Accordingly, there can be no reliance on any such representations and warranties as characterizations of the actual state of facts. Moreover, information concerning the subject matter of any such representations and warranties may have changed since the date of such agreements.</w:t>
      </w:r>
    </w:p>
    <w:p>
      <w:pPr>
        <w:sectPr>
          <w:pgSz w:w="11900" w:h="16838" w:orient="portrait"/>
          <w:cols w:equalWidth="0" w:num="1">
            <w:col w:w="11240"/>
          </w:cols>
          <w:pgMar w:left="320" w:top="347" w:right="339" w:bottom="663" w:gutter="0" w:footer="0" w:header="0"/>
          <w:type w:val="continuous"/>
        </w:sect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663" w:gutter="0" w:footer="0" w:header="0"/>
          <w:type w:val="continuous"/>
        </w:sectPr>
      </w:pPr>
    </w:p>
    <w:bookmarkStart w:id="156" w:name="page157"/>
    <w:bookmarkEnd w:id="15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60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WALKME LTD</w:t>
            </w: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479"/>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March 14, 2023</w:t>
            </w:r>
          </w:p>
        </w:tc>
        <w:tc>
          <w:tcPr>
            <w:tcW w:w="25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 Adika</w:t>
            </w:r>
          </w:p>
        </w:tc>
        <w:tc>
          <w:tcPr>
            <w:tcW w:w="100" w:type="dxa"/>
            <w:vAlign w:val="bottom"/>
          </w:tcPr>
          <w:p>
            <w:pPr>
              <w:spacing w:after="0"/>
              <w:rPr>
                <w:sz w:val="24"/>
                <w:szCs w:val="24"/>
                <w:color w:val="auto"/>
              </w:rPr>
            </w:pPr>
          </w:p>
        </w:tc>
      </w:tr>
      <w:tr>
        <w:trPr>
          <w:trHeight w:val="211"/>
        </w:trPr>
        <w:tc>
          <w:tcPr>
            <w:tcW w:w="3540" w:type="dxa"/>
            <w:vAlign w:val="bottom"/>
          </w:tcPr>
          <w:p>
            <w:pPr>
              <w:spacing w:after="0"/>
              <w:rPr>
                <w:sz w:val="18"/>
                <w:szCs w:val="18"/>
                <w:color w:val="auto"/>
              </w:rPr>
            </w:pPr>
          </w:p>
        </w:tc>
        <w:tc>
          <w:tcPr>
            <w:tcW w:w="760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Name:Dan Adika</w:t>
            </w:r>
          </w:p>
        </w:tc>
        <w:tc>
          <w:tcPr>
            <w:tcW w:w="100" w:type="dxa"/>
            <w:vAlign w:val="bottom"/>
          </w:tcPr>
          <w:p>
            <w:pPr>
              <w:spacing w:after="0"/>
              <w:rPr>
                <w:sz w:val="18"/>
                <w:szCs w:val="18"/>
                <w:color w:val="auto"/>
              </w:rPr>
            </w:pPr>
          </w:p>
        </w:tc>
      </w:tr>
      <w:tr>
        <w:trPr>
          <w:trHeight w:val="234"/>
        </w:trPr>
        <w:tc>
          <w:tcPr>
            <w:tcW w:w="3540" w:type="dxa"/>
            <w:vAlign w:val="bottom"/>
          </w:tcPr>
          <w:p>
            <w:pPr>
              <w:spacing w:after="0"/>
              <w:rPr>
                <w:sz w:val="20"/>
                <w:szCs w:val="20"/>
                <w:color w:val="auto"/>
              </w:rPr>
            </w:pPr>
          </w:p>
        </w:tc>
        <w:tc>
          <w:tcPr>
            <w:tcW w:w="760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Title: Chief Executive Officer</w:t>
            </w:r>
          </w:p>
        </w:tc>
        <w:tc>
          <w:tcPr>
            <w:tcW w:w="100" w:type="dxa"/>
            <w:vAlign w:val="bottom"/>
          </w:tcPr>
          <w:p>
            <w:pPr>
              <w:spacing w:after="0"/>
              <w:rPr>
                <w:sz w:val="20"/>
                <w:szCs w:val="20"/>
                <w:color w:val="auto"/>
              </w:rPr>
            </w:pPr>
          </w:p>
        </w:tc>
      </w:tr>
      <w:tr>
        <w:trPr>
          <w:trHeight w:val="479"/>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March 14, 2023</w:t>
            </w:r>
          </w:p>
        </w:tc>
        <w:tc>
          <w:tcPr>
            <w:tcW w:w="25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Hagit Ynon</w:t>
            </w:r>
          </w:p>
        </w:tc>
        <w:tc>
          <w:tcPr>
            <w:tcW w:w="100" w:type="dxa"/>
            <w:vAlign w:val="bottom"/>
          </w:tcPr>
          <w:p>
            <w:pPr>
              <w:spacing w:after="0"/>
              <w:rPr>
                <w:sz w:val="24"/>
                <w:szCs w:val="24"/>
                <w:color w:val="auto"/>
              </w:rPr>
            </w:pPr>
          </w:p>
        </w:tc>
      </w:tr>
      <w:tr>
        <w:trPr>
          <w:trHeight w:val="211"/>
        </w:trPr>
        <w:tc>
          <w:tcPr>
            <w:tcW w:w="3540" w:type="dxa"/>
            <w:vAlign w:val="bottom"/>
          </w:tcPr>
          <w:p>
            <w:pPr>
              <w:spacing w:after="0"/>
              <w:rPr>
                <w:sz w:val="18"/>
                <w:szCs w:val="18"/>
                <w:color w:val="auto"/>
              </w:rPr>
            </w:pPr>
          </w:p>
        </w:tc>
        <w:tc>
          <w:tcPr>
            <w:tcW w:w="760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Name:Hagit Ynon</w:t>
            </w:r>
          </w:p>
        </w:tc>
        <w:tc>
          <w:tcPr>
            <w:tcW w:w="100" w:type="dxa"/>
            <w:vAlign w:val="bottom"/>
          </w:tcPr>
          <w:p>
            <w:pPr>
              <w:spacing w:after="0"/>
              <w:rPr>
                <w:sz w:val="18"/>
                <w:szCs w:val="18"/>
                <w:color w:val="auto"/>
              </w:rPr>
            </w:pPr>
          </w:p>
        </w:tc>
      </w:tr>
      <w:tr>
        <w:trPr>
          <w:trHeight w:val="234"/>
        </w:trPr>
        <w:tc>
          <w:tcPr>
            <w:tcW w:w="3540" w:type="dxa"/>
            <w:vAlign w:val="bottom"/>
          </w:tcPr>
          <w:p>
            <w:pPr>
              <w:spacing w:after="0"/>
              <w:rPr>
                <w:sz w:val="20"/>
                <w:szCs w:val="20"/>
                <w:color w:val="auto"/>
              </w:rPr>
            </w:pPr>
          </w:p>
        </w:tc>
        <w:tc>
          <w:tcPr>
            <w:tcW w:w="760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Title: Chief Financial Officer</w:t>
            </w:r>
          </w:p>
        </w:tc>
        <w:tc>
          <w:tcPr>
            <w:tcW w:w="100" w:type="dxa"/>
            <w:vAlign w:val="bottom"/>
          </w:tcPr>
          <w:p>
            <w:pPr>
              <w:spacing w:after="0"/>
              <w:rPr>
                <w:sz w:val="20"/>
                <w:szCs w:val="20"/>
                <w:color w:val="auto"/>
              </w:rPr>
            </w:pPr>
          </w:p>
        </w:tc>
      </w:tr>
      <w:tr>
        <w:trPr>
          <w:trHeight w:val="864"/>
        </w:trPr>
        <w:tc>
          <w:tcPr>
            <w:tcW w:w="3540" w:type="dxa"/>
            <w:vAlign w:val="bottom"/>
          </w:tcPr>
          <w:p>
            <w:pPr>
              <w:spacing w:after="0"/>
              <w:rPr>
                <w:sz w:val="24"/>
                <w:szCs w:val="24"/>
                <w:color w:val="auto"/>
              </w:rPr>
            </w:pPr>
          </w:p>
        </w:tc>
        <w:tc>
          <w:tcPr>
            <w:tcW w:w="25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142</w:t>
            </w:r>
          </w:p>
        </w:tc>
        <w:tc>
          <w:tcPr>
            <w:tcW w:w="5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1"/>
        </w:trPr>
        <w:tc>
          <w:tcPr>
            <w:tcW w:w="3540" w:type="dxa"/>
            <w:vAlign w:val="bottom"/>
            <w:tcBorders>
              <w:bottom w:val="single" w:sz="8" w:color="auto"/>
            </w:tcBorders>
          </w:tcPr>
          <w:p>
            <w:pPr>
              <w:spacing w:after="0"/>
              <w:rPr>
                <w:sz w:val="5"/>
                <w:szCs w:val="5"/>
                <w:color w:val="auto"/>
              </w:rPr>
            </w:pPr>
          </w:p>
        </w:tc>
        <w:tc>
          <w:tcPr>
            <w:tcW w:w="2560" w:type="dxa"/>
            <w:vAlign w:val="bottom"/>
            <w:tcBorders>
              <w:bottom w:val="single" w:sz="8" w:color="auto"/>
            </w:tcBorders>
          </w:tcPr>
          <w:p>
            <w:pPr>
              <w:spacing w:after="0"/>
              <w:rPr>
                <w:sz w:val="5"/>
                <w:szCs w:val="5"/>
                <w:color w:val="auto"/>
              </w:rPr>
            </w:pPr>
          </w:p>
        </w:tc>
        <w:tc>
          <w:tcPr>
            <w:tcW w:w="50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347" w:right="339" w:bottom="1440" w:gutter="0" w:footer="0" w:header="0"/>
        </w:sectPr>
      </w:pPr>
    </w:p>
    <w:bookmarkStart w:id="157" w:name="page158"/>
    <w:bookmarkEnd w:id="1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80" w:type="dxa"/>
            <w:vAlign w:val="bottom"/>
            <w:gridSpan w:val="3"/>
          </w:tcPr>
          <w:p>
            <w:pPr>
              <w:jc w:val="center"/>
              <w:ind w:right="2220"/>
              <w:spacing w:after="0"/>
              <w:rPr>
                <w:sz w:val="20"/>
                <w:szCs w:val="20"/>
                <w:color w:val="auto"/>
              </w:rPr>
            </w:pPr>
            <w:r>
              <w:rPr>
                <w:rFonts w:ascii="Times New Roman" w:cs="Times New Roman" w:eastAsia="Times New Roman" w:hAnsi="Times New Roman"/>
                <w:sz w:val="18"/>
                <w:szCs w:val="18"/>
                <w:b w:val="1"/>
                <w:bCs w:val="1"/>
                <w:color w:val="auto"/>
                <w:w w:val="99"/>
              </w:rPr>
              <w:t>WALKME LTD. AND ITS SUBSIDIARIES</w:t>
            </w:r>
          </w:p>
        </w:tc>
        <w:tc>
          <w:tcPr>
            <w:tcW w:w="1560" w:type="dxa"/>
            <w:vAlign w:val="bottom"/>
          </w:tcPr>
          <w:p>
            <w:pPr>
              <w:spacing w:after="0"/>
              <w:rPr>
                <w:sz w:val="20"/>
                <w:szCs w:val="20"/>
                <w:color w:val="auto"/>
              </w:rPr>
            </w:pPr>
          </w:p>
        </w:tc>
      </w:tr>
      <w:tr>
        <w:trPr>
          <w:trHeight w:val="445"/>
        </w:trPr>
        <w:tc>
          <w:tcPr>
            <w:tcW w:w="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340" w:type="dxa"/>
            <w:vAlign w:val="bottom"/>
            <w:gridSpan w:val="4"/>
          </w:tcPr>
          <w:p>
            <w:pPr>
              <w:jc w:val="center"/>
              <w:ind w:right="1780"/>
              <w:spacing w:after="0"/>
              <w:rPr>
                <w:sz w:val="20"/>
                <w:szCs w:val="20"/>
                <w:color w:val="auto"/>
              </w:rPr>
            </w:pPr>
            <w:r>
              <w:rPr>
                <w:rFonts w:ascii="Times New Roman" w:cs="Times New Roman" w:eastAsia="Times New Roman" w:hAnsi="Times New Roman"/>
                <w:sz w:val="18"/>
                <w:szCs w:val="18"/>
                <w:b w:val="1"/>
                <w:bCs w:val="1"/>
                <w:color w:val="auto"/>
                <w:w w:val="98"/>
              </w:rPr>
              <w:t>CONSOLIDATED FINANCIAL STATEMENTS</w:t>
            </w:r>
          </w:p>
        </w:tc>
        <w:tc>
          <w:tcPr>
            <w:tcW w:w="1560" w:type="dxa"/>
            <w:vAlign w:val="bottom"/>
          </w:tcPr>
          <w:p>
            <w:pPr>
              <w:spacing w:after="0"/>
              <w:rPr>
                <w:sz w:val="24"/>
                <w:szCs w:val="24"/>
                <w:color w:val="auto"/>
              </w:rPr>
            </w:pPr>
          </w:p>
        </w:tc>
      </w:tr>
      <w:tr>
        <w:trPr>
          <w:trHeight w:val="459"/>
        </w:trPr>
        <w:tc>
          <w:tcPr>
            <w:tcW w:w="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80" w:type="dxa"/>
            <w:vAlign w:val="bottom"/>
            <w:gridSpan w:val="3"/>
          </w:tcPr>
          <w:p>
            <w:pPr>
              <w:jc w:val="center"/>
              <w:ind w:right="2240"/>
              <w:spacing w:after="0"/>
              <w:rPr>
                <w:sz w:val="20"/>
                <w:szCs w:val="20"/>
                <w:color w:val="auto"/>
              </w:rPr>
            </w:pPr>
            <w:r>
              <w:rPr>
                <w:rFonts w:ascii="Times New Roman" w:cs="Times New Roman" w:eastAsia="Times New Roman" w:hAnsi="Times New Roman"/>
                <w:sz w:val="18"/>
                <w:szCs w:val="18"/>
                <w:b w:val="1"/>
                <w:bCs w:val="1"/>
                <w:color w:val="auto"/>
                <w:w w:val="99"/>
              </w:rPr>
              <w:t>AS OF DECEMBER 31, 2022</w:t>
            </w:r>
          </w:p>
        </w:tc>
        <w:tc>
          <w:tcPr>
            <w:tcW w:w="1560" w:type="dxa"/>
            <w:vAlign w:val="bottom"/>
          </w:tcPr>
          <w:p>
            <w:pPr>
              <w:spacing w:after="0"/>
              <w:rPr>
                <w:sz w:val="24"/>
                <w:szCs w:val="24"/>
                <w:color w:val="auto"/>
              </w:rPr>
            </w:pPr>
          </w:p>
        </w:tc>
      </w:tr>
      <w:tr>
        <w:trPr>
          <w:trHeight w:val="446"/>
        </w:trPr>
        <w:tc>
          <w:tcPr>
            <w:tcW w:w="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80" w:type="dxa"/>
            <w:vAlign w:val="bottom"/>
            <w:gridSpan w:val="3"/>
          </w:tcPr>
          <w:p>
            <w:pPr>
              <w:jc w:val="center"/>
              <w:ind w:right="2240"/>
              <w:spacing w:after="0"/>
              <w:rPr>
                <w:sz w:val="20"/>
                <w:szCs w:val="20"/>
                <w:color w:val="auto"/>
              </w:rPr>
            </w:pPr>
            <w:r>
              <w:rPr>
                <w:rFonts w:ascii="Times New Roman" w:cs="Times New Roman" w:eastAsia="Times New Roman" w:hAnsi="Times New Roman"/>
                <w:sz w:val="18"/>
                <w:szCs w:val="18"/>
                <w:b w:val="1"/>
                <w:bCs w:val="1"/>
                <w:color w:val="auto"/>
                <w:w w:val="99"/>
              </w:rPr>
              <w:t>IN U.S. DOLLARS IN THOUSANDS</w:t>
            </w:r>
          </w:p>
        </w:tc>
        <w:tc>
          <w:tcPr>
            <w:tcW w:w="1560" w:type="dxa"/>
            <w:vAlign w:val="bottom"/>
          </w:tcPr>
          <w:p>
            <w:pPr>
              <w:spacing w:after="0"/>
              <w:rPr>
                <w:sz w:val="24"/>
                <w:szCs w:val="24"/>
                <w:color w:val="auto"/>
              </w:rPr>
            </w:pPr>
          </w:p>
        </w:tc>
      </w:tr>
      <w:tr>
        <w:trPr>
          <w:trHeight w:val="445"/>
        </w:trPr>
        <w:tc>
          <w:tcPr>
            <w:tcW w:w="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80" w:type="dxa"/>
            <w:vAlign w:val="bottom"/>
            <w:gridSpan w:val="3"/>
          </w:tcPr>
          <w:p>
            <w:pPr>
              <w:jc w:val="center"/>
              <w:ind w:right="222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560" w:type="dxa"/>
            <w:vAlign w:val="bottom"/>
          </w:tcPr>
          <w:p>
            <w:pPr>
              <w:spacing w:after="0"/>
              <w:rPr>
                <w:sz w:val="24"/>
                <w:szCs w:val="24"/>
                <w:color w:val="auto"/>
              </w:rPr>
            </w:pPr>
          </w:p>
        </w:tc>
      </w:tr>
      <w:tr>
        <w:trPr>
          <w:trHeight w:val="479"/>
        </w:trPr>
        <w:tc>
          <w:tcPr>
            <w:tcW w:w="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392"/>
        </w:trPr>
        <w:tc>
          <w:tcPr>
            <w:tcW w:w="60" w:type="dxa"/>
            <w:vAlign w:val="bottom"/>
          </w:tcPr>
          <w:p>
            <w:pPr>
              <w:spacing w:after="0"/>
              <w:rPr>
                <w:sz w:val="24"/>
                <w:szCs w:val="24"/>
                <w:color w:val="auto"/>
              </w:rPr>
            </w:pPr>
          </w:p>
        </w:tc>
        <w:tc>
          <w:tcPr>
            <w:tcW w:w="62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b w:val="1"/>
                <w:bCs w:val="1"/>
                <w:color w:val="0000EE"/>
                <w:w w:val="99"/>
              </w:rPr>
              <w:t>Report of Independent Registered Public Accounting Firm (PCAOB ID No. 1281)</w:t>
            </w:r>
          </w:p>
        </w:tc>
        <w:tc>
          <w:tcPr>
            <w:tcW w:w="3360" w:type="dxa"/>
            <w:vAlign w:val="bottom"/>
            <w:gridSpan w:val="2"/>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 - 2</w:t>
            </w:r>
          </w:p>
        </w:tc>
      </w:tr>
      <w:tr>
        <w:trPr>
          <w:trHeight w:val="426"/>
        </w:trPr>
        <w:tc>
          <w:tcPr>
            <w:tcW w:w="60" w:type="dxa"/>
            <w:vAlign w:val="bottom"/>
          </w:tcPr>
          <w:p>
            <w:pPr>
              <w:spacing w:after="0"/>
              <w:rPr>
                <w:sz w:val="24"/>
                <w:szCs w:val="24"/>
                <w:color w:val="auto"/>
              </w:rPr>
            </w:pPr>
          </w:p>
        </w:tc>
        <w:tc>
          <w:tcPr>
            <w:tcW w:w="22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9"/>
              </w:rPr>
              <w:t>Consolidated Balance Sheets</w:t>
            </w:r>
          </w:p>
        </w:tc>
        <w:tc>
          <w:tcPr>
            <w:tcW w:w="7420" w:type="dxa"/>
            <w:vAlign w:val="bottom"/>
            <w:gridSpan w:val="7"/>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 - 3 - F - 4</w:t>
            </w:r>
          </w:p>
        </w:tc>
      </w:tr>
      <w:tr>
        <w:trPr>
          <w:trHeight w:val="425"/>
        </w:trPr>
        <w:tc>
          <w:tcPr>
            <w:tcW w:w="6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00EE"/>
              </w:rPr>
              <w:t>Consolidated Statements of Operations</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 - 5</w:t>
            </w:r>
          </w:p>
        </w:tc>
      </w:tr>
      <w:tr>
        <w:trPr>
          <w:trHeight w:val="20"/>
        </w:trPr>
        <w:tc>
          <w:tcPr>
            <w:tcW w:w="60" w:type="dxa"/>
            <w:vAlign w:val="bottom"/>
          </w:tcPr>
          <w:p>
            <w:pPr>
              <w:spacing w:after="0" w:line="20" w:lineRule="exact"/>
              <w:rPr>
                <w:sz w:val="1"/>
                <w:szCs w:val="1"/>
                <w:color w:val="auto"/>
              </w:rPr>
            </w:pPr>
          </w:p>
        </w:tc>
        <w:tc>
          <w:tcPr>
            <w:tcW w:w="30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26"/>
        </w:trPr>
        <w:tc>
          <w:tcPr>
            <w:tcW w:w="60" w:type="dxa"/>
            <w:vAlign w:val="bottom"/>
          </w:tcPr>
          <w:p>
            <w:pPr>
              <w:spacing w:after="0"/>
              <w:rPr>
                <w:sz w:val="24"/>
                <w:szCs w:val="24"/>
                <w:color w:val="auto"/>
              </w:rPr>
            </w:pPr>
          </w:p>
        </w:tc>
        <w:tc>
          <w:tcPr>
            <w:tcW w:w="37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b w:val="1"/>
                <w:bCs w:val="1"/>
                <w:color w:val="0000EE"/>
                <w:w w:val="99"/>
              </w:rPr>
              <w:t>Consolidated Statements of Comprehensive Loss</w:t>
            </w:r>
          </w:p>
        </w:tc>
        <w:tc>
          <w:tcPr>
            <w:tcW w:w="5880" w:type="dxa"/>
            <w:vAlign w:val="bottom"/>
            <w:gridSpan w:val="3"/>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 - 6</w:t>
            </w:r>
          </w:p>
        </w:tc>
      </w:tr>
      <w:tr>
        <w:trPr>
          <w:trHeight w:val="425"/>
        </w:trPr>
        <w:tc>
          <w:tcPr>
            <w:tcW w:w="60" w:type="dxa"/>
            <w:vAlign w:val="bottom"/>
          </w:tcPr>
          <w:p>
            <w:pPr>
              <w:spacing w:after="0"/>
              <w:rPr>
                <w:sz w:val="24"/>
                <w:szCs w:val="24"/>
                <w:color w:val="auto"/>
              </w:rPr>
            </w:pPr>
          </w:p>
        </w:tc>
        <w:tc>
          <w:tcPr>
            <w:tcW w:w="71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b w:val="1"/>
                <w:bCs w:val="1"/>
                <w:color w:val="0000EE"/>
                <w:w w:val="99"/>
              </w:rPr>
              <w:t>Consolidated Statements of Convertible Preferred Shares and Shareholders’ Equity (Deficit)</w:t>
            </w:r>
          </w:p>
        </w:tc>
        <w:tc>
          <w:tcPr>
            <w:tcW w:w="25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 - 7</w:t>
            </w:r>
          </w:p>
        </w:tc>
      </w:tr>
      <w:tr>
        <w:trPr>
          <w:trHeight w:val="426"/>
        </w:trPr>
        <w:tc>
          <w:tcPr>
            <w:tcW w:w="6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00EE"/>
              </w:rPr>
              <w:t>Consolidated Statements of Cash Flows</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 - 8</w:t>
            </w:r>
          </w:p>
        </w:tc>
      </w:tr>
      <w:tr>
        <w:trPr>
          <w:trHeight w:val="20"/>
        </w:trPr>
        <w:tc>
          <w:tcPr>
            <w:tcW w:w="60" w:type="dxa"/>
            <w:vAlign w:val="bottom"/>
          </w:tcPr>
          <w:p>
            <w:pPr>
              <w:spacing w:after="0" w:line="20" w:lineRule="exact"/>
              <w:rPr>
                <w:sz w:val="1"/>
                <w:szCs w:val="1"/>
                <w:color w:val="auto"/>
              </w:rPr>
            </w:pPr>
          </w:p>
        </w:tc>
        <w:tc>
          <w:tcPr>
            <w:tcW w:w="302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340" w:type="dxa"/>
            <w:vAlign w:val="bottom"/>
            <w:gridSpan w:val="4"/>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26"/>
        </w:trPr>
        <w:tc>
          <w:tcPr>
            <w:tcW w:w="6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00EE"/>
              </w:rPr>
              <w:t>Notes to consolidated Financial Statements</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xml:space="preserve">F - 9 </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 xml:space="preserve"> F - 30</w:t>
            </w:r>
          </w:p>
        </w:tc>
      </w:tr>
      <w:tr>
        <w:trPr>
          <w:trHeight w:val="446"/>
        </w:trPr>
        <w:tc>
          <w:tcPr>
            <w:tcW w:w="60" w:type="dxa"/>
            <w:vAlign w:val="bottom"/>
            <w:tcBorders>
              <w:bottom w:val="single" w:sz="8" w:color="auto"/>
            </w:tcBorders>
          </w:tcPr>
          <w:p>
            <w:pPr>
              <w:spacing w:after="0"/>
              <w:rPr>
                <w:sz w:val="24"/>
                <w:szCs w:val="24"/>
                <w:color w:val="auto"/>
              </w:rPr>
            </w:pPr>
          </w:p>
        </w:tc>
        <w:tc>
          <w:tcPr>
            <w:tcW w:w="2200" w:type="dxa"/>
            <w:vAlign w:val="bottom"/>
            <w:tcBorders>
              <w:top w:val="single" w:sz="8" w:color="0000EE"/>
              <w:bottom w:val="single" w:sz="8" w:color="auto"/>
            </w:tcBorders>
          </w:tcPr>
          <w:p>
            <w:pPr>
              <w:spacing w:after="0"/>
              <w:rPr>
                <w:sz w:val="24"/>
                <w:szCs w:val="24"/>
                <w:color w:val="auto"/>
              </w:rPr>
            </w:pPr>
          </w:p>
        </w:tc>
        <w:tc>
          <w:tcPr>
            <w:tcW w:w="8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9" w:right="339" w:bottom="1440" w:gutter="0" w:footer="0" w:header="0"/>
        </w:sectPr>
      </w:pPr>
    </w:p>
    <w:bookmarkStart w:id="158" w:name="page159"/>
    <w:bookmarkEnd w:id="158"/>
    <w:p>
      <w:pPr>
        <w:ind w:left="4220"/>
        <w:spacing w:after="0"/>
        <w:tabs>
          <w:tab w:leader="none" w:pos="7000" w:val="left"/>
        </w:tabs>
        <w:rPr>
          <w:sz w:val="20"/>
          <w:szCs w:val="20"/>
          <w:color w:val="auto"/>
        </w:rPr>
      </w:pPr>
      <w:r>
        <w:rPr>
          <w:rFonts w:ascii="Times New Roman" w:cs="Times New Roman" w:eastAsia="Times New Roman" w:hAnsi="Times New Roman"/>
          <w:sz w:val="18"/>
          <w:szCs w:val="18"/>
          <w:b w:val="1"/>
          <w:bCs w:val="1"/>
          <w:color w:val="auto"/>
        </w:rPr>
        <w:t>Kost Forer Gabbay &amp; Kasierer</w:t>
      </w:r>
      <w:r>
        <w:rPr>
          <w:sz w:val="20"/>
          <w:szCs w:val="20"/>
          <w:color w:val="auto"/>
        </w:rPr>
        <w:tab/>
      </w:r>
      <w:r>
        <w:rPr>
          <w:rFonts w:ascii="Times New Roman" w:cs="Times New Roman" w:eastAsia="Times New Roman" w:hAnsi="Times New Roman"/>
          <w:sz w:val="17"/>
          <w:szCs w:val="17"/>
          <w:color w:val="auto"/>
        </w:rPr>
        <w:t>Tel: +972-3-6232525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848360" cy="9772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1">
                      <a:extLst>
                        <a:ext uri="{28A0092B-C50C-407E-A947-70E740481C1C}"/>
                      </a:extLst>
                    </a:blip>
                    <a:srcRect/>
                    <a:stretch>
                      <a:fillRect/>
                    </a:stretch>
                  </pic:blipFill>
                  <pic:spPr bwMode="auto">
                    <a:xfrm>
                      <a:off x="0" y="0"/>
                      <a:ext cx="848360" cy="977265"/>
                    </a:xfrm>
                    <a:prstGeom prst="rect">
                      <a:avLst/>
                    </a:prstGeom>
                    <a:noFill/>
                  </pic:spPr>
                </pic:pic>
              </a:graphicData>
            </a:graphic>
          </wp:anchor>
        </w:drawing>
      </w:r>
    </w:p>
    <w:p>
      <w:pPr>
        <w:spacing w:after="0" w:line="1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144 Menachem Begin Road, Building Fax: +972-3-5622555</w:t>
      </w:r>
    </w:p>
    <w:p>
      <w:pPr>
        <w:spacing w:after="0" w:line="9" w:lineRule="exact"/>
        <w:rPr>
          <w:sz w:val="20"/>
          <w:szCs w:val="20"/>
          <w:color w:val="auto"/>
        </w:rPr>
      </w:pPr>
    </w:p>
    <w:p>
      <w:pPr>
        <w:ind w:left="4220"/>
        <w:spacing w:after="0"/>
        <w:tabs>
          <w:tab w:leader="none" w:pos="700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color w:val="auto"/>
        </w:rPr>
        <w:t>ey.com</w:t>
      </w:r>
    </w:p>
    <w:p>
      <w:pPr>
        <w:spacing w:after="0" w:line="2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Tel-Aviv 6492102, Israel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WalkMe Ltd. (and its subsidiaries)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4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WalkMe Ltd. (and its subsidiaries) (the Company) as of December 31, 2022, and 2021, the related consolidated statements of operations, comprehensive loss, convertible preferred shares and shareholders’ equity (deficit), and cash flows for each of the three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KOST FORER GABBAY &amp; KASIERER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Member of Ernst &amp; Young Global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Tel-Aviv, Israel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14, 2023</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59" w:name="page160"/>
    <w:bookmarkEnd w:id="159"/>
    <w:p>
      <w:pPr>
        <w:ind w:left="7880"/>
        <w:spacing w:after="0"/>
        <w:rPr>
          <w:sz w:val="20"/>
          <w:szCs w:val="20"/>
          <w:color w:val="auto"/>
        </w:rPr>
      </w:pPr>
      <w:r>
        <w:rPr>
          <w:rFonts w:ascii="Times New Roman" w:cs="Times New Roman" w:eastAsia="Times New Roman" w:hAnsi="Times New Roman"/>
          <w:sz w:val="17"/>
          <w:szCs w:val="17"/>
          <w:b w:val="1"/>
          <w:bCs w:val="1"/>
          <w:color w:val="auto"/>
        </w:rPr>
        <w:t>WALKME LTD. AND ITS SUBSIDIARIES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28575</wp:posOffset>
            </wp:positionV>
            <wp:extent cx="156019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4">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30" w:lineRule="exact"/>
        <w:rPr>
          <w:sz w:val="20"/>
          <w:szCs w:val="20"/>
          <w:color w:val="auto"/>
        </w:rPr>
      </w:pPr>
    </w:p>
    <w:p>
      <w:pPr>
        <w:ind w:left="9060"/>
        <w:spacing w:after="0"/>
        <w:tabs>
          <w:tab w:leader="none" w:pos="10380"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28575</wp:posOffset>
            </wp:positionV>
            <wp:extent cx="156019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5">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94,105</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276,889</w:t>
            </w:r>
          </w:p>
        </w:tc>
      </w:tr>
      <w:tr>
        <w:trPr>
          <w:trHeight w:val="230"/>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deposits</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125,231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65,478</w:t>
            </w:r>
          </w:p>
        </w:tc>
      </w:tr>
      <w:tr>
        <w:trPr>
          <w:trHeight w:val="229"/>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42,187</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Trade receivables, net of allowances of $2,557 and $2,588</w:t>
            </w:r>
          </w:p>
        </w:tc>
        <w:tc>
          <w:tcPr>
            <w:tcW w:w="3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45,024</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37,754</w:t>
            </w:r>
          </w:p>
        </w:tc>
      </w:tr>
      <w:tr>
        <w:trPr>
          <w:trHeight w:val="229"/>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32,207</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28,064</w:t>
            </w:r>
          </w:p>
        </w:tc>
      </w:tr>
      <w:tr>
        <w:trPr>
          <w:trHeight w:val="237"/>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restricted deposits</w:t>
            </w:r>
          </w:p>
        </w:tc>
        <w:tc>
          <w:tcPr>
            <w:tcW w:w="3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323</w:t>
            </w: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295</w:t>
            </w:r>
          </w:p>
        </w:tc>
      </w:tr>
      <w:tr>
        <w:trPr>
          <w:trHeight w:val="216"/>
        </w:trPr>
        <w:tc>
          <w:tcPr>
            <w:tcW w:w="86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339,077</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408,480</w:t>
            </w:r>
          </w:p>
        </w:tc>
      </w:tr>
      <w:tr>
        <w:trPr>
          <w:trHeight w:val="216"/>
        </w:trPr>
        <w:tc>
          <w:tcPr>
            <w:tcW w:w="86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r>
      <w:tr>
        <w:trPr>
          <w:trHeight w:val="230"/>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40,524</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36,412</w:t>
            </w:r>
          </w:p>
        </w:tc>
      </w:tr>
      <w:tr>
        <w:trPr>
          <w:trHeight w:val="229"/>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43,334</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restricted deposits</w:t>
            </w:r>
          </w:p>
        </w:tc>
        <w:tc>
          <w:tcPr>
            <w:tcW w:w="3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544</w:t>
            </w:r>
          </w:p>
        </w:tc>
      </w:tr>
      <w:tr>
        <w:trPr>
          <w:trHeight w:val="229"/>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13,268</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10,885</w:t>
            </w:r>
          </w:p>
        </w:tc>
      </w:tr>
      <w:tr>
        <w:trPr>
          <w:trHeight w:val="230"/>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7,003</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Intangible assets, net</w:t>
            </w: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349</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1,815</w:t>
            </w:r>
          </w:p>
        </w:tc>
      </w:tr>
      <w:tr>
        <w:trPr>
          <w:trHeight w:val="237"/>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106,129</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51,137</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r>
      <w:tr>
        <w:trPr>
          <w:trHeight w:val="230"/>
        </w:trPr>
        <w:tc>
          <w:tcPr>
            <w:tcW w:w="86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445,206</w:t>
            </w:r>
          </w:p>
        </w:tc>
        <w:tc>
          <w:tcPr>
            <w:tcW w:w="2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459,617</w:t>
            </w:r>
          </w:p>
        </w:tc>
      </w:tr>
      <w:tr>
        <w:trPr>
          <w:trHeight w:val="20"/>
        </w:trPr>
        <w:tc>
          <w:tcPr>
            <w:tcW w:w="86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60" w:name="page161"/>
    <w:bookmarkEnd w:id="160"/>
    <w:p>
      <w:pPr>
        <w:ind w:left="7880"/>
        <w:spacing w:after="0"/>
        <w:rPr>
          <w:sz w:val="20"/>
          <w:szCs w:val="20"/>
          <w:color w:val="auto"/>
        </w:rPr>
      </w:pPr>
      <w:r>
        <w:rPr>
          <w:rFonts w:ascii="Times New Roman" w:cs="Times New Roman" w:eastAsia="Times New Roman" w:hAnsi="Times New Roman"/>
          <w:sz w:val="17"/>
          <w:szCs w:val="17"/>
          <w:b w:val="1"/>
          <w:bCs w:val="1"/>
          <w:color w:val="auto"/>
        </w:rPr>
        <w:t>WALKME LTD. AND ITS SUBSIDIARIES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28575</wp:posOffset>
            </wp:positionV>
            <wp:extent cx="156019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8">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30" w:lineRule="exact"/>
        <w:rPr>
          <w:sz w:val="20"/>
          <w:szCs w:val="20"/>
          <w:color w:val="auto"/>
        </w:rPr>
      </w:pPr>
    </w:p>
    <w:p>
      <w:pPr>
        <w:ind w:left="9060"/>
        <w:spacing w:after="0"/>
        <w:tabs>
          <w:tab w:leader="none" w:pos="10380"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28575</wp:posOffset>
            </wp:positionV>
            <wp:extent cx="156019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9">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REDEEMABLE NON-CONTROLLING INTEREST AND SHAREHOLDERS’ EQUITY</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Trade payables</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5,957</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6,592</w:t>
            </w:r>
          </w:p>
        </w:tc>
      </w:tr>
      <w:tr>
        <w:trPr>
          <w:trHeight w:val="229"/>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Employees and payroll accruals</w:t>
            </w: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30,720</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34,648</w:t>
            </w:r>
          </w:p>
        </w:tc>
      </w:tr>
      <w:tr>
        <w:trPr>
          <w:trHeight w:val="230"/>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17,685</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14,662</w:t>
            </w:r>
          </w:p>
        </w:tc>
      </w:tr>
      <w:tr>
        <w:trPr>
          <w:trHeight w:val="229"/>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short-term</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revenues</w:t>
            </w:r>
          </w:p>
        </w:tc>
        <w:tc>
          <w:tcPr>
            <w:tcW w:w="2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108,097</w:t>
            </w: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86,024</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r>
      <w:tr>
        <w:trPr>
          <w:trHeight w:val="237"/>
        </w:trPr>
        <w:tc>
          <w:tcPr>
            <w:tcW w:w="8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167,468</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141,926</w:t>
            </w:r>
          </w:p>
        </w:tc>
      </w:tr>
      <w:tr>
        <w:trPr>
          <w:trHeight w:val="216"/>
        </w:trPr>
        <w:tc>
          <w:tcPr>
            <w:tcW w:w="86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r>
      <w:tr>
        <w:trPr>
          <w:trHeight w:val="229"/>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revenues</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1,288</w:t>
            </w:r>
          </w:p>
        </w:tc>
      </w:tr>
      <w:tr>
        <w:trPr>
          <w:trHeight w:val="229"/>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4,795</w:t>
            </w:r>
          </w:p>
        </w:tc>
      </w:tr>
      <w:tr>
        <w:trPr>
          <w:trHeight w:val="230"/>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2,097</w:t>
            </w:r>
          </w:p>
        </w:tc>
      </w:tr>
      <w:tr>
        <w:trPr>
          <w:trHeight w:val="236"/>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3,833</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r>
      <w:tr>
        <w:trPr>
          <w:trHeight w:val="236"/>
        </w:trPr>
        <w:tc>
          <w:tcPr>
            <w:tcW w:w="8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2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15,484</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8,180</w:t>
            </w:r>
          </w:p>
        </w:tc>
      </w:tr>
      <w:tr>
        <w:trPr>
          <w:trHeight w:val="216"/>
        </w:trPr>
        <w:tc>
          <w:tcPr>
            <w:tcW w:w="86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182,952</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150,106</w:t>
            </w:r>
          </w:p>
        </w:tc>
      </w:tr>
      <w:tr>
        <w:trPr>
          <w:trHeight w:val="216"/>
        </w:trPr>
        <w:tc>
          <w:tcPr>
            <w:tcW w:w="86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CONTINGENT LIABILITIES (note 7)</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8,080</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23,901</w:t>
            </w:r>
          </w:p>
        </w:tc>
      </w:tr>
      <w:tr>
        <w:trPr>
          <w:trHeight w:val="216"/>
        </w:trPr>
        <w:tc>
          <w:tcPr>
            <w:tcW w:w="8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198"/>
        </w:trPr>
        <w:tc>
          <w:tcPr>
            <w:tcW w:w="86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Ordinary shares of no par value -</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Authorized: 900,000,000 shares at December 31, 2022 and 2021; Issued and outstanding:</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1"/>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86,780,082 and 83,754,006 shares at December 31, 2022 and 2021, respectively</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688,636</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610,193</w:t>
            </w:r>
          </w:p>
        </w:tc>
      </w:tr>
      <w:tr>
        <w:trPr>
          <w:trHeight w:val="230"/>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(1,817)</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455</w:t>
            </w:r>
          </w:p>
        </w:tc>
      </w:tr>
      <w:tr>
        <w:trPr>
          <w:trHeight w:val="237"/>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(432,645)</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(325,038)</w:t>
            </w:r>
          </w:p>
        </w:tc>
      </w:tr>
      <w:tr>
        <w:trPr>
          <w:trHeight w:val="236"/>
        </w:trPr>
        <w:tc>
          <w:tcPr>
            <w:tcW w:w="8680" w:type="dxa"/>
            <w:vAlign w:val="bottom"/>
            <w:tcBorders>
              <w:top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254,174</w:t>
            </w:r>
          </w:p>
        </w:tc>
        <w:tc>
          <w:tcPr>
            <w:tcW w:w="220" w:type="dxa"/>
            <w:vAlign w:val="bottom"/>
            <w:tcBorders>
              <w:top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285,610</w:t>
            </w:r>
          </w:p>
        </w:tc>
        <w:tc>
          <w:tcPr>
            <w:tcW w:w="100" w:type="dxa"/>
            <w:vAlign w:val="bottom"/>
            <w:tcBorders>
              <w:top w:val="single" w:sz="8" w:color="CCEEFF"/>
            </w:tcBorders>
          </w:tcPr>
          <w:p>
            <w:pPr>
              <w:spacing w:after="0"/>
              <w:rPr>
                <w:sz w:val="20"/>
                <w:szCs w:val="20"/>
                <w:color w:val="auto"/>
              </w:rPr>
            </w:pPr>
          </w:p>
        </w:tc>
      </w:tr>
      <w:tr>
        <w:trPr>
          <w:trHeight w:val="194"/>
        </w:trPr>
        <w:tc>
          <w:tcPr>
            <w:tcW w:w="8680" w:type="dxa"/>
            <w:vAlign w:val="bottom"/>
            <w:shd w:val="clear" w:color="auto" w:fill="CCEEFF"/>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TOTAL LIABILITIES, REDEEMABLE NON-CONTROLLING INTEREST AND SHAREHOLDERS’</w:t>
            </w: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92"/>
        </w:trPr>
        <w:tc>
          <w:tcPr>
            <w:tcW w:w="86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445,206</w:t>
            </w:r>
          </w:p>
        </w:tc>
        <w:tc>
          <w:tcPr>
            <w:tcW w:w="2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459,617</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1" w:name="page162"/>
    <w:bookmarkEnd w:id="161"/>
    <w:p>
      <w:pPr>
        <w:ind w:left="7880"/>
        <w:spacing w:after="0"/>
        <w:rPr>
          <w:sz w:val="20"/>
          <w:szCs w:val="20"/>
          <w:color w:val="auto"/>
        </w:rPr>
      </w:pPr>
      <w:r>
        <w:rPr>
          <w:rFonts w:ascii="Times New Roman" w:cs="Times New Roman" w:eastAsia="Times New Roman" w:hAnsi="Times New Roman"/>
          <w:sz w:val="17"/>
          <w:szCs w:val="17"/>
          <w:b w:val="1"/>
          <w:bCs w:val="1"/>
          <w:color w:val="auto"/>
        </w:rPr>
        <w:t>WALKME LTD. AND ITS SUBSIDIARIES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4"/>
              </w:rPr>
              <w:t>Year ended</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220,972</w:t>
            </w:r>
          </w:p>
        </w:tc>
        <w:tc>
          <w:tcPr>
            <w:tcW w:w="2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175,328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130,303</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Professional services</w:t>
            </w:r>
          </w:p>
        </w:tc>
        <w:tc>
          <w:tcPr>
            <w:tcW w:w="22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24,034</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17,975</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18,003</w:t>
            </w: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3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245,006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193,303</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148,306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Subscription</w:t>
            </w:r>
          </w:p>
        </w:tc>
        <w:tc>
          <w:tcPr>
            <w:tcW w:w="22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25,990</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24,025</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19,141</w:t>
            </w:r>
          </w:p>
        </w:tc>
        <w:tc>
          <w:tcPr>
            <w:tcW w:w="0" w:type="dxa"/>
            <w:vAlign w:val="bottom"/>
          </w:tcPr>
          <w:p>
            <w:pPr>
              <w:spacing w:after="0"/>
              <w:rPr>
                <w:sz w:val="1"/>
                <w:szCs w:val="1"/>
                <w:color w:val="auto"/>
              </w:rPr>
            </w:pPr>
          </w:p>
        </w:tc>
      </w:tr>
      <w:tr>
        <w:trPr>
          <w:trHeight w:val="237"/>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Professional services</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22,632</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20,017</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cost of revenues</w:t>
            </w:r>
          </w:p>
        </w:tc>
        <w:tc>
          <w:tcPr>
            <w:tcW w:w="2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53,884</w:t>
            </w:r>
          </w:p>
        </w:tc>
        <w:tc>
          <w:tcPr>
            <w:tcW w:w="22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46,657</w:t>
            </w:r>
          </w:p>
        </w:tc>
        <w:tc>
          <w:tcPr>
            <w:tcW w:w="220" w:type="dxa"/>
            <w:vAlign w:val="bottom"/>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191,122</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146,646</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109,148</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59,468</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48,160</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31,560</w:t>
            </w:r>
          </w:p>
        </w:tc>
        <w:tc>
          <w:tcPr>
            <w:tcW w:w="0" w:type="dxa"/>
            <w:vAlign w:val="bottom"/>
          </w:tcPr>
          <w:p>
            <w:pPr>
              <w:spacing w:after="0"/>
              <w:rPr>
                <w:sz w:val="1"/>
                <w:szCs w:val="1"/>
                <w:color w:val="auto"/>
              </w:rPr>
            </w:pPr>
          </w:p>
        </w:tc>
      </w:tr>
      <w:tr>
        <w:trPr>
          <w:trHeight w:val="230"/>
        </w:trPr>
        <w:tc>
          <w:tcPr>
            <w:tcW w:w="7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176,307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127,719</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87,208</w:t>
            </w:r>
          </w:p>
        </w:tc>
        <w:tc>
          <w:tcPr>
            <w:tcW w:w="0" w:type="dxa"/>
            <w:vAlign w:val="bottom"/>
          </w:tcPr>
          <w:p>
            <w:pPr>
              <w:spacing w:after="0"/>
              <w:rPr>
                <w:sz w:val="1"/>
                <w:szCs w:val="1"/>
                <w:color w:val="auto"/>
              </w:rPr>
            </w:pPr>
          </w:p>
        </w:tc>
      </w:tr>
      <w:tr>
        <w:trPr>
          <w:trHeight w:val="236"/>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CEEFF"/>
          </w:tcPr>
          <w:p>
            <w:pPr>
              <w:spacing w:after="0"/>
              <w:rPr>
                <w:sz w:val="20"/>
                <w:szCs w:val="20"/>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65,188</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48,557</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33,541</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shd w:val="clear" w:color="auto" w:fill="CCEEFF"/>
          </w:tcPr>
          <w:p>
            <w:pPr>
              <w:spacing w:after="0"/>
              <w:rPr>
                <w:sz w:val="20"/>
                <w:szCs w:val="20"/>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300,963</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224,436</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152,309</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(109,841)</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(77,790)</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(43,161)</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income (expense), net</w:t>
            </w:r>
          </w:p>
        </w:tc>
        <w:tc>
          <w:tcPr>
            <w:tcW w:w="22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5,322</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(104,519)</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(77,799)</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(43,317)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2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(3,831)</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(2,494)</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(108,350)</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(80,293)</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(45,025)</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(1,169)</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(1,311)</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 attributable to non-controlling interest</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(14,979)</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16,689</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5,487</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Deemed dividend to ordinary shareholders</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4,569</w:t>
            </w:r>
          </w:p>
        </w:tc>
        <w:tc>
          <w:tcPr>
            <w:tcW w:w="0" w:type="dxa"/>
            <w:vAlign w:val="bottom"/>
          </w:tcPr>
          <w:p>
            <w:pPr>
              <w:spacing w:after="0"/>
              <w:rPr>
                <w:sz w:val="1"/>
                <w:szCs w:val="1"/>
                <w:color w:val="auto"/>
              </w:rPr>
            </w:pPr>
          </w:p>
        </w:tc>
      </w:tr>
      <w:tr>
        <w:trPr>
          <w:trHeight w:val="236"/>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WalkMe Ltd.</w:t>
            </w: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(92,628)</w:t>
            </w: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(95,813)</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(53,770)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WalkMe Ltd. basic and diluted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09"/>
        </w:trPr>
        <w:tc>
          <w:tcPr>
            <w:tcW w:w="73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used in computing net loss per share attributable to ordinary shareholders,</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85,116,424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51,763,032</w:t>
            </w:r>
          </w:p>
        </w:tc>
        <w:tc>
          <w:tcPr>
            <w:tcW w:w="20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13,217,183</w:t>
            </w:r>
          </w:p>
        </w:tc>
        <w:tc>
          <w:tcPr>
            <w:tcW w:w="0" w:type="dxa"/>
            <w:vAlign w:val="bottom"/>
          </w:tcPr>
          <w:p>
            <w:pPr>
              <w:spacing w:after="0"/>
              <w:rPr>
                <w:sz w:val="1"/>
                <w:szCs w:val="1"/>
                <w:color w:val="auto"/>
              </w:rPr>
            </w:pPr>
          </w:p>
        </w:tc>
      </w:tr>
      <w:tr>
        <w:trPr>
          <w:trHeight w:val="255"/>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220" w:type="dxa"/>
            <w:vAlign w:val="bottom"/>
            <w:shd w:val="clear" w:color="auto" w:fill="CCEEFF"/>
          </w:tcPr>
          <w:p>
            <w:pPr>
              <w:spacing w:after="0"/>
              <w:rPr>
                <w:sz w:val="22"/>
                <w:szCs w:val="22"/>
                <w:color w:val="auto"/>
              </w:rPr>
            </w:pPr>
          </w:p>
        </w:tc>
        <w:tc>
          <w:tcPr>
            <w:tcW w:w="940" w:type="dxa"/>
            <w:vAlign w:val="bottom"/>
            <w:tcBorders>
              <w:right w:val="single" w:sz="8" w:color="CCEEFF"/>
            </w:tcBorders>
            <w:vMerge w:val="continue"/>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gridSpan w:val="2"/>
            <w:vMerge w:val="continue"/>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gridSpan w:val="2"/>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8"/>
          <w:szCs w:val="18"/>
          <w:b w:val="1"/>
          <w:bCs w:val="1"/>
          <w:color w:val="auto"/>
        </w:rPr>
        <w:t>WALKME LTD. AND ITS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32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2"/>
                <w:szCs w:val="22"/>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2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(108,350)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(80,293)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(45,025)</w:t>
            </w: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(202)</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(546)</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205</w:t>
            </w:r>
          </w:p>
        </w:tc>
      </w:tr>
      <w:tr>
        <w:trPr>
          <w:trHeight w:val="24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Change in net unrealized gains on marketable securities</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 (loss) on cash flow hedge</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(2,180)</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602</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tcPr>
          <w:p>
            <w:pPr>
              <w:spacing w:after="0"/>
              <w:rPr>
                <w:sz w:val="20"/>
                <w:szCs w:val="20"/>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(2,371)</w:t>
            </w:r>
          </w:p>
        </w:tc>
        <w:tc>
          <w:tcPr>
            <w:tcW w:w="240" w:type="dxa"/>
            <w:vAlign w:val="bottom"/>
          </w:tcPr>
          <w:p>
            <w:pPr>
              <w:spacing w:after="0"/>
              <w:rPr>
                <w:sz w:val="20"/>
                <w:szCs w:val="20"/>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205</w:t>
            </w:r>
          </w:p>
        </w:tc>
      </w:tr>
      <w:tr>
        <w:trPr>
          <w:trHeight w:val="270"/>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40" w:type="dxa"/>
            <w:vAlign w:val="bottom"/>
            <w:tcBorders>
              <w:top w:val="single" w:sz="8" w:color="auto"/>
              <w:bottom w:val="single" w:sz="8" w:color="auto"/>
            </w:tcBorders>
            <w:shd w:val="clear" w:color="auto" w:fill="CCEEFF"/>
          </w:tcPr>
          <w:p>
            <w:pPr>
              <w:spacing w:after="0"/>
              <w:rPr>
                <w:sz w:val="23"/>
                <w:szCs w:val="23"/>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(110,721</w:t>
            </w:r>
          </w:p>
        </w:tc>
        <w:tc>
          <w:tcPr>
            <w:tcW w:w="24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3"/>
                <w:szCs w:val="23"/>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(80,237</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3"/>
                <w:szCs w:val="23"/>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(44,820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comprehensive loss attributable to redeemable non-controlling interest: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2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redeemable non-controlling interest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(743)</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(1,169)</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 attributable to redeemable non-controlling interest</w:t>
            </w:r>
          </w:p>
        </w:tc>
        <w:tc>
          <w:tcPr>
            <w:tcW w:w="240" w:type="dxa"/>
            <w:vAlign w:val="bottom"/>
          </w:tcPr>
          <w:p>
            <w:pPr>
              <w:spacing w:after="0"/>
              <w:rPr>
                <w:sz w:val="20"/>
                <w:szCs w:val="20"/>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tcPr>
          <w:p>
            <w:pPr>
              <w:spacing w:after="0"/>
              <w:rPr>
                <w:sz w:val="20"/>
                <w:szCs w:val="20"/>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(266)</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100</w:t>
            </w:r>
          </w:p>
        </w:tc>
      </w:tr>
      <w:tr>
        <w:trPr>
          <w:trHeight w:val="237"/>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attributable to redeemable non-controlling interest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2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 attributable to WalkMe Ltd.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(109,879)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(78,802)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(43,609)</w:t>
            </w:r>
          </w:p>
        </w:tc>
      </w:tr>
      <w:tr>
        <w:trPr>
          <w:trHeight w:val="21"/>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3" w:name="page164"/>
    <w:bookmarkEnd w:id="163"/>
    <w:p>
      <w:pPr>
        <w:spacing w:after="0" w:line="62"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7"/>
          <w:szCs w:val="17"/>
          <w:b w:val="1"/>
          <w:bCs w:val="1"/>
          <w:color w:val="auto"/>
        </w:rPr>
        <w:t>WALKME LTD. AND ITS SUBSIDIARIES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CONVERTIBLE PREFERRED SHARES AND SHAREHOLDERS’ EQUITY (DEFICIT)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437"/>
        </w:trPr>
        <w:tc>
          <w:tcPr>
            <w:tcW w:w="1940" w:type="dxa"/>
            <w:vAlign w:val="bottom"/>
          </w:tcPr>
          <w:p>
            <w:pPr>
              <w:spacing w:after="0"/>
              <w:rPr>
                <w:sz w:val="24"/>
                <w:szCs w:val="24"/>
                <w:color w:val="auto"/>
              </w:rPr>
            </w:pPr>
          </w:p>
        </w:tc>
        <w:tc>
          <w:tcPr>
            <w:tcW w:w="2140" w:type="dxa"/>
            <w:vAlign w:val="bottom"/>
            <w:tcBorders>
              <w:right w:val="single" w:sz="8" w:color="auto"/>
            </w:tcBorders>
            <w:gridSpan w:val="6"/>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Convertible preferred</w:t>
            </w: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940" w:type="dxa"/>
            <w:vAlign w:val="bottom"/>
          </w:tcPr>
          <w:p>
            <w:pPr>
              <w:spacing w:after="0"/>
              <w:rPr>
                <w:sz w:val="17"/>
                <w:szCs w:val="17"/>
                <w:color w:val="auto"/>
              </w:rPr>
            </w:pPr>
          </w:p>
        </w:tc>
        <w:tc>
          <w:tcPr>
            <w:tcW w:w="2140" w:type="dxa"/>
            <w:vAlign w:val="bottom"/>
            <w:tcBorders>
              <w:right w:val="single" w:sz="8" w:color="auto"/>
            </w:tcBorders>
            <w:gridSpan w:val="6"/>
            <w:vMerge w:val="continue"/>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3"/>
          </w:tcPr>
          <w:p>
            <w:pPr>
              <w:jc w:val="center"/>
              <w:ind w:right="160"/>
              <w:spacing w:after="0" w:line="202" w:lineRule="exact"/>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17"/>
                <w:szCs w:val="17"/>
                <w:color w:val="auto"/>
              </w:rPr>
            </w:pPr>
          </w:p>
        </w:tc>
        <w:tc>
          <w:tcPr>
            <w:tcW w:w="122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8"/>
                <w:szCs w:val="18"/>
                <w:b w:val="1"/>
                <w:bCs w:val="1"/>
                <w:color w:val="auto"/>
              </w:rPr>
              <w:t>other</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120"/>
              <w:spacing w:after="0" w:line="202"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59"/>
        </w:trPr>
        <w:tc>
          <w:tcPr>
            <w:tcW w:w="1940" w:type="dxa"/>
            <w:vAlign w:val="bottom"/>
          </w:tcPr>
          <w:p>
            <w:pPr>
              <w:spacing w:after="0"/>
              <w:rPr>
                <w:sz w:val="22"/>
                <w:szCs w:val="22"/>
                <w:color w:val="auto"/>
              </w:rPr>
            </w:pPr>
          </w:p>
        </w:tc>
        <w:tc>
          <w:tcPr>
            <w:tcW w:w="126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40" w:type="dxa"/>
            <w:vAlign w:val="bottom"/>
            <w:tcBorders>
              <w:bottom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6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paid-in</w:t>
            </w: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22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shareholder'</w:t>
            </w:r>
            <w:r>
              <w:rPr>
                <w:rFonts w:ascii="Times New Roman" w:cs="Times New Roman" w:eastAsia="Times New Roman" w:hAnsi="Times New Roman"/>
                <w:sz w:val="18"/>
                <w:szCs w:val="18"/>
                <w:color w:val="auto"/>
                <w:w w:val="99"/>
              </w:rPr>
              <w:t>s</w:t>
            </w:r>
          </w:p>
        </w:tc>
        <w:tc>
          <w:tcPr>
            <w:tcW w:w="0" w:type="dxa"/>
            <w:vAlign w:val="bottom"/>
          </w:tcPr>
          <w:p>
            <w:pPr>
              <w:spacing w:after="0"/>
              <w:rPr>
                <w:sz w:val="1"/>
                <w:szCs w:val="1"/>
                <w:color w:val="auto"/>
              </w:rPr>
            </w:pPr>
          </w:p>
        </w:tc>
      </w:tr>
      <w:tr>
        <w:trPr>
          <w:trHeight w:val="250"/>
        </w:trPr>
        <w:tc>
          <w:tcPr>
            <w:tcW w:w="1940" w:type="dxa"/>
            <w:vAlign w:val="bottom"/>
          </w:tcPr>
          <w:p>
            <w:pPr>
              <w:spacing w:after="0"/>
              <w:rPr>
                <w:sz w:val="21"/>
                <w:szCs w:val="21"/>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00" w:type="dxa"/>
            <w:vAlign w:val="bottom"/>
          </w:tcPr>
          <w:p>
            <w:pPr>
              <w:spacing w:after="0"/>
              <w:rPr>
                <w:sz w:val="21"/>
                <w:szCs w:val="21"/>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60" w:type="dxa"/>
            <w:vAlign w:val="bottom"/>
          </w:tcPr>
          <w:p>
            <w:pPr>
              <w:spacing w:after="0"/>
              <w:rPr>
                <w:sz w:val="21"/>
                <w:szCs w:val="21"/>
                <w:color w:val="auto"/>
              </w:rPr>
            </w:pPr>
          </w:p>
        </w:tc>
        <w:tc>
          <w:tcPr>
            <w:tcW w:w="12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equity (deficit)</w:t>
            </w:r>
          </w:p>
        </w:tc>
        <w:tc>
          <w:tcPr>
            <w:tcW w:w="0" w:type="dxa"/>
            <w:vAlign w:val="bottom"/>
          </w:tcPr>
          <w:p>
            <w:pPr>
              <w:spacing w:after="0"/>
              <w:rPr>
                <w:sz w:val="1"/>
                <w:szCs w:val="1"/>
                <w:color w:val="auto"/>
              </w:rPr>
            </w:pPr>
          </w:p>
        </w:tc>
      </w:tr>
      <w:tr>
        <w:trPr>
          <w:trHeight w:val="198"/>
        </w:trPr>
        <w:tc>
          <w:tcPr>
            <w:tcW w:w="1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Balance as of December</w:t>
            </w: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31, 2019</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56,969,441</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261,995</w:t>
            </w:r>
          </w:p>
        </w:tc>
        <w:tc>
          <w:tcPr>
            <w:tcW w:w="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12,481,053</w:t>
            </w:r>
          </w:p>
        </w:tc>
        <w:tc>
          <w:tcPr>
            <w:tcW w:w="86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7,636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(197,631)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(189,969)</w:t>
            </w:r>
          </w:p>
        </w:tc>
        <w:tc>
          <w:tcPr>
            <w:tcW w:w="0" w:type="dxa"/>
            <w:vAlign w:val="bottom"/>
          </w:tcPr>
          <w:p>
            <w:pPr>
              <w:spacing w:after="0"/>
              <w:rPr>
                <w:sz w:val="1"/>
                <w:szCs w:val="1"/>
                <w:color w:val="auto"/>
              </w:rPr>
            </w:pPr>
          </w:p>
        </w:tc>
      </w:tr>
      <w:tr>
        <w:trPr>
          <w:trHeight w:val="198"/>
        </w:trPr>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Series F</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preferred</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shares, net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1,755,139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38,495</w:t>
            </w:r>
          </w:p>
        </w:tc>
        <w:tc>
          <w:tcPr>
            <w:tcW w:w="8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share options</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1,291,947</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789</w:t>
            </w:r>
          </w:p>
        </w:tc>
        <w:tc>
          <w:tcPr>
            <w:tcW w:w="0" w:type="dxa"/>
            <w:vAlign w:val="bottom"/>
          </w:tcPr>
          <w:p>
            <w:pPr>
              <w:spacing w:after="0"/>
              <w:rPr>
                <w:sz w:val="1"/>
                <w:szCs w:val="1"/>
                <w:color w:val="auto"/>
              </w:rPr>
            </w:pPr>
          </w:p>
        </w:tc>
      </w:tr>
      <w:tr>
        <w:trPr>
          <w:trHeight w:val="198"/>
        </w:trPr>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Share-based</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14,017</w:t>
            </w:r>
          </w:p>
        </w:tc>
        <w:tc>
          <w:tcPr>
            <w:tcW w:w="10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14,017</w:t>
            </w:r>
          </w:p>
        </w:tc>
        <w:tc>
          <w:tcPr>
            <w:tcW w:w="0" w:type="dxa"/>
            <w:vAlign w:val="bottom"/>
          </w:tcPr>
          <w:p>
            <w:pPr>
              <w:spacing w:after="0"/>
              <w:rPr>
                <w:sz w:val="1"/>
                <w:szCs w:val="1"/>
                <w:color w:val="auto"/>
              </w:rPr>
            </w:pPr>
          </w:p>
        </w:tc>
      </w:tr>
      <w:tr>
        <w:trPr>
          <w:trHeight w:val="204"/>
        </w:trPr>
        <w:tc>
          <w:tcPr>
            <w:tcW w:w="194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Deemed dividend to</w:t>
            </w: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shareholders</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4,569</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(4,569)</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income</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105</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4"/>
        </w:trPr>
        <w:tc>
          <w:tcPr>
            <w:tcW w:w="194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Net loss attributable to</w:t>
            </w: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WalkMe Ltd.</w:t>
            </w: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including adjustment to</w:t>
            </w: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non-</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controlling interest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(5,487)</w:t>
            </w: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(43,714)</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(49,201)</w:t>
            </w:r>
          </w:p>
        </w:tc>
        <w:tc>
          <w:tcPr>
            <w:tcW w:w="0" w:type="dxa"/>
            <w:vAlign w:val="bottom"/>
          </w:tcPr>
          <w:p>
            <w:pPr>
              <w:spacing w:after="0"/>
              <w:rPr>
                <w:sz w:val="1"/>
                <w:szCs w:val="1"/>
                <w:color w:val="auto"/>
              </w:rPr>
            </w:pPr>
          </w:p>
        </w:tc>
      </w:tr>
      <w:tr>
        <w:trPr>
          <w:trHeight w:val="243"/>
        </w:trPr>
        <w:tc>
          <w:tcPr>
            <w:tcW w:w="1940" w:type="dxa"/>
            <w:vAlign w:val="bottom"/>
            <w:tcBorders>
              <w:top w:val="single" w:sz="8" w:color="CCEEFF"/>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40" w:type="dxa"/>
            <w:vAlign w:val="bottom"/>
            <w:tcBorders>
              <w:top w:val="single" w:sz="8" w:color="CCEEFF"/>
              <w:right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1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Balance as of December</w:t>
            </w: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31, 2020</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58,724,580</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300,490</w:t>
            </w:r>
          </w:p>
        </w:tc>
        <w:tc>
          <w:tcPr>
            <w:tcW w:w="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13,773,000</w:t>
            </w:r>
          </w:p>
        </w:tc>
        <w:tc>
          <w:tcPr>
            <w:tcW w:w="86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21,524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131</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(245,914)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(224,259)</w:t>
            </w:r>
          </w:p>
        </w:tc>
        <w:tc>
          <w:tcPr>
            <w:tcW w:w="0" w:type="dxa"/>
            <w:vAlign w:val="bottom"/>
          </w:tcPr>
          <w:p>
            <w:pPr>
              <w:spacing w:after="0"/>
              <w:rPr>
                <w:sz w:val="1"/>
                <w:szCs w:val="1"/>
                <w:color w:val="auto"/>
              </w:rPr>
            </w:pPr>
          </w:p>
        </w:tc>
      </w:tr>
      <w:tr>
        <w:trPr>
          <w:trHeight w:val="198"/>
        </w:trPr>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Series F</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preferred</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shares, net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455,942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4"/>
        </w:trPr>
        <w:tc>
          <w:tcPr>
            <w:tcW w:w="194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Issuance of ordinary</w:t>
            </w: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in connection with</w:t>
            </w: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acquisition</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33,150</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776</w:t>
            </w:r>
          </w:p>
        </w:tc>
        <w:tc>
          <w:tcPr>
            <w:tcW w:w="0" w:type="dxa"/>
            <w:vAlign w:val="bottom"/>
          </w:tcPr>
          <w:p>
            <w:pPr>
              <w:spacing w:after="0"/>
              <w:rPr>
                <w:sz w:val="1"/>
                <w:szCs w:val="1"/>
                <w:color w:val="auto"/>
              </w:rPr>
            </w:pPr>
          </w:p>
        </w:tc>
      </w:tr>
      <w:tr>
        <w:trPr>
          <w:trHeight w:val="198"/>
        </w:trPr>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Conversion of</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preferred</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shares to ordinary shares</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upon initial public</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offering</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(59,180,522)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(310,490)</w:t>
            </w:r>
          </w:p>
        </w:tc>
        <w:tc>
          <w:tcPr>
            <w:tcW w:w="8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59,180,522</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310,490</w:t>
            </w:r>
          </w:p>
        </w:tc>
        <w:tc>
          <w:tcPr>
            <w:tcW w:w="10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310,490</w:t>
            </w:r>
          </w:p>
        </w:tc>
        <w:tc>
          <w:tcPr>
            <w:tcW w:w="0" w:type="dxa"/>
            <w:vAlign w:val="bottom"/>
          </w:tcPr>
          <w:p>
            <w:pPr>
              <w:spacing w:after="0"/>
              <w:rPr>
                <w:sz w:val="1"/>
                <w:szCs w:val="1"/>
                <w:color w:val="auto"/>
              </w:rPr>
            </w:pPr>
          </w:p>
        </w:tc>
      </w:tr>
      <w:tr>
        <w:trPr>
          <w:trHeight w:val="204"/>
        </w:trPr>
        <w:tc>
          <w:tcPr>
            <w:tcW w:w="194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Issuance of ordinary</w:t>
            </w: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upon initial public</w:t>
            </w: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net of</w:t>
            </w: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underwriting discounts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commissions and</w:t>
            </w: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issuance costs</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9,250,000</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263,911</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263,911</w:t>
            </w:r>
          </w:p>
        </w:tc>
        <w:tc>
          <w:tcPr>
            <w:tcW w:w="0" w:type="dxa"/>
            <w:vAlign w:val="bottom"/>
          </w:tcPr>
          <w:p>
            <w:pPr>
              <w:spacing w:after="0"/>
              <w:rPr>
                <w:sz w:val="1"/>
                <w:szCs w:val="1"/>
                <w:color w:val="auto"/>
              </w:rPr>
            </w:pPr>
          </w:p>
        </w:tc>
      </w:tr>
      <w:tr>
        <w:trPr>
          <w:trHeight w:val="198"/>
        </w:trPr>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Exercise of share options</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and vested RSUs</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1,517,334</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2,849</w:t>
            </w:r>
          </w:p>
        </w:tc>
        <w:tc>
          <w:tcPr>
            <w:tcW w:w="10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2,849</w:t>
            </w:r>
          </w:p>
        </w:tc>
        <w:tc>
          <w:tcPr>
            <w:tcW w:w="0" w:type="dxa"/>
            <w:vAlign w:val="bottom"/>
          </w:tcPr>
          <w:p>
            <w:pPr>
              <w:spacing w:after="0"/>
              <w:rPr>
                <w:sz w:val="1"/>
                <w:szCs w:val="1"/>
                <w:color w:val="auto"/>
              </w:rPr>
            </w:pPr>
          </w:p>
        </w:tc>
      </w:tr>
      <w:tr>
        <w:trPr>
          <w:trHeight w:val="204"/>
        </w:trPr>
        <w:tc>
          <w:tcPr>
            <w:tcW w:w="194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Share-based</w:t>
            </w: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27,332</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27,332</w:t>
            </w:r>
          </w:p>
        </w:tc>
        <w:tc>
          <w:tcPr>
            <w:tcW w:w="0" w:type="dxa"/>
            <w:vAlign w:val="bottom"/>
          </w:tcPr>
          <w:p>
            <w:pPr>
              <w:spacing w:after="0"/>
              <w:rPr>
                <w:sz w:val="1"/>
                <w:szCs w:val="1"/>
                <w:color w:val="auto"/>
              </w:rPr>
            </w:pPr>
          </w:p>
        </w:tc>
      </w:tr>
      <w:tr>
        <w:trPr>
          <w:trHeight w:val="198"/>
        </w:trPr>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income</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324</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04"/>
        </w:trPr>
        <w:tc>
          <w:tcPr>
            <w:tcW w:w="194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Net loss attributable to</w:t>
            </w: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WalkMe Ltd. including</w:t>
            </w: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 to</w:t>
            </w: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non-</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controlling interest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(16,689)</w:t>
            </w: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(79,124)</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(95,813)</w:t>
            </w:r>
          </w:p>
        </w:tc>
        <w:tc>
          <w:tcPr>
            <w:tcW w:w="0" w:type="dxa"/>
            <w:vAlign w:val="bottom"/>
          </w:tcPr>
          <w:p>
            <w:pPr>
              <w:spacing w:after="0"/>
              <w:rPr>
                <w:sz w:val="1"/>
                <w:szCs w:val="1"/>
                <w:color w:val="auto"/>
              </w:rPr>
            </w:pPr>
          </w:p>
        </w:tc>
      </w:tr>
      <w:tr>
        <w:trPr>
          <w:trHeight w:val="243"/>
        </w:trPr>
        <w:tc>
          <w:tcPr>
            <w:tcW w:w="1940" w:type="dxa"/>
            <w:vAlign w:val="bottom"/>
            <w:tcBorders>
              <w:top w:val="single" w:sz="8" w:color="CCEEFF"/>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40" w:type="dxa"/>
            <w:vAlign w:val="bottom"/>
            <w:tcBorders>
              <w:top w:val="single" w:sz="8" w:color="CCEEFF"/>
              <w:right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1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Balance as of December</w:t>
            </w: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31, 2021</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83,754,006</w:t>
            </w:r>
          </w:p>
        </w:tc>
        <w:tc>
          <w:tcPr>
            <w:tcW w:w="86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610,193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455</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(325,038)</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285,610</w:t>
            </w:r>
          </w:p>
        </w:tc>
        <w:tc>
          <w:tcPr>
            <w:tcW w:w="0" w:type="dxa"/>
            <w:vAlign w:val="bottom"/>
          </w:tcPr>
          <w:p>
            <w:pPr>
              <w:spacing w:after="0"/>
              <w:rPr>
                <w:sz w:val="1"/>
                <w:szCs w:val="1"/>
                <w:color w:val="auto"/>
              </w:rPr>
            </w:pPr>
          </w:p>
        </w:tc>
      </w:tr>
      <w:tr>
        <w:trPr>
          <w:trHeight w:val="198"/>
        </w:trPr>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Exercise of share options</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and vested RSUs</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2,358,586</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5,036</w:t>
            </w:r>
          </w:p>
        </w:tc>
        <w:tc>
          <w:tcPr>
            <w:tcW w:w="10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5,036</w:t>
            </w:r>
          </w:p>
        </w:tc>
        <w:tc>
          <w:tcPr>
            <w:tcW w:w="0" w:type="dxa"/>
            <w:vAlign w:val="bottom"/>
          </w:tcPr>
          <w:p>
            <w:pPr>
              <w:spacing w:after="0"/>
              <w:rPr>
                <w:sz w:val="1"/>
                <w:szCs w:val="1"/>
                <w:color w:val="auto"/>
              </w:rPr>
            </w:pPr>
          </w:p>
        </w:tc>
      </w:tr>
      <w:tr>
        <w:trPr>
          <w:trHeight w:val="204"/>
        </w:trPr>
        <w:tc>
          <w:tcPr>
            <w:tcW w:w="194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Issuance of ordinary</w:t>
            </w: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under Employee</w:t>
            </w: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Purchase Plan</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667,490</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7,656</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7,656</w:t>
            </w:r>
          </w:p>
        </w:tc>
        <w:tc>
          <w:tcPr>
            <w:tcW w:w="0" w:type="dxa"/>
            <w:vAlign w:val="bottom"/>
          </w:tcPr>
          <w:p>
            <w:pPr>
              <w:spacing w:after="0"/>
              <w:rPr>
                <w:sz w:val="1"/>
                <w:szCs w:val="1"/>
                <w:color w:val="auto"/>
              </w:rPr>
            </w:pPr>
          </w:p>
        </w:tc>
      </w:tr>
      <w:tr>
        <w:trPr>
          <w:trHeight w:val="198"/>
        </w:trPr>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Share-based</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50,772</w:t>
            </w:r>
          </w:p>
        </w:tc>
        <w:tc>
          <w:tcPr>
            <w:tcW w:w="10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50,772</w:t>
            </w:r>
          </w:p>
        </w:tc>
        <w:tc>
          <w:tcPr>
            <w:tcW w:w="0" w:type="dxa"/>
            <w:vAlign w:val="bottom"/>
          </w:tcPr>
          <w:p>
            <w:pPr>
              <w:spacing w:after="0"/>
              <w:rPr>
                <w:sz w:val="1"/>
                <w:szCs w:val="1"/>
                <w:color w:val="auto"/>
              </w:rPr>
            </w:pPr>
          </w:p>
        </w:tc>
      </w:tr>
      <w:tr>
        <w:trPr>
          <w:trHeight w:val="204"/>
        </w:trPr>
        <w:tc>
          <w:tcPr>
            <w:tcW w:w="194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Other comprehensive</w:t>
            </w: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(2,272)</w:t>
            </w: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(2,272)</w:t>
            </w:r>
          </w:p>
        </w:tc>
        <w:tc>
          <w:tcPr>
            <w:tcW w:w="0" w:type="dxa"/>
            <w:vAlign w:val="bottom"/>
          </w:tcPr>
          <w:p>
            <w:pPr>
              <w:spacing w:after="0"/>
              <w:rPr>
                <w:sz w:val="1"/>
                <w:szCs w:val="1"/>
                <w:color w:val="auto"/>
              </w:rPr>
            </w:pPr>
          </w:p>
        </w:tc>
      </w:tr>
      <w:tr>
        <w:trPr>
          <w:trHeight w:val="198"/>
        </w:trPr>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attributable to</w:t>
            </w:r>
          </w:p>
        </w:tc>
        <w:tc>
          <w:tcPr>
            <w:tcW w:w="1100" w:type="dxa"/>
            <w:vAlign w:val="bottom"/>
            <w:gridSpan w:val="2"/>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right w:val="single" w:sz="8" w:color="auto"/>
            </w:tcBorders>
            <w:gridSpan w:val="2"/>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000" w:type="dxa"/>
            <w:vAlign w:val="bottom"/>
            <w:gridSpan w:val="2"/>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00"/>
              <w:spacing w:after="0" w:line="198" w:lineRule="exact"/>
              <w:rPr>
                <w:sz w:val="20"/>
                <w:szCs w:val="20"/>
                <w:color w:val="auto"/>
              </w:rPr>
            </w:pPr>
            <w:r>
              <w:rPr>
                <w:rFonts w:ascii="Times New Roman" w:cs="Times New Roman" w:eastAsia="Times New Roman" w:hAnsi="Times New Roman"/>
                <w:sz w:val="18"/>
                <w:szCs w:val="18"/>
                <w:color w:val="auto"/>
              </w:rPr>
              <w:t>14,979</w:t>
            </w:r>
          </w:p>
        </w:tc>
        <w:tc>
          <w:tcPr>
            <w:tcW w:w="100" w:type="dxa"/>
            <w:vAlign w:val="bottom"/>
          </w:tcPr>
          <w:p>
            <w:pPr>
              <w:spacing w:after="0"/>
              <w:rPr>
                <w:sz w:val="17"/>
                <w:szCs w:val="17"/>
                <w:color w:val="auto"/>
              </w:rPr>
            </w:pPr>
          </w:p>
        </w:tc>
        <w:tc>
          <w:tcPr>
            <w:tcW w:w="1220" w:type="dxa"/>
            <w:vAlign w:val="bottom"/>
            <w:gridSpan w:val="2"/>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(107,607)</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(92,628)</w:t>
            </w:r>
          </w:p>
        </w:tc>
        <w:tc>
          <w:tcPr>
            <w:tcW w:w="0" w:type="dxa"/>
            <w:vAlign w:val="bottom"/>
          </w:tcPr>
          <w:p>
            <w:pPr>
              <w:spacing w:after="0"/>
              <w:rPr>
                <w:sz w:val="1"/>
                <w:szCs w:val="1"/>
                <w:color w:val="auto"/>
              </w:rPr>
            </w:pPr>
          </w:p>
        </w:tc>
      </w:tr>
      <w:tr>
        <w:trPr>
          <w:trHeight w:val="23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WalkMe Ltd. including</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1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17" w:right="339" w:bottom="0" w:gutter="0" w:footer="0" w:header="0"/>
        </w:sectPr>
      </w:pPr>
    </w:p>
    <w:bookmarkStart w:id="164" w:name="page165"/>
    <w:bookmarkEnd w:id="1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adjustment to</w:t>
            </w:r>
          </w:p>
        </w:tc>
        <w:tc>
          <w:tcPr>
            <w:tcW w:w="1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redeemable non-</w:t>
            </w:r>
          </w:p>
        </w:tc>
        <w:tc>
          <w:tcPr>
            <w:tcW w:w="1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4"/>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controlling interest</w:t>
            </w:r>
          </w:p>
        </w:tc>
        <w:tc>
          <w:tcPr>
            <w:tcW w:w="1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81"/>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w:t>
            </w: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4"/>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31, 2022</w:t>
            </w:r>
          </w:p>
        </w:tc>
        <w:tc>
          <w:tcPr>
            <w:tcW w:w="12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rPr>
              <w:t>86,780,082</w:t>
            </w:r>
          </w:p>
        </w:tc>
        <w:tc>
          <w:tcPr>
            <w:tcW w:w="5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   688,636</w:t>
            </w:r>
          </w:p>
        </w:tc>
        <w:tc>
          <w:tcPr>
            <w:tcW w:w="5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(432,645)</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-873760</wp:posOffset>
            </wp:positionV>
            <wp:extent cx="7132320" cy="9175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6">
                      <a:extLst>
                        <a:ext uri="{28A0092B-C50C-407E-A947-70E740481C1C}"/>
                      </a:extLst>
                    </a:blip>
                    <a:srcRect/>
                    <a:stretch>
                      <a:fillRect/>
                    </a:stretch>
                  </pic:blipFill>
                  <pic:spPr bwMode="auto">
                    <a:xfrm>
                      <a:off x="0" y="0"/>
                      <a:ext cx="7132320" cy="917575"/>
                    </a:xfrm>
                    <a:prstGeom prst="rect">
                      <a:avLst/>
                    </a:prstGeom>
                    <a:noFill/>
                  </pic:spPr>
                </pic:pic>
              </a:graphicData>
            </a:graphic>
          </wp:anchor>
        </w:drawing>
      </w:r>
    </w:p>
    <w:p>
      <w:pPr>
        <w:spacing w:after="0" w:line="2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8"/>
          <w:szCs w:val="18"/>
          <w:b w:val="1"/>
          <w:bCs w:val="1"/>
          <w:color w:val="auto"/>
        </w:rPr>
        <w:t>WALKME LTD. AND ITS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74865" cy="596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8">
                      <a:extLst>
                        <a:ext uri="{28A0092B-C50C-407E-A947-70E740481C1C}"/>
                      </a:extLst>
                    </a:blip>
                    <a:srcRect/>
                    <a:stretch>
                      <a:fillRect/>
                    </a:stretch>
                  </pic:blipFill>
                  <pic:spPr bwMode="auto">
                    <a:xfrm>
                      <a:off x="0" y="0"/>
                      <a:ext cx="7174865" cy="596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680" w:type="dxa"/>
            <w:vAlign w:val="bottom"/>
          </w:tcPr>
          <w:p>
            <w:pPr>
              <w:spacing w:after="0"/>
              <w:rPr>
                <w:sz w:val="22"/>
                <w:szCs w:val="22"/>
                <w:color w:val="auto"/>
              </w:rPr>
            </w:pPr>
          </w:p>
        </w:tc>
        <w:tc>
          <w:tcPr>
            <w:tcW w:w="464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2"/>
                <w:szCs w:val="22"/>
                <w:color w:val="auto"/>
              </w:rPr>
            </w:pPr>
          </w:p>
        </w:tc>
      </w:tr>
      <w:tr>
        <w:trPr>
          <w:trHeight w:val="209"/>
        </w:trPr>
        <w:tc>
          <w:tcPr>
            <w:tcW w:w="268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Cash flows from operating activities:</w:t>
            </w:r>
          </w:p>
        </w:tc>
        <w:tc>
          <w:tcPr>
            <w:tcW w:w="46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30"/>
        </w:trPr>
        <w:tc>
          <w:tcPr>
            <w:tcW w:w="7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(108,350)  $</w:t>
            </w:r>
          </w:p>
        </w:tc>
        <w:tc>
          <w:tcPr>
            <w:tcW w:w="1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(80,293)  $</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(45,025)</w:t>
            </w:r>
          </w:p>
        </w:tc>
      </w:tr>
      <w:tr>
        <w:trPr>
          <w:trHeight w:val="229"/>
        </w:trPr>
        <w:tc>
          <w:tcPr>
            <w:tcW w:w="7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73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50,104</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27,332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14,017</w:t>
            </w:r>
          </w:p>
        </w:tc>
      </w:tr>
      <w:tr>
        <w:trPr>
          <w:trHeight w:val="229"/>
        </w:trPr>
        <w:tc>
          <w:tcPr>
            <w:tcW w:w="73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Depreciation, amortization and impairments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7,878</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4,773</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4,710</w:t>
            </w:r>
          </w:p>
        </w:tc>
      </w:tr>
      <w:tr>
        <w:trPr>
          <w:trHeight w:val="216"/>
        </w:trPr>
        <w:tc>
          <w:tcPr>
            <w:tcW w:w="73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Operating lease right-of-use assets and liabilities, net</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3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Finance income</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(1,758)</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(189)</w:t>
            </w:r>
          </w:p>
        </w:tc>
      </w:tr>
      <w:tr>
        <w:trPr>
          <w:trHeight w:val="216"/>
        </w:trPr>
        <w:tc>
          <w:tcPr>
            <w:tcW w:w="73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Amortization of premium and accretion of discount on marketable securities, net</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3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Decrease (increase) in trade receivables, net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(7,417)</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(6,976)</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1,657</w:t>
            </w:r>
          </w:p>
        </w:tc>
      </w:tr>
      <w:tr>
        <w:trPr>
          <w:trHeight w:val="229"/>
        </w:trPr>
        <w:tc>
          <w:tcPr>
            <w:tcW w:w="73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Increase in prepaid expenses and other assets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(8,882)</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(29,763)</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(6,981)</w:t>
            </w:r>
          </w:p>
        </w:tc>
      </w:tr>
      <w:tr>
        <w:trPr>
          <w:trHeight w:val="230"/>
        </w:trPr>
        <w:tc>
          <w:tcPr>
            <w:tcW w:w="73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Increase (decrease) in trade payables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(354)</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906</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4,450</w:t>
            </w:r>
          </w:p>
        </w:tc>
      </w:tr>
      <w:tr>
        <w:trPr>
          <w:trHeight w:val="229"/>
        </w:trPr>
        <w:tc>
          <w:tcPr>
            <w:tcW w:w="73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Increase (decrease) in employees and payroll accruals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(5,782)</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15,010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5,003</w:t>
            </w:r>
          </w:p>
        </w:tc>
      </w:tr>
      <w:tr>
        <w:trPr>
          <w:trHeight w:val="230"/>
        </w:trPr>
        <w:tc>
          <w:tcPr>
            <w:tcW w:w="73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Increase in accrued expenses and other liabilities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3,215</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4,574</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7,941</w:t>
            </w:r>
          </w:p>
        </w:tc>
      </w:tr>
      <w:tr>
        <w:trPr>
          <w:trHeight w:val="229"/>
        </w:trPr>
        <w:tc>
          <w:tcPr>
            <w:tcW w:w="73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Increase in deferred revenues</w:t>
            </w: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22,924</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28,577</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5,220</w:t>
            </w:r>
          </w:p>
        </w:tc>
      </w:tr>
      <w:tr>
        <w:trPr>
          <w:trHeight w:val="237"/>
        </w:trPr>
        <w:tc>
          <w:tcPr>
            <w:tcW w:w="73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Deferred taxes, net</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1,694</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544</w:t>
            </w:r>
          </w:p>
        </w:tc>
      </w:tr>
      <w:tr>
        <w:trPr>
          <w:trHeight w:val="216"/>
        </w:trPr>
        <w:tc>
          <w:tcPr>
            <w:tcW w:w="2680" w:type="dxa"/>
            <w:vAlign w:val="bottom"/>
            <w:tcBorders>
              <w:top w:val="single" w:sz="8" w:color="CCEEFF"/>
            </w:tcBorders>
          </w:tcPr>
          <w:p>
            <w:pPr>
              <w:spacing w:after="0"/>
              <w:rPr>
                <w:sz w:val="18"/>
                <w:szCs w:val="18"/>
                <w:color w:val="auto"/>
              </w:rPr>
            </w:pPr>
          </w:p>
        </w:tc>
        <w:tc>
          <w:tcPr>
            <w:tcW w:w="46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9"/>
        </w:trPr>
        <w:tc>
          <w:tcPr>
            <w:tcW w:w="7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(46,808)</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(34,225)</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(8,653)</w:t>
            </w:r>
          </w:p>
        </w:tc>
      </w:tr>
      <w:tr>
        <w:trPr>
          <w:trHeight w:val="27"/>
        </w:trPr>
        <w:tc>
          <w:tcPr>
            <w:tcW w:w="2680" w:type="dxa"/>
            <w:vAlign w:val="bottom"/>
            <w:shd w:val="clear" w:color="auto" w:fill="CCEEFF"/>
          </w:tcPr>
          <w:p>
            <w:pPr>
              <w:spacing w:after="0"/>
              <w:rPr>
                <w:sz w:val="2"/>
                <w:szCs w:val="2"/>
                <w:color w:val="auto"/>
              </w:rPr>
            </w:pPr>
          </w:p>
        </w:tc>
        <w:tc>
          <w:tcPr>
            <w:tcW w:w="46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ectPr>
          <w:pgSz w:w="11900" w:h="16838" w:orient="portrait"/>
          <w:cols w:equalWidth="0" w:num="1">
            <w:col w:w="11240"/>
          </w:cols>
          <w:pgMar w:left="320" w:top="117" w:right="339" w:bottom="0" w:gutter="0" w:footer="0" w:header="0"/>
        </w:sectPr>
      </w:pPr>
    </w:p>
    <w:p>
      <w:pPr>
        <w:ind w:left="160"/>
        <w:spacing w:after="0"/>
        <w:rPr>
          <w:sz w:val="20"/>
          <w:szCs w:val="20"/>
          <w:color w:val="auto"/>
        </w:rPr>
      </w:pPr>
      <w:r>
        <w:rPr>
          <w:rFonts w:ascii="Times New Roman" w:cs="Times New Roman" w:eastAsia="Times New Roman" w:hAnsi="Times New Roman"/>
          <w:sz w:val="18"/>
          <w:szCs w:val="18"/>
          <w:u w:val="single" w:color="auto"/>
          <w:color w:val="auto"/>
        </w:rPr>
        <w:t>Cash flows from investing activities:</w:t>
      </w:r>
    </w:p>
    <w:p>
      <w:pPr>
        <w:spacing w:after="0" w:line="2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Purchase of intangible assets</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Capitalization of software development costs</w:t>
      </w:r>
    </w:p>
    <w:p>
      <w:pPr>
        <w:spacing w:after="0" w:line="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Purchase of property and equipment</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Investment in short-term deposits</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Proceeds from short-term deposits</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Investment in restricted deposits</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Proceeds from restricted deposits</w:t>
      </w:r>
    </w:p>
    <w:p>
      <w:pPr>
        <w:spacing w:after="0" w:line="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Investment in marketable securities</w:t>
      </w:r>
    </w:p>
    <w:p>
      <w:pPr>
        <w:spacing w:after="0" w:line="25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6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u w:val="single" w:color="auto"/>
          <w:color w:val="auto"/>
        </w:rPr>
        <w:t>Cash flows from financing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(1,338)</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(4,260)</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(3,912)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(1,530)</w:t>
            </w:r>
          </w:p>
        </w:tc>
      </w:tr>
      <w:tr>
        <w:trPr>
          <w:trHeight w:val="230"/>
        </w:trPr>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(2,867)</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(2,642)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(822)</w:t>
            </w:r>
          </w:p>
        </w:tc>
      </w:tr>
      <w:tr>
        <w:trPr>
          <w:trHeight w:val="243"/>
        </w:trPr>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(170,500)</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(66,260)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(44,000)</w:t>
            </w:r>
          </w:p>
        </w:tc>
      </w:tr>
      <w:tr>
        <w:trPr>
          <w:trHeight w:val="230"/>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112,257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45,003</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(1,298)</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2,924</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623</w:t>
            </w:r>
          </w:p>
        </w:tc>
      </w:tr>
      <w:tr>
        <w:trPr>
          <w:trHeight w:val="234"/>
        </w:trPr>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(84,881)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45"/>
        </w:trPr>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(149,956)</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(27,523)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(45,729)</w:t>
            </w:r>
          </w:p>
        </w:tc>
      </w:tr>
      <w:tr>
        <w:trPr>
          <w:trHeight w:val="27"/>
        </w:trPr>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-1773555</wp:posOffset>
            </wp:positionV>
            <wp:extent cx="7132320" cy="1454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-1490980</wp:posOffset>
            </wp:positionV>
            <wp:extent cx="7132320" cy="1454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-1199515</wp:posOffset>
            </wp:positionV>
            <wp:extent cx="7132320" cy="146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-908050</wp:posOffset>
            </wp:positionV>
            <wp:extent cx="7132320" cy="1460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-616585</wp:posOffset>
            </wp:positionV>
            <wp:extent cx="7132320" cy="1631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-299720</wp:posOffset>
            </wp:positionV>
            <wp:extent cx="7132320" cy="1371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0</wp:posOffset>
            </wp:positionV>
            <wp:extent cx="7132320" cy="1371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451" w:lineRule="exact"/>
        <w:rPr>
          <w:sz w:val="20"/>
          <w:szCs w:val="20"/>
          <w:color w:val="auto"/>
        </w:rPr>
      </w:pPr>
    </w:p>
    <w:p>
      <w:pPr>
        <w:sectPr>
          <w:pgSz w:w="11900" w:h="16838" w:orient="portrait"/>
          <w:cols w:equalWidth="0" w:num="2">
            <w:col w:w="6600" w:space="720"/>
            <w:col w:w="3920"/>
          </w:cols>
          <w:pgMar w:left="320" w:top="117" w:right="339" w:bottom="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37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7320" w:type="dxa"/>
            <w:vAlign w:val="bottom"/>
            <w:gridSpan w:val="5"/>
          </w:tcPr>
          <w:p>
            <w:pPr>
              <w:ind w:left="520"/>
              <w:spacing w:after="0" w:line="198" w:lineRule="exact"/>
              <w:rPr>
                <w:sz w:val="20"/>
                <w:szCs w:val="20"/>
                <w:color w:val="auto"/>
              </w:rPr>
            </w:pPr>
            <w:r>
              <w:rPr>
                <w:rFonts w:ascii="Times New Roman" w:cs="Times New Roman" w:eastAsia="Times New Roman" w:hAnsi="Times New Roman"/>
                <w:sz w:val="18"/>
                <w:szCs w:val="18"/>
                <w:color w:val="auto"/>
              </w:rPr>
              <w:t>Proceeds from initial public offering, net of underwriting discounts and commissions and</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732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auto"/>
              </w:rPr>
              <w:t>other issuance costs</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263,922</w:t>
            </w:r>
          </w:p>
        </w:tc>
        <w:tc>
          <w:tcPr>
            <w:tcW w:w="32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320" w:type="dxa"/>
            <w:vAlign w:val="bottom"/>
            <w:gridSpan w:val="5"/>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Proceeds from exercise of options</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2,867</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789</w:t>
            </w:r>
          </w:p>
        </w:tc>
      </w:tr>
      <w:tr>
        <w:trPr>
          <w:trHeight w:val="216"/>
        </w:trPr>
        <w:tc>
          <w:tcPr>
            <w:tcW w:w="732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auto"/>
              </w:rPr>
              <w:t>Proceeds from employees share purchase plan</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320" w:type="dxa"/>
            <w:vAlign w:val="bottom"/>
            <w:gridSpan w:val="5"/>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Investment from redeemable non-controlling interest</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2,330</w:t>
            </w:r>
          </w:p>
        </w:tc>
      </w:tr>
      <w:tr>
        <w:trPr>
          <w:trHeight w:val="237"/>
        </w:trPr>
        <w:tc>
          <w:tcPr>
            <w:tcW w:w="732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auto"/>
              </w:rPr>
              <w:t>Issuance of preferred shares, net of issuance costs</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38,495</w:t>
            </w:r>
          </w:p>
        </w:tc>
      </w:tr>
      <w:tr>
        <w:trPr>
          <w:trHeight w:val="216"/>
        </w:trPr>
        <w:tc>
          <w:tcPr>
            <w:tcW w:w="37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73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14,791</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276,789</w:t>
            </w: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41,614</w:t>
            </w:r>
          </w:p>
        </w:tc>
      </w:tr>
      <w:tr>
        <w:trPr>
          <w:trHeight w:val="236"/>
        </w:trPr>
        <w:tc>
          <w:tcPr>
            <w:tcW w:w="7320" w:type="dxa"/>
            <w:vAlign w:val="bottom"/>
            <w:tcBorders>
              <w:bottom w:val="single" w:sz="8" w:color="CCEEFF"/>
            </w:tcBorders>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 of foreign currency exchange rate changes on cash, cash equivalents, and restricted cash</w:t>
            </w: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24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29"/>
        </w:trPr>
        <w:tc>
          <w:tcPr>
            <w:tcW w:w="73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300" w:type="dxa"/>
            <w:vAlign w:val="bottom"/>
          </w:tcPr>
          <w:p>
            <w:pPr>
              <w:spacing w:after="0"/>
              <w:rPr>
                <w:sz w:val="19"/>
                <w:szCs w:val="19"/>
                <w:color w:val="auto"/>
              </w:rPr>
            </w:pPr>
          </w:p>
        </w:tc>
        <w:tc>
          <w:tcPr>
            <w:tcW w:w="10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(182,823)</w:t>
            </w:r>
          </w:p>
        </w:tc>
        <w:tc>
          <w:tcPr>
            <w:tcW w:w="3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214,356</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(12,520)</w:t>
            </w:r>
          </w:p>
        </w:tc>
      </w:tr>
      <w:tr>
        <w:trPr>
          <w:trHeight w:val="236"/>
        </w:trPr>
        <w:tc>
          <w:tcPr>
            <w:tcW w:w="732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 beginning of year</w:t>
            </w: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277,251</w:t>
            </w: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62,895</w:t>
            </w: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75,415</w:t>
            </w:r>
          </w:p>
        </w:tc>
      </w:tr>
      <w:tr>
        <w:trPr>
          <w:trHeight w:val="216"/>
        </w:trPr>
        <w:tc>
          <w:tcPr>
            <w:tcW w:w="37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70"/>
        </w:trPr>
        <w:tc>
          <w:tcPr>
            <w:tcW w:w="732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 end of year</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94,428</w:t>
            </w:r>
          </w:p>
        </w:tc>
        <w:tc>
          <w:tcPr>
            <w:tcW w:w="24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277,251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62,895</w:t>
            </w:r>
          </w:p>
        </w:tc>
      </w:tr>
      <w:tr>
        <w:trPr>
          <w:trHeight w:val="169"/>
        </w:trPr>
        <w:tc>
          <w:tcPr>
            <w:tcW w:w="7320" w:type="dxa"/>
            <w:vAlign w:val="bottom"/>
            <w:tcBorders>
              <w:top w:val="single" w:sz="8" w:color="CCEEFF"/>
            </w:tcBorders>
            <w:gridSpan w:val="5"/>
          </w:tcPr>
          <w:p>
            <w:pPr>
              <w:spacing w:after="0" w:line="169" w:lineRule="exact"/>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3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34"/>
        </w:trPr>
        <w:tc>
          <w:tcPr>
            <w:tcW w:w="3720" w:type="dxa"/>
            <w:vAlign w:val="bottom"/>
            <w:tcBorders>
              <w:top w:val="single" w:sz="8" w:color="auto"/>
            </w:tcBorders>
          </w:tcPr>
          <w:p>
            <w:pPr>
              <w:spacing w:after="0"/>
              <w:rPr>
                <w:sz w:val="2"/>
                <w:szCs w:val="2"/>
                <w:color w:val="auto"/>
              </w:rPr>
            </w:pPr>
          </w:p>
        </w:tc>
        <w:tc>
          <w:tcPr>
            <w:tcW w:w="1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0"/>
        </w:trPr>
        <w:tc>
          <w:tcPr>
            <w:tcW w:w="732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income taxes, net of refunds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(572)</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365</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732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Supplemental disclosures of noncash investing and financing activities:</w:t>
            </w: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4"/>
        </w:trPr>
        <w:tc>
          <w:tcPr>
            <w:tcW w:w="3720" w:type="dxa"/>
            <w:vAlign w:val="bottom"/>
            <w:tcBorders>
              <w:top w:val="single" w:sz="8" w:color="auto"/>
            </w:tcBorders>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32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 arising from obtaining right-of-use-assets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14,240</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3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 accrued but not paid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w:t>
            </w:r>
          </w:p>
        </w:tc>
      </w:tr>
      <w:tr>
        <w:trPr>
          <w:trHeight w:val="229"/>
        </w:trPr>
        <w:tc>
          <w:tcPr>
            <w:tcW w:w="732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ordinary shares in connection with asset acquisition</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776</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3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Conversion of convertible preferred shares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310,490</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6600" w:type="dxa"/>
            <w:vAlign w:val="bottom"/>
            <w:tcBorders>
              <w:bottom w:val="single" w:sz="8" w:color="auto"/>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Reconciliation of cash, cash equivalents and restricted cash within the consolidated balance</w:t>
            </w:r>
          </w:p>
        </w:tc>
        <w:tc>
          <w:tcPr>
            <w:tcW w:w="7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r>
        <w:trPr>
          <w:trHeight w:val="230"/>
        </w:trPr>
        <w:tc>
          <w:tcPr>
            <w:tcW w:w="7320" w:type="dxa"/>
            <w:vAlign w:val="bottom"/>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sheets to the amounts shown in the consolidated statements of cash flows above:</w:t>
            </w: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29"/>
        </w:trPr>
        <w:tc>
          <w:tcPr>
            <w:tcW w:w="5800" w:type="dxa"/>
            <w:vAlign w:val="bottom"/>
            <w:tcBorders>
              <w:top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20" w:type="dxa"/>
            <w:vAlign w:val="bottom"/>
            <w:tcBorders>
              <w:top w:val="single" w:sz="8" w:color="CCEEFF"/>
            </w:tcBorders>
            <w:gridSpan w:val="2"/>
          </w:tcPr>
          <w:p>
            <w:pPr>
              <w:spacing w:after="0"/>
              <w:rPr>
                <w:sz w:val="19"/>
                <w:szCs w:val="19"/>
                <w:color w:val="auto"/>
              </w:rPr>
            </w:pPr>
          </w:p>
        </w:tc>
        <w:tc>
          <w:tcPr>
            <w:tcW w:w="300" w:type="dxa"/>
            <w:vAlign w:val="bottom"/>
            <w:tcBorders>
              <w:top w:val="single" w:sz="8" w:color="CCEEFF"/>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94,105</w:t>
            </w:r>
          </w:p>
        </w:tc>
        <w:tc>
          <w:tcPr>
            <w:tcW w:w="2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276,889</w:t>
            </w:r>
          </w:p>
        </w:tc>
        <w:tc>
          <w:tcPr>
            <w:tcW w:w="320" w:type="dxa"/>
            <w:vAlign w:val="bottom"/>
            <w:tcBorders>
              <w:top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62,328</w:t>
            </w:r>
          </w:p>
        </w:tc>
      </w:tr>
      <w:tr>
        <w:trPr>
          <w:trHeight w:val="229"/>
        </w:trPr>
        <w:tc>
          <w:tcPr>
            <w:tcW w:w="732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 – included in short-term and long-term restricted deposits.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362</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567</w:t>
            </w:r>
          </w:p>
        </w:tc>
      </w:tr>
      <w:tr>
        <w:trPr>
          <w:trHeight w:val="27"/>
        </w:trPr>
        <w:tc>
          <w:tcPr>
            <w:tcW w:w="37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4"/>
        </w:trPr>
        <w:tc>
          <w:tcPr>
            <w:tcW w:w="37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94,428</w:t>
            </w:r>
          </w:p>
        </w:tc>
        <w:tc>
          <w:tcPr>
            <w:tcW w:w="2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277,251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62,895</w:t>
            </w:r>
          </w:p>
        </w:tc>
      </w:tr>
    </w:tbl>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ectPr>
          <w:pgSz w:w="11900" w:h="16838" w:orient="portrait"/>
          <w:cols w:equalWidth="0" w:num="1">
            <w:col w:w="11240"/>
          </w:cols>
          <w:pgMar w:left="320" w:top="117" w:right="339" w:bottom="0" w:gutter="0" w:footer="0" w:header="0"/>
          <w:type w:val="continuous"/>
        </w:sect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 - 8</w:t>
      </w:r>
    </w:p>
    <w:p>
      <w:pPr>
        <w:spacing w:after="0" w:line="20" w:lineRule="exact"/>
        <w:rPr>
          <w:sz w:val="20"/>
          <w:szCs w:val="20"/>
          <w:color w:val="auto"/>
        </w:rPr>
      </w:pPr>
    </w:p>
    <w:p>
      <w:pPr>
        <w:sectPr>
          <w:pgSz w:w="11900" w:h="16838" w:orient="portrait"/>
          <w:cols w:equalWidth="0" w:num="1">
            <w:col w:w="11240"/>
          </w:cols>
          <w:pgMar w:left="320" w:top="117" w:right="339" w:bottom="0" w:gutter="0" w:footer="0" w:header="0"/>
          <w:type w:val="continuous"/>
        </w:sectPr>
      </w:pPr>
    </w:p>
    <w:bookmarkStart w:id="166" w:name="page167"/>
    <w:bookmarkEnd w:id="1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8"/>
          <w:szCs w:val="18"/>
          <w:b w:val="1"/>
          <w:bCs w:val="1"/>
          <w:color w:val="auto"/>
        </w:rPr>
        <w:t>WALKME LTD. AND ITS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9"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8"/>
          <w:szCs w:val="18"/>
          <w:b w:val="1"/>
          <w:bCs w:val="1"/>
          <w:color w:val="auto"/>
        </w:rPr>
        <w:t>GENERAL</w:t>
      </w:r>
    </w:p>
    <w:p>
      <w:pPr>
        <w:spacing w:after="0" w:line="2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WalkMe Ltd. (together with its subsidiaries, The "Company") was incorporated under the laws of Israel and commenced its operations on October 26, 2011. The Company provides a cloud-based Digital Adoption Platform that enables organizations to better realize the value of their software investments. The Digital Adoption Platform drives the success of digital transformation initiatives by empowering the Company’s customers with critical business insights to increase software adoption and improve user experiences for their employees and customers. WalkMe Ltd. has subsidiaries in the US, Australia, United Kingdom, Singapore, Canada, Germany, and Japan.</w:t>
      </w:r>
    </w:p>
    <w:p>
      <w:pPr>
        <w:spacing w:after="0" w:line="18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On June 16, 2021, the Company completed its initial public offering (“IPO”), in which the Company issued and sold 9,250,000 shares of its ordinary shares at an offering price of $31.00 per share. The Company received net proceeds of $263,911 after deducting underwriting discounts and commissions of $18,639, and other issuance costs of $4,200. Immediately prior to the closing of the IPO, all convertible preferred shares then outstanding automatically converted into 59,180,522 ordinary shares.</w:t>
      </w:r>
    </w:p>
    <w:p>
      <w:pPr>
        <w:spacing w:after="0" w:line="182"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243" w:lineRule="exact"/>
        <w:rPr>
          <w:sz w:val="20"/>
          <w:szCs w:val="20"/>
          <w:color w:val="auto"/>
        </w:rPr>
      </w:pPr>
    </w:p>
    <w:p>
      <w:pPr>
        <w:ind w:right="140"/>
        <w:spacing w:after="0" w:line="297" w:lineRule="auto"/>
        <w:rPr>
          <w:sz w:val="20"/>
          <w:szCs w:val="20"/>
          <w:color w:val="auto"/>
        </w:rPr>
      </w:pPr>
      <w:r>
        <w:rPr>
          <w:rFonts w:ascii="Times New Roman" w:cs="Times New Roman" w:eastAsia="Times New Roman" w:hAnsi="Times New Roman"/>
          <w:sz w:val="18"/>
          <w:szCs w:val="18"/>
          <w:color w:val="auto"/>
        </w:rPr>
        <w:t>The consolidated financial statements are prepared in accordance with generally accepted accounting principles in the United States ("U.S. GAAP") as set forth in the Financial Accounting Standards Board (FASB) Accounting Standards Codification (ASC).</w:t>
      </w:r>
    </w:p>
    <w:p>
      <w:pPr>
        <w:spacing w:after="0" w:line="163" w:lineRule="exact"/>
        <w:rPr>
          <w:sz w:val="20"/>
          <w:szCs w:val="20"/>
          <w:color w:val="auto"/>
        </w:rPr>
      </w:pPr>
    </w:p>
    <w:p>
      <w:pPr>
        <w:ind w:left="380" w:hanging="372"/>
        <w:spacing w:after="0"/>
        <w:tabs>
          <w:tab w:leader="none" w:pos="3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Principles of consolidation:</w:t>
      </w:r>
    </w:p>
    <w:p>
      <w:pPr>
        <w:spacing w:after="0" w:line="238" w:lineRule="exact"/>
        <w:rPr>
          <w:rFonts w:ascii="Times New Roman" w:cs="Times New Roman" w:eastAsia="Times New Roman" w:hAnsi="Times New Roman"/>
          <w:sz w:val="18"/>
          <w:szCs w:val="18"/>
          <w:color w:val="auto"/>
        </w:rPr>
      </w:pPr>
    </w:p>
    <w:p>
      <w:pPr>
        <w:ind w:left="400"/>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include accounts of the Company’s wholly-owned subsidiaries as well as the Japanese subsidiary in which the Company controls a majority stake. All intercompany accounts and transactions are eliminated.</w:t>
      </w:r>
    </w:p>
    <w:p>
      <w:pPr>
        <w:spacing w:after="0" w:line="16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estimates:</w:t>
      </w:r>
    </w:p>
    <w:p>
      <w:pPr>
        <w:spacing w:after="0" w:line="238" w:lineRule="exact"/>
        <w:rPr>
          <w:rFonts w:ascii="Times New Roman" w:cs="Times New Roman" w:eastAsia="Times New Roman" w:hAnsi="Times New Roman"/>
          <w:sz w:val="18"/>
          <w:szCs w:val="18"/>
          <w:color w:val="auto"/>
        </w:rPr>
      </w:pPr>
    </w:p>
    <w:p>
      <w:pPr>
        <w:jc w:val="both"/>
        <w:ind w:left="4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judgments and assumptions that affect the amounts reported in the consolidated financial statements and accompanying notes. Significant items subject to such estimates and assumptions include, but are not limited to income taxes, share-based compensation, deferred contract acquisition costs, capitalized software development costs, as well as in estimates used in applying the revenue recognition policy. The Company's management believes that the estimates, judgment and assumptions used are reasonable based upon information available at the time they are made. These estimates, judgments and assumptions can affect the reported amounts of assets and liabilities at the dates of the consolidated financial statements, and the reported amounts of revenue and expenses during the reporting period. Actual results could differ from those estimates.</w:t>
      </w:r>
    </w:p>
    <w:p>
      <w:pPr>
        <w:spacing w:after="0" w:line="18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w:t>
      </w:r>
    </w:p>
    <w:p>
      <w:pPr>
        <w:spacing w:after="0" w:line="238" w:lineRule="exact"/>
        <w:rPr>
          <w:rFonts w:ascii="Times New Roman" w:cs="Times New Roman" w:eastAsia="Times New Roman" w:hAnsi="Times New Roman"/>
          <w:sz w:val="18"/>
          <w:szCs w:val="18"/>
          <w:color w:val="auto"/>
        </w:rPr>
      </w:pPr>
    </w:p>
    <w:p>
      <w:pPr>
        <w:jc w:val="both"/>
        <w:ind w:left="4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Most of the Company’s revenues and costs are denominated in U.S. dollar. The Company’s management believes that the dollar is the primary currency of the economic environment in which the Company operate, thus, the functional and reporting currency of the Company is the U.S. dollar, with the exception of its Japanese subsidiary, for which the Japanese Yen is the functional currency. Accordingly, monetary accounts maintained in currencies other than the U.S. dollar are re-measured into U.S. dollars in accordance with Accounting Standard Codification ("ASC") No. 830 "Foreign Currency Matters." All transaction gains and losses of the re-measured monetary balance sheet items are reflected in the consolidated statements of operations as financial income or expenses, as appropriate.</w:t>
      </w:r>
    </w:p>
    <w:p>
      <w:pPr>
        <w:spacing w:after="0" w:line="189" w:lineRule="exact"/>
        <w:rPr>
          <w:rFonts w:ascii="Times New Roman" w:cs="Times New Roman" w:eastAsia="Times New Roman" w:hAnsi="Times New Roman"/>
          <w:sz w:val="18"/>
          <w:szCs w:val="18"/>
          <w:color w:val="auto"/>
        </w:rPr>
      </w:pPr>
    </w:p>
    <w:p>
      <w:pPr>
        <w:jc w:val="both"/>
        <w:ind w:left="400"/>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of the Japanese subsidiary are translated to U.S. dollars using the balance sheet date exchange rates for assets and liabilities, historical rates of exchange for equity, and average exchange rates in the period for revenues and expenses. The effects of foreign currency translation adjustments are included in shareholders’ equity as a component of accumulated other comprehensive income (loss) in the accompanying consolidated balance sheets.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8"/>
          <w:szCs w:val="18"/>
          <w:b w:val="1"/>
          <w:bCs w:val="1"/>
          <w:color w:val="auto"/>
        </w:rPr>
        <w:t>WALKME LTD. AND ITS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 (Cont.)</w:t>
      </w:r>
    </w:p>
    <w:p>
      <w:pPr>
        <w:spacing w:after="0" w:line="256" w:lineRule="exact"/>
        <w:rPr>
          <w:sz w:val="20"/>
          <w:szCs w:val="20"/>
          <w:color w:val="auto"/>
        </w:rPr>
      </w:pPr>
    </w:p>
    <w:p>
      <w:pPr>
        <w:ind w:left="380" w:hanging="372"/>
        <w:spacing w:after="0"/>
        <w:tabs>
          <w:tab w:leader="none" w:pos="3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w:t>
      </w:r>
    </w:p>
    <w:p>
      <w:pPr>
        <w:spacing w:after="0" w:line="225" w:lineRule="exact"/>
        <w:rPr>
          <w:rFonts w:ascii="Times New Roman" w:cs="Times New Roman" w:eastAsia="Times New Roman" w:hAnsi="Times New Roman"/>
          <w:sz w:val="18"/>
          <w:szCs w:val="18"/>
          <w:color w:val="auto"/>
        </w:rPr>
      </w:pPr>
    </w:p>
    <w:p>
      <w:pPr>
        <w:jc w:val="both"/>
        <w:ind w:left="40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equivalents are short-term, highly liquid investments that are readily convertible to cash with original maturities of three months or less, at the date acquired. As of December 31, 2022 and 2021, the Company’s cash and cash equivalents consisted of $46,105 and $59,770 of cash held in the Company’s checking accounts and $48,000 and $217,119 bank deposits with original maturities of three months or less, respectively.</w:t>
      </w:r>
    </w:p>
    <w:p>
      <w:pPr>
        <w:spacing w:after="0" w:line="17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bank deposits:</w:t>
      </w:r>
    </w:p>
    <w:p>
      <w:pPr>
        <w:spacing w:after="0" w:line="238" w:lineRule="exact"/>
        <w:rPr>
          <w:rFonts w:ascii="Times New Roman" w:cs="Times New Roman" w:eastAsia="Times New Roman" w:hAnsi="Times New Roman"/>
          <w:sz w:val="18"/>
          <w:szCs w:val="18"/>
          <w:color w:val="auto"/>
        </w:rPr>
      </w:pPr>
    </w:p>
    <w:p>
      <w:pPr>
        <w:jc w:val="both"/>
        <w:ind w:left="400"/>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bank deposits are deposits with maturities of more than three months and less than one year. As of December 31, 2022 and 2021, the Company’s bank deposits are denominated in U.S. dollars and bears yearly interest at weighted average rates of 4.84% and 0.74%. Short-term bank deposits are presented at their cost, including accrued interest.</w:t>
      </w:r>
    </w:p>
    <w:p>
      <w:pPr>
        <w:spacing w:after="0" w:line="18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deposits:</w:t>
      </w:r>
    </w:p>
    <w:p>
      <w:pPr>
        <w:spacing w:after="0" w:line="238" w:lineRule="exact"/>
        <w:rPr>
          <w:rFonts w:ascii="Times New Roman" w:cs="Times New Roman" w:eastAsia="Times New Roman" w:hAnsi="Times New Roman"/>
          <w:sz w:val="18"/>
          <w:szCs w:val="18"/>
          <w:color w:val="auto"/>
        </w:rPr>
      </w:pPr>
    </w:p>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deposits are used as security for rental of premises and classified according to the lease agreements’ term.</w:t>
      </w:r>
    </w:p>
    <w:p>
      <w:pPr>
        <w:spacing w:after="0" w:line="265"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marketable securities:</w:t>
      </w:r>
    </w:p>
    <w:p>
      <w:pPr>
        <w:spacing w:after="0" w:line="265" w:lineRule="exact"/>
        <w:rPr>
          <w:rFonts w:ascii="Times New Roman" w:cs="Times New Roman" w:eastAsia="Times New Roman" w:hAnsi="Times New Roman"/>
          <w:sz w:val="18"/>
          <w:szCs w:val="18"/>
          <w:color w:val="auto"/>
        </w:rPr>
      </w:pPr>
    </w:p>
    <w:p>
      <w:pPr>
        <w:jc w:val="both"/>
        <w:ind w:left="3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accounts for investments in marketable securities in accordance with ASC No. 320, “Investments - Debt Securities”. Management determines the appropriate classification of its investments at the time of purchase and reevaluates such determinations at each balance sheet date. The Company classifies all of its marketable securities as available-for-sale (“AFS”) as the Company may sell these securities at any time for use in its current operations or for other purposes, even prior to maturity. Available-for-sale securities are carried at fair value, with the unrealized gains and losses, reported in accumulated other comprehensive income (loss) in shareholders' equity. Realized gains and losses on sale of investments are included in financial income, net and are derived using the specific identification method for determining the cost of securities sold.</w:t>
      </w:r>
    </w:p>
    <w:p>
      <w:pPr>
        <w:spacing w:after="0" w:line="189" w:lineRule="exact"/>
        <w:rPr>
          <w:rFonts w:ascii="Times New Roman" w:cs="Times New Roman" w:eastAsia="Times New Roman" w:hAnsi="Times New Roman"/>
          <w:sz w:val="18"/>
          <w:szCs w:val="18"/>
          <w:color w:val="auto"/>
        </w:rPr>
      </w:pPr>
    </w:p>
    <w:p>
      <w:pPr>
        <w:jc w:val="both"/>
        <w:ind w:left="380"/>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of debt securities is adjusted for amortization of premiums and accretion of discounts to maturity. Such amortization together with interest on securities is included in financial income, net. For unrealized losses in marketable securities that the Company does not intend to sell before maturity, the Company further evaluates whether declines in fair value below amortized cost are due to credit or non-credit related factors. As of December 31, 2022 there was no other-than-temporary-impairment charge for any unrealized losses.</w:t>
      </w:r>
    </w:p>
    <w:p>
      <w:pPr>
        <w:spacing w:after="0" w:line="18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financial instruments:</w:t>
      </w:r>
    </w:p>
    <w:p>
      <w:pPr>
        <w:spacing w:after="0" w:line="238" w:lineRule="exact"/>
        <w:rPr>
          <w:rFonts w:ascii="Times New Roman" w:cs="Times New Roman" w:eastAsia="Times New Roman" w:hAnsi="Times New Roman"/>
          <w:sz w:val="18"/>
          <w:szCs w:val="18"/>
          <w:color w:val="auto"/>
        </w:rPr>
      </w:pPr>
    </w:p>
    <w:p>
      <w:pPr>
        <w:ind w:left="4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applies ASC No. 820, "Fair Value Measurements and Disclosures" ("ASC No. 820"), with respect to fair value measurements of all financial assets and liabilities.</w:t>
      </w:r>
    </w:p>
    <w:p>
      <w:pPr>
        <w:spacing w:after="0" w:line="188" w:lineRule="exact"/>
        <w:rPr>
          <w:rFonts w:ascii="Times New Roman" w:cs="Times New Roman" w:eastAsia="Times New Roman" w:hAnsi="Times New Roman"/>
          <w:sz w:val="18"/>
          <w:szCs w:val="18"/>
          <w:color w:val="auto"/>
        </w:rPr>
      </w:pPr>
    </w:p>
    <w:p>
      <w:pPr>
        <w:jc w:val="both"/>
        <w:ind w:left="400"/>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accounting guidance for 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A three-tier fair value hierarchy is established as a basis for considering such assumptions and for inputs used in the valuation methodologies in measuring fair value:</w:t>
      </w:r>
    </w:p>
    <w:p>
      <w:pPr>
        <w:spacing w:after="0" w:line="181" w:lineRule="exact"/>
        <w:rPr>
          <w:rFonts w:ascii="Times New Roman" w:cs="Times New Roman" w:eastAsia="Times New Roman" w:hAnsi="Times New Roman"/>
          <w:sz w:val="18"/>
          <w:szCs w:val="18"/>
          <w:color w:val="auto"/>
        </w:rPr>
      </w:pPr>
    </w:p>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Level 1 Inputs: </w:t>
      </w:r>
      <w:r>
        <w:rPr>
          <w:rFonts w:ascii="Times New Roman" w:cs="Times New Roman" w:eastAsia="Times New Roman" w:hAnsi="Times New Roman"/>
          <w:sz w:val="18"/>
          <w:szCs w:val="18"/>
          <w:color w:val="auto"/>
        </w:rPr>
        <w:t>Unadjusted quoted prices in active markets for identical assets or liabilities accessible to the reporting entity at the measurement date.</w:t>
      </w:r>
    </w:p>
    <w:p>
      <w:pPr>
        <w:spacing w:after="0" w:line="238" w:lineRule="exact"/>
        <w:rPr>
          <w:rFonts w:ascii="Times New Roman" w:cs="Times New Roman" w:eastAsia="Times New Roman" w:hAnsi="Times New Roman"/>
          <w:sz w:val="18"/>
          <w:szCs w:val="18"/>
          <w:color w:val="auto"/>
        </w:rPr>
      </w:pPr>
    </w:p>
    <w:p>
      <w:pPr>
        <w:ind w:left="400"/>
        <w:spacing w:after="0" w:line="30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Level 2 Inputs: </w:t>
      </w:r>
      <w:r>
        <w:rPr>
          <w:rFonts w:ascii="Times New Roman" w:cs="Times New Roman" w:eastAsia="Times New Roman" w:hAnsi="Times New Roman"/>
          <w:sz w:val="18"/>
          <w:szCs w:val="18"/>
          <w:color w:val="auto"/>
        </w:rPr>
        <w:t>Other than quoted prices included in Level 1 inputs that are observable for the asset or liability, either directly or indirectly,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substantially the full term of the asset or liability</w:t>
      </w:r>
      <w:r>
        <w:rPr>
          <w:rFonts w:ascii="Times New Roman" w:cs="Times New Roman" w:eastAsia="Times New Roman" w:hAnsi="Times New Roman"/>
          <w:sz w:val="18"/>
          <w:szCs w:val="18"/>
          <w:i w:val="1"/>
          <w:iCs w:val="1"/>
          <w:color w:val="auto"/>
        </w:rPr>
        <w: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9" w:name="page170"/>
    <w:bookmarkEnd w:id="169"/>
    <w:p>
      <w:pPr>
        <w:ind w:left="7880"/>
        <w:spacing w:after="0"/>
        <w:rPr>
          <w:sz w:val="20"/>
          <w:szCs w:val="20"/>
          <w:color w:val="auto"/>
        </w:rPr>
      </w:pPr>
      <w:r>
        <w:rPr>
          <w:rFonts w:ascii="Times New Roman" w:cs="Times New Roman" w:eastAsia="Times New Roman" w:hAnsi="Times New Roman"/>
          <w:sz w:val="17"/>
          <w:szCs w:val="17"/>
          <w:b w:val="1"/>
          <w:bCs w:val="1"/>
          <w:color w:val="auto"/>
        </w:rPr>
        <w:t>WALKME LTD. AND ITS SUBSIDIARIES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 (Cont.)</w:t>
      </w:r>
    </w:p>
    <w:p>
      <w:pPr>
        <w:spacing w:after="0" w:line="252" w:lineRule="exact"/>
        <w:rPr>
          <w:sz w:val="20"/>
          <w:szCs w:val="20"/>
          <w:color w:val="auto"/>
        </w:rPr>
      </w:pPr>
    </w:p>
    <w:p>
      <w:pPr>
        <w:ind w:lef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Level 3 Inputs: </w:t>
      </w:r>
      <w:r>
        <w:rPr>
          <w:rFonts w:ascii="Times New Roman" w:cs="Times New Roman" w:eastAsia="Times New Roman" w:hAnsi="Times New Roman"/>
          <w:sz w:val="18"/>
          <w:szCs w:val="18"/>
          <w:color w:val="auto"/>
        </w:rPr>
        <w:t>Unobservable inputs for the asset or liability used to measure fair value to the extent that observable inputs are not available, thereby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allowing for situations in which there is little, if any, market activity for the asset or liability at measurement date.</w:t>
      </w:r>
    </w:p>
    <w:p>
      <w:pPr>
        <w:spacing w:after="0" w:line="186" w:lineRule="exact"/>
        <w:rPr>
          <w:sz w:val="20"/>
          <w:szCs w:val="20"/>
          <w:color w:val="auto"/>
        </w:rPr>
      </w:pPr>
    </w:p>
    <w:p>
      <w:pPr>
        <w:ind w:left="400" w:right="20"/>
        <w:spacing w:after="0" w:line="282" w:lineRule="auto"/>
        <w:rPr>
          <w:sz w:val="20"/>
          <w:szCs w:val="20"/>
          <w:color w:val="auto"/>
        </w:rPr>
      </w:pPr>
      <w:r>
        <w:rPr>
          <w:rFonts w:ascii="Times New Roman" w:cs="Times New Roman" w:eastAsia="Times New Roman" w:hAnsi="Times New Roman"/>
          <w:sz w:val="18"/>
          <w:szCs w:val="18"/>
          <w:color w:val="auto"/>
        </w:rPr>
        <w:t>A financial instrument’s categorization within the valuation hierarchy is based upon the lowest level of input that is significant to the fair value measurement.</w:t>
      </w:r>
    </w:p>
    <w:p>
      <w:pPr>
        <w:spacing w:after="0" w:line="189" w:lineRule="exact"/>
        <w:rPr>
          <w:sz w:val="20"/>
          <w:szCs w:val="20"/>
          <w:color w:val="auto"/>
        </w:rPr>
      </w:pPr>
    </w:p>
    <w:p>
      <w:pPr>
        <w:ind w:left="400"/>
        <w:spacing w:after="0" w:line="282" w:lineRule="auto"/>
        <w:rPr>
          <w:sz w:val="20"/>
          <w:szCs w:val="20"/>
          <w:color w:val="auto"/>
        </w:rPr>
      </w:pPr>
      <w:r>
        <w:rPr>
          <w:rFonts w:ascii="Times New Roman" w:cs="Times New Roman" w:eastAsia="Times New Roman" w:hAnsi="Times New Roman"/>
          <w:sz w:val="18"/>
          <w:szCs w:val="18"/>
          <w:color w:val="auto"/>
        </w:rPr>
        <w:t>Cash equivalents, short term deposits, short term restricted deposit, trade receivable, trade payable, employee and payroll accruals and accrued expenses are stated at their carrying value, which approximates fair value due to the short time to the expected receipt or payment date.</w:t>
      </w:r>
    </w:p>
    <w:p>
      <w:pPr>
        <w:spacing w:after="0" w:line="175" w:lineRule="exact"/>
        <w:rPr>
          <w:sz w:val="20"/>
          <w:szCs w:val="20"/>
          <w:color w:val="auto"/>
        </w:rPr>
      </w:pPr>
    </w:p>
    <w:p>
      <w:pPr>
        <w:ind w:left="380" w:hanging="372"/>
        <w:spacing w:after="0"/>
        <w:tabs>
          <w:tab w:leader="none" w:pos="3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Concentration of credit Risk:</w:t>
      </w:r>
    </w:p>
    <w:p>
      <w:pPr>
        <w:spacing w:after="0" w:line="238" w:lineRule="exact"/>
        <w:rPr>
          <w:rFonts w:ascii="Times New Roman" w:cs="Times New Roman" w:eastAsia="Times New Roman" w:hAnsi="Times New Roman"/>
          <w:sz w:val="18"/>
          <w:szCs w:val="18"/>
          <w:color w:val="auto"/>
        </w:rPr>
      </w:pPr>
    </w:p>
    <w:p>
      <w:pPr>
        <w:jc w:val="both"/>
        <w:ind w:left="400"/>
        <w:spacing w:after="0" w:line="27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instruments that potentially subject the Company to credit risk primarily consist of cash and cash equivalents, short term deposits, restricted deposits, marketable securities and trade receivables. For cash and cash equivalents, the Company is exposed to credit risk in the event of default by the financial institutions to the extent of the amounts recorded on the accompanying consolidated balance sheets exceed federally insured limits. The Company places its cash and cash equivalents and short-term deposits with financial institutions with high-quality credit ratings and has not experienced any losses in such accounts.</w:t>
      </w:r>
    </w:p>
    <w:p>
      <w:pPr>
        <w:spacing w:after="0" w:line="185" w:lineRule="exact"/>
        <w:rPr>
          <w:rFonts w:ascii="Times New Roman" w:cs="Times New Roman" w:eastAsia="Times New Roman" w:hAnsi="Times New Roman"/>
          <w:sz w:val="18"/>
          <w:szCs w:val="18"/>
          <w:color w:val="auto"/>
        </w:rPr>
      </w:pPr>
    </w:p>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Marketable securities are invested in securities denominated in dollar.</w:t>
      </w:r>
    </w:p>
    <w:p>
      <w:pPr>
        <w:spacing w:after="0" w:line="238" w:lineRule="exact"/>
        <w:rPr>
          <w:rFonts w:ascii="Times New Roman" w:cs="Times New Roman" w:eastAsia="Times New Roman" w:hAnsi="Times New Roman"/>
          <w:sz w:val="18"/>
          <w:szCs w:val="18"/>
          <w:color w:val="auto"/>
        </w:rPr>
      </w:pPr>
    </w:p>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marketable securities consist of investments in U.S. Treasuries and U.S. Government Agencies.</w:t>
      </w:r>
    </w:p>
    <w:p>
      <w:pPr>
        <w:spacing w:after="0" w:line="252" w:lineRule="exact"/>
        <w:rPr>
          <w:rFonts w:ascii="Times New Roman" w:cs="Times New Roman" w:eastAsia="Times New Roman" w:hAnsi="Times New Roman"/>
          <w:sz w:val="18"/>
          <w:szCs w:val="18"/>
          <w:color w:val="auto"/>
        </w:rPr>
      </w:pPr>
    </w:p>
    <w:p>
      <w:pPr>
        <w:ind w:left="4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trade receivable, the Company is exposed to credit risk in the event of non-payment by customers to the extent of the amounts recorded on the accompanying consolidated balance sheets.</w:t>
      </w:r>
    </w:p>
    <w:p>
      <w:pPr>
        <w:spacing w:after="0" w:line="188" w:lineRule="exact"/>
        <w:rPr>
          <w:rFonts w:ascii="Times New Roman" w:cs="Times New Roman" w:eastAsia="Times New Roman" w:hAnsi="Times New Roman"/>
          <w:sz w:val="18"/>
          <w:szCs w:val="18"/>
          <w:color w:val="auto"/>
        </w:rPr>
      </w:pPr>
    </w:p>
    <w:p>
      <w:pPr>
        <w:ind w:left="4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and 2021 and for the years ended on these dates, there were no customers represented balance greater than 10% and no customers represented greater amount than 10% of total revenue.</w:t>
      </w:r>
    </w:p>
    <w:p>
      <w:pPr>
        <w:spacing w:after="0" w:line="18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Financial Instruments</w:t>
      </w:r>
    </w:p>
    <w:p>
      <w:pPr>
        <w:spacing w:after="0" w:line="225" w:lineRule="exact"/>
        <w:rPr>
          <w:rFonts w:ascii="Times New Roman" w:cs="Times New Roman" w:eastAsia="Times New Roman" w:hAnsi="Times New Roman"/>
          <w:sz w:val="18"/>
          <w:szCs w:val="18"/>
          <w:color w:val="auto"/>
        </w:rPr>
      </w:pPr>
    </w:p>
    <w:p>
      <w:pPr>
        <w:jc w:val="both"/>
        <w:ind w:left="4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enters into foreign currency forward and option contracts with financial institutions to protect against foreign exchange risks for the exposure to changes in the exchange rate of the New Israeli Shekel (“NIS”) against the U.S. dollar that are associated with forecasted future cash flows and certain current existing assets and liabilities for up to twelve months. The Company’s primary objective in entering into these contracts is to reduce the volatility of earnings and cash flows associated with changes in foreign currency exchange rates. The Company’s derivative instruments expose the Company to credit risk to the extent that the counterparties may be unable to meet the terms of the contract. The Company seeks to mitigate such risk by limiting its counterparties to major financial institutions. In addition, the potential risk of loss resulting from this type of credit risk is monitored on an ongoing basis. The Company does not use derivative instruments for trading or speculative purposes.</w:t>
      </w:r>
    </w:p>
    <w:p>
      <w:pPr>
        <w:spacing w:after="0" w:line="203" w:lineRule="exact"/>
        <w:rPr>
          <w:rFonts w:ascii="Times New Roman" w:cs="Times New Roman" w:eastAsia="Times New Roman" w:hAnsi="Times New Roman"/>
          <w:sz w:val="18"/>
          <w:szCs w:val="18"/>
          <w:color w:val="auto"/>
        </w:rPr>
      </w:pPr>
    </w:p>
    <w:p>
      <w:pPr>
        <w:jc w:val="both"/>
        <w:ind w:left="4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accounts for its derivative instruments based on ASC No. 815, “Derivatives and Hedging” (“ASC No. 815”). ASC No. 815 requires the Company to recognize all derivatives on the balance sheets at fair value. The accounting for changes in the fair value of a derivative depends on the intended use of the derivative and the resulting designation. Derivative instruments that hedge the exposure to variability in expected future cash flows that are designated as cash flow hedges, are recorded as either prepaid expenses and other assets or accrued expenses and other liabilities in the consolidated balance sheets. The Company records changes in the fair value of these derivatives in accumulated other comprehensive income (loss) in the consolidated balance sheets, until the forecasted transaction occurs.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8"/>
          <w:szCs w:val="18"/>
          <w:b w:val="1"/>
          <w:bCs w:val="1"/>
          <w:color w:val="auto"/>
        </w:rPr>
        <w:t>WALKME LTD. AND ITS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 (Cont.)</w:t>
      </w:r>
    </w:p>
    <w:p>
      <w:pPr>
        <w:spacing w:after="0" w:line="256" w:lineRule="exact"/>
        <w:rPr>
          <w:sz w:val="20"/>
          <w:szCs w:val="20"/>
          <w:color w:val="auto"/>
        </w:rPr>
      </w:pPr>
    </w:p>
    <w:p>
      <w:pPr>
        <w:ind w:left="400" w:right="20"/>
        <w:spacing w:after="0" w:line="282" w:lineRule="auto"/>
        <w:rPr>
          <w:sz w:val="20"/>
          <w:szCs w:val="20"/>
          <w:color w:val="auto"/>
        </w:rPr>
      </w:pPr>
      <w:r>
        <w:rPr>
          <w:rFonts w:ascii="Times New Roman" w:cs="Times New Roman" w:eastAsia="Times New Roman" w:hAnsi="Times New Roman"/>
          <w:sz w:val="18"/>
          <w:szCs w:val="18"/>
          <w:color w:val="auto"/>
        </w:rPr>
        <w:t>Upon occurrence, the Company reclassifies the related gain or loss on the derivative to the same financial statement line item in the consolidated statements of operations to which the derivative relates.</w:t>
      </w:r>
    </w:p>
    <w:p>
      <w:pPr>
        <w:spacing w:after="0" w:line="189" w:lineRule="exact"/>
        <w:rPr>
          <w:sz w:val="20"/>
          <w:szCs w:val="20"/>
          <w:color w:val="auto"/>
        </w:rPr>
      </w:pPr>
    </w:p>
    <w:p>
      <w:pPr>
        <w:ind w:left="400"/>
        <w:spacing w:after="0" w:line="282" w:lineRule="auto"/>
        <w:rPr>
          <w:sz w:val="20"/>
          <w:szCs w:val="20"/>
          <w:color w:val="auto"/>
        </w:rPr>
      </w:pPr>
      <w:r>
        <w:rPr>
          <w:rFonts w:ascii="Times New Roman" w:cs="Times New Roman" w:eastAsia="Times New Roman" w:hAnsi="Times New Roman"/>
          <w:sz w:val="18"/>
          <w:szCs w:val="18"/>
          <w:color w:val="auto"/>
        </w:rPr>
        <w:t>As of December 31, 2022 and 2021, the gross notional amount of the Company’s outstanding foreign currency contracts designated as hedging instruments was $50,298 and $32,797 respectively.</w:t>
      </w:r>
    </w:p>
    <w:p>
      <w:pPr>
        <w:spacing w:after="0" w:line="189" w:lineRule="exact"/>
        <w:rPr>
          <w:sz w:val="20"/>
          <w:szCs w:val="20"/>
          <w:color w:val="auto"/>
        </w:rPr>
      </w:pPr>
    </w:p>
    <w:p>
      <w:pPr>
        <w:ind w:left="380" w:hanging="372"/>
        <w:spacing w:after="0"/>
        <w:tabs>
          <w:tab w:leader="none" w:pos="3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receivables:</w:t>
      </w:r>
    </w:p>
    <w:p>
      <w:pPr>
        <w:spacing w:after="0" w:line="225" w:lineRule="exact"/>
        <w:rPr>
          <w:rFonts w:ascii="Times New Roman" w:cs="Times New Roman" w:eastAsia="Times New Roman" w:hAnsi="Times New Roman"/>
          <w:sz w:val="18"/>
          <w:szCs w:val="18"/>
          <w:color w:val="auto"/>
        </w:rPr>
      </w:pPr>
    </w:p>
    <w:p>
      <w:pPr>
        <w:jc w:val="both"/>
        <w:ind w:left="4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receivables includes billed and unbilled receivables. Trade receivables are recorded at invoiced amounts and do not bear interest. The Company generally does not require collateral and provides for expected losses. The expectation of collectability is based on a review of credit profiles of customers, contractual terms and conditions, current economic trends, and historical payment experience. The Company regularly reviews the adequacy of its allowances by considering the age of each outstanding invoice and the collection history of each customer and future collection expectations to determine the appropriate amount of allowances. Trade receivables deemed uncollectible are charged against the allowance for doubtful accounts when identified.</w:t>
      </w:r>
    </w:p>
    <w:p>
      <w:pPr>
        <w:spacing w:after="0" w:line="203" w:lineRule="exact"/>
        <w:rPr>
          <w:rFonts w:ascii="Times New Roman" w:cs="Times New Roman" w:eastAsia="Times New Roman" w:hAnsi="Times New Roman"/>
          <w:sz w:val="18"/>
          <w:szCs w:val="18"/>
          <w:color w:val="auto"/>
        </w:rPr>
      </w:pPr>
    </w:p>
    <w:p>
      <w:pPr>
        <w:jc w:val="both"/>
        <w:ind w:left="400"/>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Unbilled trade receivables represent an unconditional right to consideration for the Company’s performance under the customer contract occurs before invoicing to the customer. As of December 31, 2022 and 2021, unbilled trade receivables of $4,084 and $5,477, respectively, was included in trade receivables on the Company’s consolidated balance sheets.</w:t>
      </w:r>
    </w:p>
    <w:p>
      <w:pPr>
        <w:spacing w:after="0" w:line="18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and equipment:</w:t>
      </w:r>
    </w:p>
    <w:p>
      <w:pPr>
        <w:spacing w:after="0" w:line="238" w:lineRule="exact"/>
        <w:rPr>
          <w:rFonts w:ascii="Times New Roman" w:cs="Times New Roman" w:eastAsia="Times New Roman" w:hAnsi="Times New Roman"/>
          <w:sz w:val="18"/>
          <w:szCs w:val="18"/>
          <w:color w:val="auto"/>
        </w:rPr>
      </w:pPr>
    </w:p>
    <w:p>
      <w:pPr>
        <w:ind w:left="400" w:right="700"/>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and equipment are stated at cost, net of accumulated depreciation. Depreciation is calculated using the straight-line method over the estimated useful lives of the assets, at the following annual rates:</w:t>
      </w:r>
    </w:p>
    <w:p>
      <w:pPr>
        <w:spacing w:after="0" w:line="163" w:lineRule="exact"/>
        <w:rPr>
          <w:sz w:val="20"/>
          <w:szCs w:val="20"/>
          <w:color w:val="auto"/>
        </w:rPr>
      </w:pPr>
    </w:p>
    <w:tbl>
      <w:tblPr>
        <w:tblLayout w:type="fixed"/>
        <w:tblInd w:w="500" w:type="dxa"/>
        <w:tblCellMar>
          <w:top w:w="0" w:type="dxa"/>
          <w:left w:w="0" w:type="dxa"/>
          <w:bottom w:w="0" w:type="dxa"/>
          <w:right w:w="0" w:type="dxa"/>
        </w:tblCellMar>
      </w:tblPr>
      <w:tr>
        <w:trPr>
          <w:trHeight w:val="255"/>
        </w:trPr>
        <w:tc>
          <w:tcPr>
            <w:tcW w:w="5320" w:type="dxa"/>
            <w:vAlign w:val="bottom"/>
          </w:tcPr>
          <w:p>
            <w:pPr>
              <w:spacing w:after="0"/>
              <w:rPr>
                <w:sz w:val="22"/>
                <w:szCs w:val="22"/>
                <w:color w:val="auto"/>
              </w:rPr>
            </w:pPr>
          </w:p>
        </w:tc>
        <w:tc>
          <w:tcPr>
            <w:tcW w:w="4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w:t>
            </w:r>
          </w:p>
        </w:tc>
      </w:tr>
      <w:tr>
        <w:trPr>
          <w:trHeight w:val="243"/>
        </w:trPr>
        <w:tc>
          <w:tcPr>
            <w:tcW w:w="5320" w:type="dxa"/>
            <w:vAlign w:val="bottom"/>
          </w:tcPr>
          <w:p>
            <w:pPr>
              <w:spacing w:after="0"/>
              <w:rPr>
                <w:sz w:val="21"/>
                <w:szCs w:val="21"/>
                <w:color w:val="auto"/>
              </w:rPr>
            </w:pPr>
          </w:p>
        </w:tc>
        <w:tc>
          <w:tcPr>
            <w:tcW w:w="4340" w:type="dxa"/>
            <w:vAlign w:val="bottom"/>
          </w:tcPr>
          <w:p>
            <w:pPr>
              <w:spacing w:after="0"/>
              <w:rPr>
                <w:sz w:val="21"/>
                <w:szCs w:val="21"/>
                <w:color w:val="auto"/>
              </w:rPr>
            </w:pPr>
          </w:p>
        </w:tc>
      </w:tr>
      <w:tr>
        <w:trPr>
          <w:trHeight w:val="243"/>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Software, computers and peripheral equipment</w:t>
            </w:r>
          </w:p>
        </w:tc>
        <w:tc>
          <w:tcPr>
            <w:tcW w:w="4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r>
      <w:tr>
        <w:trPr>
          <w:trHeight w:val="239"/>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10-33</w:t>
            </w:r>
          </w:p>
        </w:tc>
      </w:tr>
      <w:tr>
        <w:trPr>
          <w:trHeight w:val="247"/>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Capitalized development costs</w:t>
            </w:r>
          </w:p>
        </w:tc>
        <w:tc>
          <w:tcPr>
            <w:tcW w:w="4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r>
      <w:tr>
        <w:trPr>
          <w:trHeight w:val="211"/>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Leasehold improvement</w:t>
            </w: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By the shorter of remaining lease term or estimated useful</w:t>
            </w:r>
          </w:p>
        </w:tc>
      </w:tr>
      <w:tr>
        <w:trPr>
          <w:trHeight w:val="234"/>
        </w:trPr>
        <w:tc>
          <w:tcPr>
            <w:tcW w:w="5320" w:type="dxa"/>
            <w:vAlign w:val="bottom"/>
          </w:tcPr>
          <w:p>
            <w:pPr>
              <w:spacing w:after="0"/>
              <w:rPr>
                <w:sz w:val="20"/>
                <w:szCs w:val="20"/>
                <w:color w:val="auto"/>
              </w:rPr>
            </w:pP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life of the asset</w:t>
            </w:r>
          </w:p>
        </w:tc>
      </w:tr>
    </w:tbl>
    <w:p>
      <w:pPr>
        <w:spacing w:after="0" w:line="211" w:lineRule="exact"/>
        <w:rPr>
          <w:sz w:val="20"/>
          <w:szCs w:val="20"/>
          <w:color w:val="auto"/>
        </w:rPr>
      </w:pPr>
    </w:p>
    <w:p>
      <w:pPr>
        <w:ind w:left="380" w:hanging="372"/>
        <w:spacing w:after="0"/>
        <w:tabs>
          <w:tab w:leader="none" w:pos="3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Long-lived assets:</w:t>
      </w:r>
    </w:p>
    <w:p>
      <w:pPr>
        <w:spacing w:after="0" w:line="238" w:lineRule="exact"/>
        <w:rPr>
          <w:rFonts w:ascii="Times New Roman" w:cs="Times New Roman" w:eastAsia="Times New Roman" w:hAnsi="Times New Roman"/>
          <w:sz w:val="18"/>
          <w:szCs w:val="18"/>
          <w:color w:val="auto"/>
        </w:rPr>
      </w:pPr>
    </w:p>
    <w:p>
      <w:pPr>
        <w:jc w:val="both"/>
        <w:ind w:left="400"/>
        <w:spacing w:after="0" w:line="27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long-lived assets of the Company are reviewed for impairment in accordance with ASC No. 360, "Property, Plant and Equipment" ("ASC No. 360"), whenever events or changes in circumstances indicate that the carrying amount of an asset may not be recoverable. The recoverability of assets to be held and used is measured by a comparison of the carrying amount of an asset to the future undiscounted cash flows expected to be generated by the assets. If such assets are considered to be impaired, the impairment to be recognized is measured by the amount by which the carrying amount of the assets exceeds the fair value of the assets.</w:t>
      </w:r>
    </w:p>
    <w:p>
      <w:pPr>
        <w:spacing w:after="0" w:line="185" w:lineRule="exact"/>
        <w:rPr>
          <w:rFonts w:ascii="Times New Roman" w:cs="Times New Roman" w:eastAsia="Times New Roman" w:hAnsi="Times New Roman"/>
          <w:sz w:val="18"/>
          <w:szCs w:val="18"/>
          <w:color w:val="auto"/>
        </w:rPr>
      </w:pPr>
    </w:p>
    <w:p>
      <w:pPr>
        <w:ind w:left="400" w:right="20"/>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2022, the Company recorded an impairment of $2,246 related to certain right-of use and intangible assets. No impairment losses were identified for the year ended December 31, 2021 and 2020.</w:t>
      </w:r>
    </w:p>
    <w:p>
      <w:pPr>
        <w:spacing w:after="0" w:line="176"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w:t>
      </w:r>
    </w:p>
    <w:p>
      <w:pPr>
        <w:spacing w:after="0" w:line="265" w:lineRule="exact"/>
        <w:rPr>
          <w:rFonts w:ascii="Times New Roman" w:cs="Times New Roman" w:eastAsia="Times New Roman" w:hAnsi="Times New Roman"/>
          <w:sz w:val="18"/>
          <w:szCs w:val="18"/>
          <w:color w:val="auto"/>
        </w:rPr>
      </w:pPr>
    </w:p>
    <w:p>
      <w:pPr>
        <w:jc w:val="both"/>
        <w:ind w:left="380"/>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 2022, the Company adopted ASU No. 2016-02, Leases (ASC 842). The Company determines if an arrangement is a lease and the classification of that lease at inception based on: (1) whether the contract involves the use of a distinct identified asset, (2) whether the Company obtains the right to substantially all the economic benefits from the use of the asset throughout the period, and (3) whether the Company has a right to direct the use of the asset.</w:t>
      </w:r>
    </w:p>
    <w:p>
      <w:pPr>
        <w:sectPr>
          <w:pgSz w:w="11900" w:h="16838" w:orient="portrait"/>
          <w:cols w:equalWidth="0" w:num="1">
            <w:col w:w="11240"/>
          </w:cols>
          <w:pgMar w:left="320" w:top="117" w:right="339" w:bottom="1440" w:gutter="0" w:footer="0" w:header="0"/>
        </w:sect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71" w:name="page172"/>
    <w:bookmarkEnd w:id="171"/>
    <w:p>
      <w:pPr>
        <w:ind w:left="7880"/>
        <w:spacing w:after="0"/>
        <w:rPr>
          <w:sz w:val="20"/>
          <w:szCs w:val="20"/>
          <w:color w:val="auto"/>
        </w:rPr>
      </w:pPr>
      <w:r>
        <w:rPr>
          <w:rFonts w:ascii="Times New Roman" w:cs="Times New Roman" w:eastAsia="Times New Roman" w:hAnsi="Times New Roman"/>
          <w:sz w:val="17"/>
          <w:szCs w:val="17"/>
          <w:b w:val="1"/>
          <w:bCs w:val="1"/>
          <w:color w:val="auto"/>
        </w:rPr>
        <w:t>WALKME LTD. AND ITS SUBSIDIARIES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 (Cont.)</w:t>
      </w:r>
    </w:p>
    <w:p>
      <w:pPr>
        <w:spacing w:after="0" w:line="256" w:lineRule="exact"/>
        <w:rPr>
          <w:sz w:val="20"/>
          <w:szCs w:val="20"/>
          <w:color w:val="auto"/>
        </w:rPr>
      </w:pPr>
    </w:p>
    <w:p>
      <w:pPr>
        <w:jc w:val="both"/>
        <w:ind w:left="380"/>
        <w:spacing w:after="0" w:line="282" w:lineRule="auto"/>
        <w:rPr>
          <w:sz w:val="20"/>
          <w:szCs w:val="20"/>
          <w:color w:val="auto"/>
        </w:rPr>
      </w:pPr>
      <w:r>
        <w:rPr>
          <w:rFonts w:ascii="Times New Roman" w:cs="Times New Roman" w:eastAsia="Times New Roman" w:hAnsi="Times New Roman"/>
          <w:sz w:val="18"/>
          <w:szCs w:val="18"/>
          <w:color w:val="auto"/>
        </w:rPr>
        <w:t>The Company elected to not recognize a lease liability and a right-of-use (“ROU”) asset for leases with a term of twelve months or less. The Company also elected the practical expedient to not separate lease and non-lease components for its leases.</w:t>
      </w:r>
    </w:p>
    <w:p>
      <w:pPr>
        <w:spacing w:after="0" w:line="189" w:lineRule="exact"/>
        <w:rPr>
          <w:sz w:val="20"/>
          <w:szCs w:val="20"/>
          <w:color w:val="auto"/>
        </w:rPr>
      </w:pPr>
    </w:p>
    <w:p>
      <w:pPr>
        <w:jc w:val="both"/>
        <w:ind w:left="380"/>
        <w:spacing w:after="0" w:line="264" w:lineRule="auto"/>
        <w:rPr>
          <w:sz w:val="20"/>
          <w:szCs w:val="20"/>
          <w:color w:val="auto"/>
        </w:rPr>
      </w:pPr>
      <w:r>
        <w:rPr>
          <w:rFonts w:ascii="Times New Roman" w:cs="Times New Roman" w:eastAsia="Times New Roman" w:hAnsi="Times New Roman"/>
          <w:sz w:val="18"/>
          <w:szCs w:val="18"/>
          <w:color w:val="auto"/>
        </w:rPr>
        <w:t>ROU assets represent the right to use an underlying asset for the lease term and lease liabilities represent the obligation to make minimum lease payments arising from the lease. ROU assets are initially measured at amounts, which represents the present value of the lease payments over the lease, plus any initial direct costs incurred. The lease liability is initially measured at lease commencement date based on the present value of lease payments over the lease term. The implicit rate within the operating leases is generally not determinable, therefore the Company uses the Incremental Borrowing Rate (“IBR”) based on the information available at commencement date in determining the present value of lease payments. The Company’s IBR is estimated to approximate the interest rate for collateralized borrowing with similar terms and payments and in economic environments where the leased asset is located. Certain leases include options to extend or terminate the lease. An option to extend the lease is considered in connection with determining the ROU asset and lease liability when it is reasonably certain that the Company will exercise that option. An option to terminate is considered unless it is reasonably certain that the Company will not exercise the option.</w:t>
      </w:r>
    </w:p>
    <w:p>
      <w:pPr>
        <w:spacing w:after="0" w:line="192" w:lineRule="exact"/>
        <w:rPr>
          <w:sz w:val="20"/>
          <w:szCs w:val="20"/>
          <w:color w:val="auto"/>
        </w:rPr>
      </w:pPr>
    </w:p>
    <w:p>
      <w:pPr>
        <w:ind w:left="380" w:right="340"/>
        <w:spacing w:after="0" w:line="274" w:lineRule="auto"/>
        <w:rPr>
          <w:sz w:val="20"/>
          <w:szCs w:val="20"/>
          <w:color w:val="auto"/>
        </w:rPr>
      </w:pPr>
      <w:r>
        <w:rPr>
          <w:rFonts w:ascii="Times New Roman" w:cs="Times New Roman" w:eastAsia="Times New Roman" w:hAnsi="Times New Roman"/>
          <w:sz w:val="18"/>
          <w:szCs w:val="18"/>
          <w:color w:val="auto"/>
        </w:rPr>
        <w:t>Payments under the Company’s lease arrangements are primarily fixed, however, certain lease agreements contain variable payments, which are expensed as incurred and not included in the operating lease right-of-use assets and liabilities. Variable lease payments are primarily comprised of payments affected by CPI and utility charges. Lease expenses are recognized on a straight-line basis over the lease term.</w:t>
      </w:r>
    </w:p>
    <w:p>
      <w:pPr>
        <w:spacing w:after="0" w:line="196" w:lineRule="exact"/>
        <w:rPr>
          <w:sz w:val="20"/>
          <w:szCs w:val="20"/>
          <w:color w:val="auto"/>
        </w:rPr>
      </w:pPr>
    </w:p>
    <w:p>
      <w:pPr>
        <w:ind w:left="380" w:hanging="372"/>
        <w:spacing w:after="0"/>
        <w:tabs>
          <w:tab w:leader="none" w:pos="3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w:t>
      </w:r>
    </w:p>
    <w:p>
      <w:pPr>
        <w:spacing w:after="0" w:line="225" w:lineRule="exact"/>
        <w:rPr>
          <w:rFonts w:ascii="Times New Roman" w:cs="Times New Roman" w:eastAsia="Times New Roman" w:hAnsi="Times New Roman"/>
          <w:sz w:val="18"/>
          <w:szCs w:val="18"/>
          <w:color w:val="auto"/>
        </w:rPr>
      </w:pPr>
    </w:p>
    <w:p>
      <w:pPr>
        <w:jc w:val="both"/>
        <w:ind w:left="4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accounts for business combinations in accordance with ASC 805, "Business Combinations" (“ASC 805”). ASC 805 requires recognition of assets acquired, liabilities assumed, and any non-controlling interest at the acquisition date, measured at their fair values as of that date. Any excess of the fair value of net assets acquired over purchase price is allocated to goodwill and any subsequent changes in estimated contingencies are to be recorded in earnings. Acquisition related costs are expensed to the statement of operations in the period incurred. The Company accounts for a transaction as an asset acquisition when substantially all of the fair value of the gross assets acquired is concentrated in a single identifiable asset or group of similar identifiable assets, or otherwise does not meet the definition of a business. Asset acquisition-related direct costs are capitalized as part of the asset or assets acquired.</w:t>
      </w:r>
    </w:p>
    <w:p>
      <w:pPr>
        <w:spacing w:after="0" w:line="20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and intangible assets:</w:t>
      </w:r>
    </w:p>
    <w:p>
      <w:pPr>
        <w:spacing w:after="0" w:line="225" w:lineRule="exact"/>
        <w:rPr>
          <w:rFonts w:ascii="Times New Roman" w:cs="Times New Roman" w:eastAsia="Times New Roman" w:hAnsi="Times New Roman"/>
          <w:sz w:val="18"/>
          <w:szCs w:val="18"/>
          <w:color w:val="auto"/>
        </w:rPr>
      </w:pPr>
    </w:p>
    <w:p>
      <w:pPr>
        <w:jc w:val="both"/>
        <w:ind w:left="400"/>
        <w:spacing w:after="0" w:line="26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represents the excess of the purchase price in a business combination over the fair value of net assets acquired. Goodwill is not amortized, but rather the carrying amounts of these assets are assessed for impairment at least annually in the fourth quarter, or more frequently if events or changes in circumstances indicate that the carrying value of these assets may not be recoverable. Goodwill impairment, if any, is determined by comparing the reporting unit fair value to its carrying value. An impairment loss is recognized in an amount equal to the excess of the reporting unit’s carrying value over its fair value, up to the amount of goodwill allocated to the reporting unit. There was no goodwill impairment for the years ended December 31, 2022, 2021 and 2020.</w:t>
      </w:r>
    </w:p>
    <w:p>
      <w:pPr>
        <w:spacing w:after="0" w:line="187" w:lineRule="exact"/>
        <w:rPr>
          <w:rFonts w:ascii="Times New Roman" w:cs="Times New Roman" w:eastAsia="Times New Roman" w:hAnsi="Times New Roman"/>
          <w:sz w:val="18"/>
          <w:szCs w:val="18"/>
          <w:color w:val="auto"/>
        </w:rPr>
      </w:pPr>
    </w:p>
    <w:p>
      <w:pPr>
        <w:jc w:val="both"/>
        <w:ind w:left="400"/>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assets are amortized on a straight-line basis over the estimated useful life of the respective asset. Each period the Company evaluates the estimated remaining useful lives of its intangible assets and whether events or changes in circumstances warrant a revision to the remaining period of amortization.</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18"/>
          <w:szCs w:val="18"/>
          <w:b w:val="1"/>
          <w:bCs w:val="1"/>
          <w:color w:val="auto"/>
        </w:rPr>
        <w:t>WALKME LTD. AND ITS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 (Cont.)</w:t>
      </w:r>
    </w:p>
    <w:p>
      <w:pPr>
        <w:spacing w:after="0" w:line="256" w:lineRule="exact"/>
        <w:rPr>
          <w:sz w:val="20"/>
          <w:szCs w:val="20"/>
          <w:color w:val="auto"/>
        </w:rPr>
      </w:pPr>
    </w:p>
    <w:p>
      <w:pPr>
        <w:ind w:left="380" w:hanging="372"/>
        <w:spacing w:after="0"/>
        <w:tabs>
          <w:tab w:leader="none" w:pos="3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pay:</w:t>
      </w:r>
    </w:p>
    <w:p>
      <w:pPr>
        <w:spacing w:after="0" w:line="225" w:lineRule="exact"/>
        <w:rPr>
          <w:rFonts w:ascii="Times New Roman" w:cs="Times New Roman" w:eastAsia="Times New Roman" w:hAnsi="Times New Roman"/>
          <w:sz w:val="18"/>
          <w:szCs w:val="18"/>
          <w:color w:val="auto"/>
        </w:rPr>
      </w:pPr>
    </w:p>
    <w:p>
      <w:pPr>
        <w:jc w:val="both"/>
        <w:ind w:left="40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Israeli Severance Pay Law, 1963 ("Severance Pay Law"), specifies that employees are entitled to severance payment, following the termination of their employment. Under the Severance Pay Law, the severance payment is calculated as one month salary for each year of employment, or a portion thereof.</w:t>
      </w:r>
    </w:p>
    <w:p>
      <w:pPr>
        <w:spacing w:after="0" w:line="177" w:lineRule="exact"/>
        <w:rPr>
          <w:rFonts w:ascii="Times New Roman" w:cs="Times New Roman" w:eastAsia="Times New Roman" w:hAnsi="Times New Roman"/>
          <w:sz w:val="18"/>
          <w:szCs w:val="18"/>
          <w:color w:val="auto"/>
        </w:rPr>
      </w:pPr>
    </w:p>
    <w:p>
      <w:pPr>
        <w:jc w:val="both"/>
        <w:ind w:left="4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Company's liability for severance pay is covered by the provisions of Section 14 of the Israeli Severance Pay Law ("Section 14"). Under Section 14 employees are entitled to monthly deposits, at a rate of 8.33% of their monthly salary, continued on their behalf to their insurance funds. Payments in accordance with Section 14 release the Company from any future severance payments in respect of those employees. As a result, the Company does not recognize any liability for severance pay due to these employees and the deposits under Section 14 are not recorded as an asset in the Company's consolidated balance sheets.</w:t>
      </w:r>
    </w:p>
    <w:p>
      <w:pPr>
        <w:spacing w:after="0" w:line="202" w:lineRule="exact"/>
        <w:rPr>
          <w:rFonts w:ascii="Times New Roman" w:cs="Times New Roman" w:eastAsia="Times New Roman" w:hAnsi="Times New Roman"/>
          <w:sz w:val="18"/>
          <w:szCs w:val="18"/>
          <w:color w:val="auto"/>
        </w:rPr>
      </w:pPr>
    </w:p>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expense for the years ended December 31, 2022, 2021 and 2020 amounted to $3,967, $3,490 and $2,495 respectively.</w:t>
      </w:r>
    </w:p>
    <w:p>
      <w:pPr>
        <w:spacing w:after="0" w:line="265"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defined contribution plan:</w:t>
      </w:r>
    </w:p>
    <w:p>
      <w:pPr>
        <w:spacing w:after="0" w:line="212" w:lineRule="exact"/>
        <w:rPr>
          <w:sz w:val="20"/>
          <w:szCs w:val="20"/>
          <w:color w:val="auto"/>
        </w:rPr>
      </w:pPr>
    </w:p>
    <w:p>
      <w:pPr>
        <w:jc w:val="both"/>
        <w:ind w:left="380"/>
        <w:spacing w:after="0" w:line="281" w:lineRule="auto"/>
        <w:rPr>
          <w:sz w:val="20"/>
          <w:szCs w:val="20"/>
          <w:color w:val="auto"/>
        </w:rPr>
      </w:pPr>
      <w:r>
        <w:rPr>
          <w:rFonts w:ascii="Times New Roman" w:cs="Times New Roman" w:eastAsia="Times New Roman" w:hAnsi="Times New Roman"/>
          <w:sz w:val="18"/>
          <w:szCs w:val="18"/>
          <w:color w:val="auto"/>
        </w:rPr>
        <w:t>The U.S. subsidiary has a 401(k) defined contribution plan covering certain employees in the U.S. Effective January 1, 2022. The Company matches 100% of employee contributions to the plan up to a limit of 5% of their eligible compensation. For the year ended December 31, 2022 the U.S. subsidiary recorded expenses for matching contributions of $2,211.</w:t>
      </w:r>
    </w:p>
    <w:p>
      <w:pPr>
        <w:spacing w:after="0" w:line="137" w:lineRule="exact"/>
        <w:rPr>
          <w:sz w:val="20"/>
          <w:szCs w:val="20"/>
          <w:color w:val="auto"/>
        </w:rPr>
      </w:pPr>
    </w:p>
    <w:p>
      <w:pPr>
        <w:ind w:left="380" w:hanging="372"/>
        <w:spacing w:after="0"/>
        <w:tabs>
          <w:tab w:leader="none" w:pos="3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Contingencies:</w:t>
      </w:r>
    </w:p>
    <w:p>
      <w:pPr>
        <w:spacing w:after="0" w:line="225" w:lineRule="exact"/>
        <w:rPr>
          <w:rFonts w:ascii="Times New Roman" w:cs="Times New Roman" w:eastAsia="Times New Roman" w:hAnsi="Times New Roman"/>
          <w:sz w:val="18"/>
          <w:szCs w:val="18"/>
          <w:color w:val="auto"/>
        </w:rPr>
      </w:pPr>
    </w:p>
    <w:p>
      <w:pPr>
        <w:jc w:val="both"/>
        <w:ind w:left="400"/>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accounts for its contingent liabilities in accordance with ASC 450, Contingencies ("ASC 450"). A provision is recorded when it is both probable that a liability has been incurred and the amount of the loss can be reasonably estimated. With respect to legal matters, provisions are reviewed and adjusted to reflect the impact of negotiations, estimated settlements, legal rulings, advice of legal counsel and other information and events pertaining to a particular matter.</w:t>
      </w:r>
    </w:p>
    <w:p>
      <w:pPr>
        <w:spacing w:after="0" w:line="19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w:t>
      </w:r>
    </w:p>
    <w:p>
      <w:pPr>
        <w:spacing w:after="0" w:line="225" w:lineRule="exact"/>
        <w:rPr>
          <w:rFonts w:ascii="Times New Roman" w:cs="Times New Roman" w:eastAsia="Times New Roman" w:hAnsi="Times New Roman"/>
          <w:sz w:val="18"/>
          <w:szCs w:val="18"/>
          <w:color w:val="auto"/>
        </w:rPr>
      </w:pPr>
    </w:p>
    <w:p>
      <w:pPr>
        <w:ind w:left="400"/>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recognizes revenue in accordance with ASC Topic 606, Revenue from contracts with customers (“ASC 606”) and determines revenue recognition through the following steps:</w:t>
      </w:r>
    </w:p>
    <w:p>
      <w:pPr>
        <w:spacing w:after="0" w:line="162" w:lineRule="exact"/>
        <w:rPr>
          <w:rFonts w:ascii="Times New Roman" w:cs="Times New Roman" w:eastAsia="Times New Roman" w:hAnsi="Times New Roman"/>
          <w:sz w:val="18"/>
          <w:szCs w:val="18"/>
          <w:color w:val="auto"/>
        </w:rPr>
      </w:pPr>
    </w:p>
    <w:p>
      <w:pPr>
        <w:ind w:left="1220" w:hanging="605"/>
        <w:spacing w:after="0"/>
        <w:tabs>
          <w:tab w:leader="none" w:pos="122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36" w:lineRule="exact"/>
        <w:rPr>
          <w:rFonts w:ascii="Times New Roman" w:cs="Times New Roman" w:eastAsia="Times New Roman" w:hAnsi="Times New Roman"/>
          <w:sz w:val="18"/>
          <w:szCs w:val="18"/>
          <w:color w:val="auto"/>
        </w:rPr>
      </w:pPr>
    </w:p>
    <w:p>
      <w:pPr>
        <w:ind w:left="1220" w:hanging="605"/>
        <w:spacing w:after="0"/>
        <w:tabs>
          <w:tab w:leader="none" w:pos="122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36" w:lineRule="exact"/>
        <w:rPr>
          <w:rFonts w:ascii="Times New Roman" w:cs="Times New Roman" w:eastAsia="Times New Roman" w:hAnsi="Times New Roman"/>
          <w:sz w:val="18"/>
          <w:szCs w:val="18"/>
          <w:color w:val="auto"/>
        </w:rPr>
      </w:pPr>
    </w:p>
    <w:p>
      <w:pPr>
        <w:ind w:left="1220" w:hanging="605"/>
        <w:spacing w:after="0"/>
        <w:tabs>
          <w:tab w:leader="none" w:pos="122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36" w:lineRule="exact"/>
        <w:rPr>
          <w:rFonts w:ascii="Times New Roman" w:cs="Times New Roman" w:eastAsia="Times New Roman" w:hAnsi="Times New Roman"/>
          <w:sz w:val="18"/>
          <w:szCs w:val="18"/>
          <w:color w:val="auto"/>
        </w:rPr>
      </w:pPr>
    </w:p>
    <w:p>
      <w:pPr>
        <w:ind w:left="1220" w:hanging="605"/>
        <w:spacing w:after="0"/>
        <w:tabs>
          <w:tab w:leader="none" w:pos="122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36" w:lineRule="exact"/>
        <w:rPr>
          <w:rFonts w:ascii="Times New Roman" w:cs="Times New Roman" w:eastAsia="Times New Roman" w:hAnsi="Times New Roman"/>
          <w:sz w:val="18"/>
          <w:szCs w:val="18"/>
          <w:color w:val="auto"/>
        </w:rPr>
      </w:pPr>
    </w:p>
    <w:p>
      <w:pPr>
        <w:ind w:left="1220" w:hanging="605"/>
        <w:spacing w:after="0"/>
        <w:tabs>
          <w:tab w:leader="none" w:pos="122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the performance obligations are satisfied.</w:t>
      </w:r>
    </w:p>
    <w:p>
      <w:pPr>
        <w:spacing w:after="0" w:line="266" w:lineRule="exact"/>
        <w:rPr>
          <w:sz w:val="20"/>
          <w:szCs w:val="20"/>
          <w:color w:val="auto"/>
        </w:rPr>
      </w:pPr>
    </w:p>
    <w:p>
      <w:pPr>
        <w:jc w:val="both"/>
        <w:ind w:left="400"/>
        <w:spacing w:after="0" w:line="274" w:lineRule="auto"/>
        <w:rPr>
          <w:sz w:val="20"/>
          <w:szCs w:val="20"/>
          <w:color w:val="auto"/>
        </w:rPr>
      </w:pPr>
      <w:r>
        <w:rPr>
          <w:rFonts w:ascii="Times New Roman" w:cs="Times New Roman" w:eastAsia="Times New Roman" w:hAnsi="Times New Roman"/>
          <w:sz w:val="18"/>
          <w:szCs w:val="18"/>
          <w:color w:val="auto"/>
        </w:rPr>
        <w:t>The Company revenues are comprised from Software-as-a-Service (“SaaS”) subscriptions and professional services. The Company solution, which allow the customer to access its hosted platform over the contract period without taking possession of the platform, provided on a subscription basis, and recognized ratably over the contract period. Professional services revenues are recognized as services are performed.</w:t>
      </w:r>
    </w:p>
    <w:p>
      <w:pPr>
        <w:spacing w:after="0" w:line="196" w:lineRule="exact"/>
        <w:rPr>
          <w:sz w:val="20"/>
          <w:szCs w:val="20"/>
          <w:color w:val="auto"/>
        </w:rPr>
      </w:pPr>
    </w:p>
    <w:p>
      <w:pPr>
        <w:jc w:val="both"/>
        <w:ind w:left="400"/>
        <w:spacing w:after="0" w:line="282" w:lineRule="auto"/>
        <w:rPr>
          <w:sz w:val="20"/>
          <w:szCs w:val="20"/>
          <w:color w:val="auto"/>
        </w:rPr>
      </w:pPr>
      <w:r>
        <w:rPr>
          <w:rFonts w:ascii="Times New Roman" w:cs="Times New Roman" w:eastAsia="Times New Roman" w:hAnsi="Times New Roman"/>
          <w:sz w:val="18"/>
          <w:szCs w:val="18"/>
          <w:color w:val="auto"/>
        </w:rPr>
        <w:t>The Company recognizes revenue when its customer obtains control of promised services in an amount that reflects the consideration that the company expects to receive in exchange for those services.</w:t>
      </w:r>
    </w:p>
    <w:p>
      <w:pPr>
        <w:spacing w:after="0" w:line="1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Subscription services and professional services arrangements are generally non-cancelable and do not allow refunds to customers.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18"/>
          <w:szCs w:val="18"/>
          <w:b w:val="1"/>
          <w:bCs w:val="1"/>
          <w:color w:val="auto"/>
        </w:rPr>
        <w:t>WALKME LTD. AND ITS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 (Cont.)</w:t>
      </w:r>
    </w:p>
    <w:p>
      <w:pPr>
        <w:spacing w:after="0" w:line="243" w:lineRule="exact"/>
        <w:rPr>
          <w:sz w:val="20"/>
          <w:szCs w:val="20"/>
          <w:color w:val="auto"/>
        </w:rPr>
      </w:pPr>
    </w:p>
    <w:p>
      <w:pPr>
        <w:jc w:val="both"/>
        <w:ind w:left="400"/>
        <w:spacing w:after="0" w:line="297"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the Company will be entitled in exchange for transferring goods or services to the customer, excluding taxes assessed by a governmental authority, that are collected by the Company from a customer.</w:t>
      </w:r>
    </w:p>
    <w:p>
      <w:pPr>
        <w:spacing w:after="0" w:line="163" w:lineRule="exact"/>
        <w:rPr>
          <w:sz w:val="20"/>
          <w:szCs w:val="20"/>
          <w:color w:val="auto"/>
        </w:rPr>
      </w:pPr>
    </w:p>
    <w:p>
      <w:pPr>
        <w:jc w:val="both"/>
        <w:ind w:left="400"/>
        <w:spacing w:after="0" w:line="270" w:lineRule="auto"/>
        <w:rPr>
          <w:sz w:val="20"/>
          <w:szCs w:val="20"/>
          <w:color w:val="auto"/>
        </w:rPr>
      </w:pPr>
      <w:r>
        <w:rPr>
          <w:rFonts w:ascii="Times New Roman" w:cs="Times New Roman" w:eastAsia="Times New Roman" w:hAnsi="Times New Roman"/>
          <w:sz w:val="18"/>
          <w:szCs w:val="18"/>
          <w:color w:val="auto"/>
        </w:rPr>
        <w:t>For arrangements with multiple performance obligations, which represent promises within an arrangement that are capable of being distinct, the Company allocates revenue to all distinct performance obligations based on their relative stand-alone selling price (“SSP”). The Company uses judgment in determining the SSP. If the SSP is not observable through standalone transactions, the Company estimates the SSP considering available information such as market segment, number of users, geographic factors, and internally approved pricing guidelines related to the performance obligation.</w:t>
      </w:r>
    </w:p>
    <w:p>
      <w:pPr>
        <w:spacing w:after="0" w:line="1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typically establish SSP for its products and services, which is reassessed on a periodic basis or when facts and circumstances change.</w:t>
      </w:r>
    </w:p>
    <w:p>
      <w:pPr>
        <w:spacing w:after="0" w:line="239" w:lineRule="exact"/>
        <w:rPr>
          <w:sz w:val="20"/>
          <w:szCs w:val="20"/>
          <w:color w:val="auto"/>
        </w:rPr>
      </w:pPr>
    </w:p>
    <w:p>
      <w:pPr>
        <w:jc w:val="both"/>
        <w:ind w:left="400"/>
        <w:spacing w:after="0" w:line="297" w:lineRule="auto"/>
        <w:rPr>
          <w:sz w:val="20"/>
          <w:szCs w:val="20"/>
          <w:color w:val="auto"/>
        </w:rPr>
      </w:pPr>
      <w:r>
        <w:rPr>
          <w:rFonts w:ascii="Times New Roman" w:cs="Times New Roman" w:eastAsia="Times New Roman" w:hAnsi="Times New Roman"/>
          <w:sz w:val="18"/>
          <w:szCs w:val="18"/>
          <w:color w:val="auto"/>
        </w:rPr>
        <w:t>The Company applied the practical expedient in Topic 606 and did not evaluate contracts of one year or less for the existence of a significant financing component.</w:t>
      </w:r>
    </w:p>
    <w:p>
      <w:pPr>
        <w:spacing w:after="0" w:line="163" w:lineRule="exact"/>
        <w:rPr>
          <w:sz w:val="20"/>
          <w:szCs w:val="20"/>
          <w:color w:val="auto"/>
        </w:rPr>
      </w:pPr>
    </w:p>
    <w:p>
      <w:pPr>
        <w:ind w:left="380" w:hanging="372"/>
        <w:spacing w:after="0"/>
        <w:tabs>
          <w:tab w:leader="none" w:pos="3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to obtain a contract:</w:t>
      </w:r>
    </w:p>
    <w:p>
      <w:pPr>
        <w:spacing w:after="0" w:line="238" w:lineRule="exact"/>
        <w:rPr>
          <w:rFonts w:ascii="Times New Roman" w:cs="Times New Roman" w:eastAsia="Times New Roman" w:hAnsi="Times New Roman"/>
          <w:sz w:val="18"/>
          <w:szCs w:val="18"/>
          <w:color w:val="auto"/>
        </w:rPr>
      </w:pPr>
    </w:p>
    <w:p>
      <w:pPr>
        <w:jc w:val="both"/>
        <w:ind w:left="4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ASC 340-40, Other assets and deferred costs, the Company capitalizes sales commissions and associated payroll taxes paid to sales personnel that are incremental to the acquisition of customer contracts. The guidance resulted in the capitalization of additional contract acquisition costs, which are subsequently amortized over the period of benefit which is four years by taking into consideration the length of terms in its customer contracts including expected renewals and churn, life of the technology and other factors. Sales commissions for the renewal of a contract are not considered commensurate with the sales commissions paid for the acquisition of the initial contract given a substantive difference in commission rates in proportion to their respective contract values.</w:t>
      </w:r>
    </w:p>
    <w:p>
      <w:pPr>
        <w:spacing w:after="0" w:line="189" w:lineRule="exact"/>
        <w:rPr>
          <w:rFonts w:ascii="Times New Roman" w:cs="Times New Roman" w:eastAsia="Times New Roman" w:hAnsi="Times New Roman"/>
          <w:sz w:val="18"/>
          <w:szCs w:val="18"/>
          <w:color w:val="auto"/>
        </w:rPr>
      </w:pPr>
    </w:p>
    <w:p>
      <w:pPr>
        <w:ind w:left="400"/>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applied the practical expedient to expense costs as incurred for costs to obtain a contract with a customer when the amortization period would have been one year or less.</w:t>
      </w:r>
    </w:p>
    <w:p>
      <w:pPr>
        <w:spacing w:after="0" w:line="162" w:lineRule="exact"/>
        <w:rPr>
          <w:rFonts w:ascii="Times New Roman" w:cs="Times New Roman" w:eastAsia="Times New Roman" w:hAnsi="Times New Roman"/>
          <w:sz w:val="18"/>
          <w:szCs w:val="18"/>
          <w:color w:val="auto"/>
        </w:rPr>
      </w:pPr>
    </w:p>
    <w:p>
      <w:pPr>
        <w:ind w:left="400" w:right="20"/>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periodically reviews these deferred contract acquisition costs to determine whether events or changes in circumstances have occurred that could impact the period of benefit. There were no impairment losses recorded during the years ended December 31, 2022, 2021 and 2020.</w:t>
      </w:r>
    </w:p>
    <w:p>
      <w:pPr>
        <w:spacing w:after="0" w:line="162" w:lineRule="exact"/>
        <w:rPr>
          <w:rFonts w:ascii="Times New Roman" w:cs="Times New Roman" w:eastAsia="Times New Roman" w:hAnsi="Times New Roman"/>
          <w:sz w:val="18"/>
          <w:szCs w:val="18"/>
          <w:color w:val="auto"/>
        </w:rPr>
      </w:pPr>
    </w:p>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represents a rollforward of deferred contract acquisition costs:</w:t>
      </w:r>
    </w:p>
    <w:p>
      <w:pPr>
        <w:spacing w:after="0" w:line="248" w:lineRule="exact"/>
        <w:rPr>
          <w:sz w:val="20"/>
          <w:szCs w:val="20"/>
          <w:color w:val="auto"/>
        </w:rPr>
      </w:pPr>
    </w:p>
    <w:p>
      <w:pPr>
        <w:jc w:val="center"/>
        <w:ind w:left="564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left="56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500" w:type="dxa"/>
        <w:tblCellMar>
          <w:top w:w="0" w:type="dxa"/>
          <w:left w:w="0" w:type="dxa"/>
          <w:bottom w:w="0" w:type="dxa"/>
          <w:right w:w="0" w:type="dxa"/>
        </w:tblCellMar>
      </w:tblPr>
      <w:tr>
        <w:trPr>
          <w:trHeight w:val="257"/>
        </w:trPr>
        <w:tc>
          <w:tcPr>
            <w:tcW w:w="630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top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Borders>
              <w:top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2"/>
                <w:szCs w:val="22"/>
                <w:color w:val="auto"/>
              </w:rPr>
            </w:pPr>
          </w:p>
        </w:tc>
      </w:tr>
      <w:tr>
        <w:trPr>
          <w:trHeight w:val="230"/>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56,374</w:t>
            </w:r>
          </w:p>
        </w:tc>
        <w:tc>
          <w:tcPr>
            <w:tcW w:w="18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29,729</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20,769</w:t>
            </w:r>
          </w:p>
        </w:tc>
        <w:tc>
          <w:tcPr>
            <w:tcW w:w="100" w:type="dxa"/>
            <w:vAlign w:val="bottom"/>
            <w:shd w:val="clear" w:color="auto" w:fill="CCEEFF"/>
          </w:tcPr>
          <w:p>
            <w:pPr>
              <w:spacing w:after="0"/>
              <w:rPr>
                <w:sz w:val="19"/>
                <w:szCs w:val="19"/>
                <w:color w:val="auto"/>
              </w:rPr>
            </w:pPr>
          </w:p>
        </w:tc>
      </w:tr>
      <w:tr>
        <w:trPr>
          <w:trHeight w:val="23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deferred contract acquisition costs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33,711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41,396</w:t>
            </w:r>
          </w:p>
        </w:tc>
        <w:tc>
          <w:tcPr>
            <w:tcW w:w="2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17,160</w:t>
            </w:r>
          </w:p>
        </w:tc>
      </w:tr>
      <w:tr>
        <w:trPr>
          <w:trHeight w:val="229"/>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deferred contract acquisition costs</w:t>
            </w:r>
          </w:p>
        </w:tc>
        <w:tc>
          <w:tcPr>
            <w:tcW w:w="200" w:type="dxa"/>
            <w:vAlign w:val="bottom"/>
            <w:shd w:val="clear" w:color="auto" w:fill="CCEEFF"/>
          </w:tcPr>
          <w:p>
            <w:pPr>
              <w:spacing w:after="0"/>
              <w:rPr>
                <w:sz w:val="19"/>
                <w:szCs w:val="19"/>
                <w:color w:val="auto"/>
              </w:rPr>
            </w:pP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(23,688)</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(14,751)</w:t>
            </w: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(8,200)</w:t>
            </w:r>
          </w:p>
        </w:tc>
      </w:tr>
      <w:tr>
        <w:trPr>
          <w:trHeight w:val="27"/>
        </w:trPr>
        <w:tc>
          <w:tcPr>
            <w:tcW w:w="63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66,397</w:t>
            </w:r>
          </w:p>
        </w:tc>
        <w:tc>
          <w:tcPr>
            <w:tcW w:w="180" w:type="dxa"/>
            <w:vAlign w:val="bottom"/>
          </w:tcPr>
          <w:p>
            <w:pPr>
              <w:spacing w:after="0"/>
              <w:rPr>
                <w:sz w:val="19"/>
                <w:szCs w:val="19"/>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56,374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29,729</w:t>
            </w:r>
          </w:p>
        </w:tc>
      </w:tr>
      <w:tr>
        <w:trPr>
          <w:trHeight w:val="250"/>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contract acquisition costs (to be recognized in next 12 months)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26,287</w:t>
            </w:r>
          </w:p>
        </w:tc>
        <w:tc>
          <w:tcPr>
            <w:tcW w:w="18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20,405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10,712</w:t>
            </w:r>
          </w:p>
        </w:tc>
      </w:tr>
      <w:tr>
        <w:trPr>
          <w:trHeight w:val="20"/>
        </w:trPr>
        <w:tc>
          <w:tcPr>
            <w:tcW w:w="6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23"/>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Deferred contract acquisition costs, non-current</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40,110</w:t>
            </w:r>
          </w:p>
        </w:tc>
        <w:tc>
          <w:tcPr>
            <w:tcW w:w="180" w:type="dxa"/>
            <w:vAlign w:val="bottom"/>
          </w:tcPr>
          <w:p>
            <w:pPr>
              <w:spacing w:after="0"/>
              <w:rPr>
                <w:sz w:val="19"/>
                <w:szCs w:val="19"/>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35,969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19,017</w:t>
            </w:r>
          </w:p>
        </w:tc>
      </w:tr>
      <w:tr>
        <w:trPr>
          <w:trHeight w:val="20"/>
        </w:trPr>
        <w:tc>
          <w:tcPr>
            <w:tcW w:w="6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hanging="372"/>
        <w:spacing w:after="0"/>
        <w:tabs>
          <w:tab w:leader="none" w:pos="3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revenues and remaining performance obligations:</w:t>
      </w:r>
    </w:p>
    <w:p>
      <w:pPr>
        <w:spacing w:after="0" w:line="238" w:lineRule="exact"/>
        <w:rPr>
          <w:rFonts w:ascii="Times New Roman" w:cs="Times New Roman" w:eastAsia="Times New Roman" w:hAnsi="Times New Roman"/>
          <w:sz w:val="18"/>
          <w:szCs w:val="18"/>
          <w:color w:val="auto"/>
        </w:rPr>
      </w:pPr>
    </w:p>
    <w:p>
      <w:pPr>
        <w:jc w:val="both"/>
        <w:ind w:left="400"/>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revenue primarily consists of billings or payments received in advance of revenue recognition and is recognized as the revenue recognition criteria are met. The Company recognized revenue of $82,080 and $53,570 for the years ended December 31, 2022 and 2021, respectively, that were included in the corresponding contract liability balance at the beginning of the period.</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18"/>
          <w:szCs w:val="18"/>
          <w:b w:val="1"/>
          <w:bCs w:val="1"/>
          <w:color w:val="auto"/>
        </w:rPr>
        <w:t>WALKME LTD. AND ITS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 (Cont.)</w:t>
      </w:r>
    </w:p>
    <w:p>
      <w:pPr>
        <w:spacing w:after="0" w:line="256" w:lineRule="exact"/>
        <w:rPr>
          <w:sz w:val="20"/>
          <w:szCs w:val="20"/>
          <w:color w:val="auto"/>
        </w:rPr>
      </w:pPr>
    </w:p>
    <w:p>
      <w:pPr>
        <w:jc w:val="both"/>
        <w:ind w:left="400" w:right="20"/>
        <w:spacing w:after="0" w:line="282" w:lineRule="auto"/>
        <w:rPr>
          <w:sz w:val="20"/>
          <w:szCs w:val="20"/>
          <w:color w:val="auto"/>
        </w:rPr>
      </w:pPr>
      <w:r>
        <w:rPr>
          <w:rFonts w:ascii="Times New Roman" w:cs="Times New Roman" w:eastAsia="Times New Roman" w:hAnsi="Times New Roman"/>
          <w:sz w:val="18"/>
          <w:szCs w:val="18"/>
          <w:color w:val="auto"/>
        </w:rPr>
        <w:t>Deferred revenue that is anticipated to be recognized during the succeeding 12-months period is recorded as current deferred revenue and the remaining portion is recorded as non-current deferred revenue. For disaggregation of revenue please refer to Note 12.</w:t>
      </w:r>
    </w:p>
    <w:p>
      <w:pPr>
        <w:spacing w:after="0" w:line="189" w:lineRule="exact"/>
        <w:rPr>
          <w:sz w:val="20"/>
          <w:szCs w:val="20"/>
          <w:color w:val="auto"/>
        </w:rPr>
      </w:pPr>
    </w:p>
    <w:p>
      <w:pPr>
        <w:jc w:val="both"/>
        <w:ind w:left="400"/>
        <w:spacing w:after="0" w:line="274" w:lineRule="auto"/>
        <w:rPr>
          <w:sz w:val="20"/>
          <w:szCs w:val="20"/>
          <w:color w:val="auto"/>
        </w:rPr>
      </w:pPr>
      <w:r>
        <w:rPr>
          <w:rFonts w:ascii="Times New Roman" w:cs="Times New Roman" w:eastAsia="Times New Roman" w:hAnsi="Times New Roman"/>
          <w:sz w:val="18"/>
          <w:szCs w:val="18"/>
          <w:color w:val="auto"/>
        </w:rPr>
        <w:t>As of December 31, 2022, the total remaining non-cancellable performance obligations under the Company’s contracts with customers was $374,023. Of this amount, the Company expects to recognize revenue of $215,514, or 58%, over the next 12 months, with the remainder to be recognized thereafter.</w:t>
      </w:r>
    </w:p>
    <w:p>
      <w:pPr>
        <w:spacing w:after="0" w:line="182" w:lineRule="exact"/>
        <w:rPr>
          <w:sz w:val="20"/>
          <w:szCs w:val="20"/>
          <w:color w:val="auto"/>
        </w:rPr>
      </w:pPr>
    </w:p>
    <w:p>
      <w:pPr>
        <w:ind w:left="380" w:hanging="372"/>
        <w:spacing w:after="0"/>
        <w:tabs>
          <w:tab w:leader="none" w:pos="3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development costs:</w:t>
      </w:r>
    </w:p>
    <w:p>
      <w:pPr>
        <w:spacing w:after="0" w:line="238" w:lineRule="exact"/>
        <w:rPr>
          <w:rFonts w:ascii="Times New Roman" w:cs="Times New Roman" w:eastAsia="Times New Roman" w:hAnsi="Times New Roman"/>
          <w:sz w:val="18"/>
          <w:szCs w:val="18"/>
          <w:color w:val="auto"/>
        </w:rPr>
      </w:pPr>
    </w:p>
    <w:p>
      <w:pPr>
        <w:jc w:val="both"/>
        <w:ind w:left="400"/>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capitalizes qualifying internal use software development costs related to its cloud platform. The costs consist of personnel costs (including related benefits and share-based compensation) that are incurred during the application development stage. Capitalization of costs begins when two criteria are met: (1) the preliminary project stage is completed, and (2) it is probable that the software will be completed and used for its intended function. Capitalization ceases when the software is substantially complete and ready for its intended use, including the completion of all significant testing. Costs related to preliminary project activities and post implementation operating activities are expensed as incurred. Capitalized costs are included in property and equipment, net. These costs are amortized over the estimated useful life of the software, which is three years, on a straight-line basis, which represents the manner in which the expected benefit will be derived. The amortization of costs related to the platform applications is included in cost of revenue in the consolidated statements of operations.</w:t>
      </w:r>
    </w:p>
    <w:p>
      <w:pPr>
        <w:spacing w:after="0" w:line="210" w:lineRule="exact"/>
        <w:rPr>
          <w:rFonts w:ascii="Times New Roman" w:cs="Times New Roman" w:eastAsia="Times New Roman" w:hAnsi="Times New Roman"/>
          <w:sz w:val="18"/>
          <w:szCs w:val="18"/>
          <w:color w:val="auto"/>
        </w:rPr>
      </w:pPr>
    </w:p>
    <w:p>
      <w:pPr>
        <w:ind w:left="4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evaluates the useful lives of these assets on an annual basis and tests for impairment whenever events or changes in circumstances occur that could impact the recoverability of these assets.</w:t>
      </w:r>
    </w:p>
    <w:p>
      <w:pPr>
        <w:spacing w:after="0" w:line="188" w:lineRule="exact"/>
        <w:rPr>
          <w:rFonts w:ascii="Times New Roman" w:cs="Times New Roman" w:eastAsia="Times New Roman" w:hAnsi="Times New Roman"/>
          <w:sz w:val="18"/>
          <w:szCs w:val="18"/>
          <w:color w:val="auto"/>
        </w:rPr>
      </w:pPr>
    </w:p>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2022, 2021 and 2020 the Company capitalized a total amount of $4,955, $3,912 and $1,530 respectively.</w:t>
      </w:r>
    </w:p>
    <w:p>
      <w:pPr>
        <w:spacing w:after="0" w:line="23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w:t>
      </w:r>
    </w:p>
    <w:p>
      <w:pPr>
        <w:spacing w:after="0" w:line="238" w:lineRule="exact"/>
        <w:rPr>
          <w:rFonts w:ascii="Times New Roman" w:cs="Times New Roman" w:eastAsia="Times New Roman" w:hAnsi="Times New Roman"/>
          <w:sz w:val="18"/>
          <w:szCs w:val="18"/>
          <w:color w:val="auto"/>
        </w:rPr>
      </w:pPr>
    </w:p>
    <w:p>
      <w:pPr>
        <w:jc w:val="both"/>
        <w:ind w:left="400"/>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costs include personnel-related costs associated with the Company’s engineering, data science, product and design teams as well as consulting and professional fees, for third-party development resources, third-party licenses for software development tools and allocated overhead costs. Research and development are generally expensed as incurred except for certain internal-use software development costs, which may be capitalized as noted above.</w:t>
      </w:r>
    </w:p>
    <w:p>
      <w:pPr>
        <w:spacing w:after="0" w:line="18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expenses:</w:t>
      </w:r>
    </w:p>
    <w:p>
      <w:pPr>
        <w:spacing w:after="0" w:line="238" w:lineRule="exact"/>
        <w:rPr>
          <w:rFonts w:ascii="Times New Roman" w:cs="Times New Roman" w:eastAsia="Times New Roman" w:hAnsi="Times New Roman"/>
          <w:sz w:val="18"/>
          <w:szCs w:val="18"/>
          <w:color w:val="auto"/>
        </w:rPr>
      </w:pPr>
    </w:p>
    <w:p>
      <w:pPr>
        <w:ind w:left="4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cost are expensed as incurred. Advertising expense amounted to $15,168, $18,658 and $13,148 for the years ended December 31, 2022, 2021 and 2020, respectively.</w:t>
      </w:r>
    </w:p>
    <w:p>
      <w:pPr>
        <w:spacing w:after="0" w:line="18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and diluted net loss per share:</w:t>
      </w:r>
    </w:p>
    <w:p>
      <w:pPr>
        <w:spacing w:after="0" w:line="225" w:lineRule="exact"/>
        <w:rPr>
          <w:rFonts w:ascii="Times New Roman" w:cs="Times New Roman" w:eastAsia="Times New Roman" w:hAnsi="Times New Roman"/>
          <w:sz w:val="18"/>
          <w:szCs w:val="18"/>
          <w:color w:val="auto"/>
        </w:rPr>
      </w:pPr>
    </w:p>
    <w:p>
      <w:pPr>
        <w:jc w:val="both"/>
        <w:ind w:left="400"/>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and diluted net loss per share is computed based on the weighted-average number of shares of ordinary shares outstanding during each year. Diluted loss per share is computed based on the weighted average number of ordinary shares outstanding during the period, plus dilutive potential shares considered outstanding during the period, in accordance with ASC 260-10. Basic and diluted net loss per share of ordinary shares was the same for each period presented as the inclusion of all potential ordinary shares outstanding was anti-dilutive.</w:t>
      </w:r>
    </w:p>
    <w:p>
      <w:pPr>
        <w:spacing w:after="0" w:line="199" w:lineRule="exact"/>
        <w:rPr>
          <w:sz w:val="20"/>
          <w:szCs w:val="20"/>
          <w:color w:val="auto"/>
        </w:rPr>
      </w:pPr>
    </w:p>
    <w:p>
      <w:pPr>
        <w:ind w:left="380" w:hanging="372"/>
        <w:spacing w:after="0"/>
        <w:tabs>
          <w:tab w:leader="none" w:pos="3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w:t>
      </w:r>
    </w:p>
    <w:p>
      <w:pPr>
        <w:spacing w:after="0" w:line="225" w:lineRule="exact"/>
        <w:rPr>
          <w:rFonts w:ascii="Times New Roman" w:cs="Times New Roman" w:eastAsia="Times New Roman" w:hAnsi="Times New Roman"/>
          <w:sz w:val="18"/>
          <w:szCs w:val="18"/>
          <w:color w:val="auto"/>
        </w:rPr>
      </w:pPr>
    </w:p>
    <w:p>
      <w:pPr>
        <w:jc w:val="both"/>
        <w:ind w:left="400" w:right="20"/>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accounts for share-based compensation in accordance with ASC 718, "Compensation – Stock Compensation" ("ASC 718"), including share options and restricted share units (RSUs) granted to employees, directors, and non-employees, and share purchase rights granted under the Employee Share Purchase Plan (“ESPP”) to employees, based on the estimated fair value of the awards on the date of grant.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8"/>
          <w:szCs w:val="18"/>
          <w:b w:val="1"/>
          <w:bCs w:val="1"/>
          <w:color w:val="auto"/>
        </w:rPr>
        <w:t>WALKME LTD. AND ITS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 (Cont.)</w:t>
      </w:r>
    </w:p>
    <w:p>
      <w:pPr>
        <w:spacing w:after="0" w:line="243" w:lineRule="exact"/>
        <w:rPr>
          <w:sz w:val="20"/>
          <w:szCs w:val="20"/>
          <w:color w:val="auto"/>
        </w:rPr>
      </w:pPr>
    </w:p>
    <w:p>
      <w:pPr>
        <w:jc w:val="both"/>
        <w:ind w:left="400"/>
        <w:spacing w:after="0" w:line="271" w:lineRule="auto"/>
        <w:rPr>
          <w:sz w:val="20"/>
          <w:szCs w:val="20"/>
          <w:color w:val="auto"/>
        </w:rPr>
      </w:pPr>
      <w:r>
        <w:rPr>
          <w:rFonts w:ascii="Times New Roman" w:cs="Times New Roman" w:eastAsia="Times New Roman" w:hAnsi="Times New Roman"/>
          <w:sz w:val="18"/>
          <w:szCs w:val="18"/>
          <w:color w:val="auto"/>
        </w:rPr>
        <w:t>The fair value of each share option granted is estimated using the Black-Scholes option-pricing model and for ESPP awards, the Company uses a Monte Carlo option-pricing model. The determination of the grant-date fair value using an option-pricing model is affected by the fair value of the Company’s ordinary share as well as a number of inputs, of which the most significant are the exercise price, volatility and the expected option term. The fair value of each RSU is based on the fair value of the Company’s ordinary shares on the date of grant.</w:t>
      </w:r>
    </w:p>
    <w:p>
      <w:pPr>
        <w:spacing w:after="0" w:line="186" w:lineRule="exact"/>
        <w:rPr>
          <w:sz w:val="20"/>
          <w:szCs w:val="20"/>
          <w:color w:val="auto"/>
        </w:rPr>
      </w:pPr>
    </w:p>
    <w:p>
      <w:pPr>
        <w:jc w:val="both"/>
        <w:ind w:left="400"/>
        <w:spacing w:after="0" w:line="271" w:lineRule="auto"/>
        <w:rPr>
          <w:sz w:val="20"/>
          <w:szCs w:val="20"/>
          <w:color w:val="auto"/>
        </w:rPr>
      </w:pPr>
      <w:r>
        <w:rPr>
          <w:rFonts w:ascii="Times New Roman" w:cs="Times New Roman" w:eastAsia="Times New Roman" w:hAnsi="Times New Roman"/>
          <w:sz w:val="18"/>
          <w:szCs w:val="18"/>
          <w:color w:val="auto"/>
        </w:rPr>
        <w:t>Share-based compensation is generally recognized on a straight-line basis over the requisite service period and based on the accelerated method for performance-based awards. Some of the awards granted are subject to certain performance criteria: accordingly compensation expense is recognized for such awards when it becomes probable that the related performance condition will be satisfied. Forfeitures are accounted for in the period in which they occur.</w:t>
      </w:r>
    </w:p>
    <w:p>
      <w:pPr>
        <w:spacing w:after="0" w:line="186" w:lineRule="exact"/>
        <w:rPr>
          <w:sz w:val="20"/>
          <w:szCs w:val="20"/>
          <w:color w:val="auto"/>
        </w:rPr>
      </w:pPr>
    </w:p>
    <w:p>
      <w:pPr>
        <w:ind w:left="380" w:hanging="372"/>
        <w:spacing w:after="0"/>
        <w:tabs>
          <w:tab w:leader="none" w:pos="3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pacing w:after="0" w:line="238" w:lineRule="exact"/>
        <w:rPr>
          <w:rFonts w:ascii="Times New Roman" w:cs="Times New Roman" w:eastAsia="Times New Roman" w:hAnsi="Times New Roman"/>
          <w:sz w:val="18"/>
          <w:szCs w:val="18"/>
          <w:color w:val="auto"/>
        </w:rPr>
      </w:pPr>
    </w:p>
    <w:p>
      <w:pPr>
        <w:jc w:val="both"/>
        <w:ind w:left="400"/>
        <w:spacing w:after="0" w:line="27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accounts for income taxes in accordance with ASC 740, "Income Taxes" ("ASC 740"). This standard prescribes the use of the liability method, whereby deferred tax asset and liability accounts balances are determined based on differences between financial reporting and tax bases of assets and liabilities and are measured using the enacted tax rates and laws that will be in effect when the differences are expected to reverse. The Company provides a valuation allowance, if necessary, to reduce deferred tax assets to their estimated realizable value, and if it is more likely than not that some portion of the entire deferred tax asset will not be realized.</w:t>
      </w:r>
    </w:p>
    <w:p>
      <w:pPr>
        <w:spacing w:after="0" w:line="185" w:lineRule="exact"/>
        <w:rPr>
          <w:rFonts w:ascii="Times New Roman" w:cs="Times New Roman" w:eastAsia="Times New Roman" w:hAnsi="Times New Roman"/>
          <w:sz w:val="18"/>
          <w:szCs w:val="18"/>
          <w:color w:val="auto"/>
        </w:rPr>
      </w:pPr>
    </w:p>
    <w:p>
      <w:pPr>
        <w:jc w:val="both"/>
        <w:ind w:left="400"/>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accounts for uncertain tax positions in accordance with the provisions of ASC 740-10, "Income Taxes". Accounting guidance addresses the determination of whether tax benefits claimed or expected to be claimed on a tax return should be recorded in the consolidated financial statements, under which a Company may recognize the tax benefit from an uncertain tax position only if it is more likely than not that the tax position will be sustained on examination by the taxing authorities, based on the technical merits of the position.</w:t>
      </w:r>
    </w:p>
    <w:p>
      <w:pPr>
        <w:spacing w:after="0" w:line="185" w:lineRule="exact"/>
        <w:rPr>
          <w:rFonts w:ascii="Times New Roman" w:cs="Times New Roman" w:eastAsia="Times New Roman" w:hAnsi="Times New Roman"/>
          <w:sz w:val="18"/>
          <w:szCs w:val="18"/>
          <w:color w:val="auto"/>
        </w:rPr>
      </w:pPr>
    </w:p>
    <w:p>
      <w:pPr>
        <w:ind w:left="400"/>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benefits recognized in the consolidated financial statements from such a position should be measured based on the largest benefit that has a greater than fifty percent likelihood of being realized upon ultimate settlement.</w:t>
      </w:r>
    </w:p>
    <w:p>
      <w:pPr>
        <w:spacing w:after="0" w:line="16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Recently adopted accounting pronouncements:</w:t>
      </w:r>
    </w:p>
    <w:p>
      <w:pPr>
        <w:spacing w:after="0" w:line="238" w:lineRule="exact"/>
        <w:rPr>
          <w:rFonts w:ascii="Times New Roman" w:cs="Times New Roman" w:eastAsia="Times New Roman" w:hAnsi="Times New Roman"/>
          <w:sz w:val="18"/>
          <w:szCs w:val="18"/>
          <w:color w:val="auto"/>
        </w:rPr>
      </w:pPr>
    </w:p>
    <w:p>
      <w:pPr>
        <w:jc w:val="both"/>
        <w:ind w:left="400"/>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“emerging growth company”, the Jumpstart Our Business Startups Act (“JOBS Act”) allows the Company to delay adoption of new or revised accounting pronouncements applicable to public companies until such pronouncements are made applicable to private companies. The Company has elected to use this extended transition period under the JOBS Act. The adoption dates discussed below reflect this election.</w:t>
      </w:r>
    </w:p>
    <w:p>
      <w:pPr>
        <w:spacing w:after="0" w:line="195" w:lineRule="exact"/>
        <w:rPr>
          <w:rFonts w:ascii="Times New Roman" w:cs="Times New Roman" w:eastAsia="Times New Roman" w:hAnsi="Times New Roman"/>
          <w:sz w:val="18"/>
          <w:szCs w:val="18"/>
          <w:color w:val="auto"/>
        </w:rPr>
      </w:pPr>
    </w:p>
    <w:p>
      <w:pPr>
        <w:jc w:val="both"/>
        <w:ind w:left="4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2016, the FASB issued ASU No. 2016-02, Leases (ASC 842). The standard requires the recognition of ROU assets and lease liabilities for all leases. The standard requires a modified retrospective transition approach to recognize and measure leases at the initial application. In June 2020, the FASB issued ASU No. 2020-05, Revenue from Contracts with Customers (Topic 606) and Leases (Topic 842): Effective Dates for Certain Entities, which defers the effective date of ASU 2016-02 for non-public entities to fiscal years beginning after December 15, 2021, and interim periods within fiscal years beginning after December 15, 2022.</w:t>
      </w:r>
    </w:p>
    <w:p>
      <w:pPr>
        <w:spacing w:after="0" w:line="202" w:lineRule="exact"/>
        <w:rPr>
          <w:rFonts w:ascii="Times New Roman" w:cs="Times New Roman" w:eastAsia="Times New Roman" w:hAnsi="Times New Roman"/>
          <w:sz w:val="18"/>
          <w:szCs w:val="18"/>
          <w:color w:val="auto"/>
        </w:rPr>
      </w:pPr>
    </w:p>
    <w:p>
      <w:pPr>
        <w:jc w:val="both"/>
        <w:ind w:left="400"/>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adopted the standard as of January 1, 2022, using a modified retrospective transition approach. The Company adopted the ”package of practical expedients”, which permits it not to reassess under the new standard its prior conclusions about lease identification, lease classification and initial direct costs.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18"/>
          <w:szCs w:val="18"/>
          <w:b w:val="1"/>
          <w:bCs w:val="1"/>
          <w:color w:val="auto"/>
        </w:rPr>
        <w:t>WALKME LTD. AND ITS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 (Cont.)</w:t>
      </w:r>
    </w:p>
    <w:p>
      <w:pPr>
        <w:spacing w:after="0" w:line="243" w:lineRule="exact"/>
        <w:rPr>
          <w:sz w:val="20"/>
          <w:szCs w:val="20"/>
          <w:color w:val="auto"/>
        </w:rPr>
      </w:pPr>
    </w:p>
    <w:p>
      <w:pPr>
        <w:jc w:val="both"/>
        <w:ind w:left="400"/>
        <w:spacing w:after="0" w:line="270" w:lineRule="auto"/>
        <w:rPr>
          <w:sz w:val="20"/>
          <w:szCs w:val="20"/>
          <w:color w:val="auto"/>
        </w:rPr>
      </w:pPr>
      <w:r>
        <w:rPr>
          <w:rFonts w:ascii="Times New Roman" w:cs="Times New Roman" w:eastAsia="Times New Roman" w:hAnsi="Times New Roman"/>
          <w:sz w:val="18"/>
          <w:szCs w:val="18"/>
          <w:color w:val="auto"/>
        </w:rPr>
        <w:t>As a result, the consolidated balance sheets as of December 31, 2021 were not restated, continue to be reported under ASC 840, which did not require recognition of operating lease assets and liabilities on the balance sheets, and are not comparative. The adoption of the standard resulted in the recognition of ROU assets and lease liabilities of $13,117 and $14,240, respectively, on January 1, 2022, which included reclassifying deferred rent and rent prepayments as components of the ROU assets. The standard did not have a material impact on the Company's consolidated statements of operations or cash flows.</w:t>
      </w:r>
    </w:p>
    <w:p>
      <w:pPr>
        <w:spacing w:after="0" w:line="186" w:lineRule="exact"/>
        <w:rPr>
          <w:sz w:val="20"/>
          <w:szCs w:val="20"/>
          <w:color w:val="auto"/>
        </w:rPr>
      </w:pPr>
    </w:p>
    <w:p>
      <w:pPr>
        <w:jc w:val="both"/>
        <w:ind w:left="400"/>
        <w:spacing w:after="0" w:line="266" w:lineRule="auto"/>
        <w:rPr>
          <w:sz w:val="20"/>
          <w:szCs w:val="20"/>
          <w:color w:val="auto"/>
        </w:rPr>
      </w:pPr>
      <w:r>
        <w:rPr>
          <w:rFonts w:ascii="Times New Roman" w:cs="Times New Roman" w:eastAsia="Times New Roman" w:hAnsi="Times New Roman"/>
          <w:sz w:val="18"/>
          <w:szCs w:val="18"/>
          <w:color w:val="auto"/>
        </w:rPr>
        <w:t>In December 2019, the FASB issued ASU No. 2019-12, Income Taxes (Topic 740): Simplifying the Accounting for Income Taxes, which simplifies the accounting for income taxes by removing a variety of exceptions within the framework of ASC 740. These exceptions include the exception to the incremental approach for intraperiod tax allocation in the event of a loss from continuing operations and income or a gain from other items (such as other comprehensive income), and the exception to using general methodology for the interim period tax accounting for year-to-date losses that exceed anticipated losses. The standard did not have a material impact on the Company's consolidated statements of operations, financial positions or cash flows.</w:t>
      </w:r>
    </w:p>
    <w:p>
      <w:pPr>
        <w:spacing w:after="0" w:line="190" w:lineRule="exact"/>
        <w:rPr>
          <w:sz w:val="20"/>
          <w:szCs w:val="20"/>
          <w:color w:val="auto"/>
        </w:rPr>
      </w:pPr>
    </w:p>
    <w:p>
      <w:pPr>
        <w:ind w:left="380" w:hanging="372"/>
        <w:spacing w:after="0"/>
        <w:tabs>
          <w:tab w:leader="none" w:pos="3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pronouncements not yet adopted:</w:t>
      </w:r>
    </w:p>
    <w:p>
      <w:pPr>
        <w:spacing w:after="0" w:line="238" w:lineRule="exact"/>
        <w:rPr>
          <w:rFonts w:ascii="Times New Roman" w:cs="Times New Roman" w:eastAsia="Times New Roman" w:hAnsi="Times New Roman"/>
          <w:sz w:val="18"/>
          <w:szCs w:val="18"/>
          <w:color w:val="auto"/>
        </w:rPr>
      </w:pPr>
    </w:p>
    <w:p>
      <w:pPr>
        <w:jc w:val="both"/>
        <w:ind w:left="400"/>
        <w:spacing w:after="0" w:line="27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2016, the FASB issued ASU No. 2016-13, Financial Instruments – Credit Losses (Topic 326): Measurement of Credit Losses on Financial Instruments, which replaces the existing incurred loss impairment model with an expected credit loss model and requires a financial asset measured at amortized cost to be presented at the net amount expected to be collected. The guidance will be effective for the Company beginning January 1, 2023, and interim periods therein. The Company has evaluated the effect of ASU 2016-13 and expects no material impact on the Company’s consolidated financial statements and disclosures.</w:t>
      </w:r>
    </w:p>
    <w:p>
      <w:pPr>
        <w:spacing w:after="0" w:line="16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8"/>
          <w:szCs w:val="18"/>
          <w:b w:val="1"/>
          <w:bCs w:val="1"/>
          <w:color w:val="auto"/>
        </w:rPr>
        <w:t>REDEEMABLE NON-CONTROLLING INTEREST</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2019, the Company entered into an agreement with Japan Cloud Computing, L.P. and M30 LLC (collectively, the “Investors”), which was amended on July 26, 2022, to engage in the investment, organization, management, and operation of the Japanese subsidiary that is focused on the distribution of the Company’s products in Japan. As of December 31, 2022, the Company contributed an aggregate amount of approximately $4,750 in cash in exchange for 51% of the outstanding common stock of the Japanese subsidiary. As of December 31, 2022 and 2021, the Company controls a majority stake in the Japanese subsidiary and as a result, the Company consolidated the Japanese subsidiary and all intercompany accounts have been eliminated.</w:t>
      </w:r>
    </w:p>
    <w:p>
      <w:pPr>
        <w:spacing w:after="0" w:line="19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agreement with the minority investors of the Japanese subsidiary contains redemption features whereby the interest held by the minority investors are redeemable either (i) at the option of the minority investors or (ii) at the option of the Company, both beginning on the eighth anniversary of the initial capital contribution. Should the call or put option be exercised, the redemption value would be determined based on a prescribed formula derived from certain financial performance indicators of the Japanese subsidiary and the Company and may be settled, at the Company’s discretion, with Company shares or cash.</w:t>
      </w:r>
    </w:p>
    <w:p>
      <w:pPr>
        <w:spacing w:after="0" w:line="18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balance of the redeemable non-controlling interest is reported at the greater of the initial carrying amount adjusted for the redeemable non-controlling interest’s share of earnings or losses and other comprehensive income or loss, or its estimated redemption value. The resulting changes in the estimated redemption amount (increases or decreases) are recorded with corresponding adjustments against retained earnings or, in the absence of retained earnings, additional paid-in-capital. Since the share redemption feature does not include a share cap these interests are presented on the consolidated balance sheets outside of permanent equity under the caption “Redeemable non-controlling interest”.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18"/>
          <w:szCs w:val="18"/>
          <w:b w:val="1"/>
          <w:bCs w:val="1"/>
          <w:color w:val="auto"/>
        </w:rPr>
        <w:t>WALKME LTD. AND ITS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REDEEMABLE NON-CONTROLLING INTEREST (Cont.)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in the redeemable non-controlling interests for the period indicated below:</w:t>
      </w:r>
    </w:p>
    <w:p>
      <w:pPr>
        <w:spacing w:after="0" w:line="235"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28575</wp:posOffset>
            </wp:positionV>
            <wp:extent cx="207454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8">
                      <a:extLst>
                        <a:ext uri="{28A0092B-C50C-407E-A947-70E740481C1C}"/>
                      </a:extLst>
                    </a:blip>
                    <a:srcRect/>
                    <a:stretch>
                      <a:fillRect/>
                    </a:stretch>
                  </pic:blipFill>
                  <pic:spPr bwMode="auto">
                    <a:xfrm>
                      <a:off x="0" y="0"/>
                      <a:ext cx="2074545" cy="17145"/>
                    </a:xfrm>
                    <a:prstGeom prst="rect">
                      <a:avLst/>
                    </a:prstGeom>
                    <a:noFill/>
                  </pic:spPr>
                </pic:pic>
              </a:graphicData>
            </a:graphic>
          </wp:anchor>
        </w:drawing>
      </w:r>
    </w:p>
    <w:p>
      <w:pPr>
        <w:spacing w:after="0" w:line="30" w:lineRule="exact"/>
        <w:rPr>
          <w:sz w:val="20"/>
          <w:szCs w:val="20"/>
          <w:color w:val="auto"/>
        </w:rPr>
      </w:pPr>
    </w:p>
    <w:p>
      <w:pPr>
        <w:ind w:left="7100"/>
        <w:spacing w:after="0"/>
        <w:tabs>
          <w:tab w:leader="none" w:pos="8240" w:val="left"/>
          <w:tab w:leader="none" w:pos="9380"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2021</w:t>
      </w:r>
      <w:r>
        <w:rPr>
          <w:sz w:val="20"/>
          <w:szCs w:val="20"/>
          <w:color w:val="auto"/>
        </w:rPr>
        <w:tab/>
      </w:r>
      <w:r>
        <w:rPr>
          <w:rFonts w:ascii="Times New Roman" w:cs="Times New Roman" w:eastAsia="Times New Roman" w:hAnsi="Times New Roman"/>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28575</wp:posOffset>
            </wp:positionV>
            <wp:extent cx="207454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9">
                      <a:extLst>
                        <a:ext uri="{28A0092B-C50C-407E-A947-70E740481C1C}"/>
                      </a:extLst>
                    </a:blip>
                    <a:srcRect/>
                    <a:stretch>
                      <a:fillRect/>
                    </a:stretch>
                  </pic:blipFill>
                  <pic:spPr bwMode="auto">
                    <a:xfrm>
                      <a:off x="0" y="0"/>
                      <a:ext cx="207454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Balance,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-119380</wp:posOffset>
            </wp:positionV>
            <wp:extent cx="6137910" cy="1454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0">
                      <a:extLst>
                        <a:ext uri="{28A0092B-C50C-407E-A947-70E740481C1C}"/>
                      </a:extLst>
                    </a:blip>
                    <a:srcRect/>
                    <a:stretch>
                      <a:fillRect/>
                    </a:stretch>
                  </pic:blipFill>
                  <pic:spPr bwMode="auto">
                    <a:xfrm>
                      <a:off x="0" y="0"/>
                      <a:ext cx="6137910" cy="145415"/>
                    </a:xfrm>
                    <a:prstGeom prst="rect">
                      <a:avLst/>
                    </a:prstGeom>
                    <a:noFill/>
                  </pic:spPr>
                </pic:pic>
              </a:graphicData>
            </a:graphic>
          </wp:anchor>
        </w:drawing>
      </w:r>
    </w:p>
    <w:p>
      <w:pPr>
        <w:spacing w:after="0" w:line="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Investment by redeemable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22860</wp:posOffset>
            </wp:positionV>
            <wp:extent cx="6137910" cy="1625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1">
                      <a:extLst>
                        <a:ext uri="{28A0092B-C50C-407E-A947-70E740481C1C}"/>
                      </a:extLst>
                    </a:blip>
                    <a:srcRect/>
                    <a:stretch>
                      <a:fillRect/>
                    </a:stretch>
                  </pic:blipFill>
                  <pic:spPr bwMode="auto">
                    <a:xfrm>
                      <a:off x="0" y="0"/>
                      <a:ext cx="6137910" cy="162560"/>
                    </a:xfrm>
                    <a:prstGeom prst="rect">
                      <a:avLst/>
                    </a:prstGeom>
                    <a:noFill/>
                  </pic:spPr>
                </pic:pic>
              </a:graphicData>
            </a:graphic>
          </wp:anchor>
        </w:drawing>
      </w:r>
    </w:p>
    <w:p>
      <w:pPr>
        <w:spacing w:after="0" w:line="25" w:lineRule="exact"/>
        <w:rPr>
          <w:sz w:val="20"/>
          <w:szCs w:val="20"/>
          <w:color w:val="auto"/>
        </w:rPr>
      </w:pPr>
    </w:p>
    <w:p>
      <w:pPr>
        <w:ind w:left="640" w:right="1180"/>
        <w:spacing w:after="0" w:line="287" w:lineRule="auto"/>
        <w:rPr>
          <w:sz w:val="20"/>
          <w:szCs w:val="20"/>
          <w:color w:val="auto"/>
        </w:rPr>
      </w:pPr>
      <w:r>
        <w:rPr>
          <w:rFonts w:ascii="Times New Roman" w:cs="Times New Roman" w:eastAsia="Times New Roman" w:hAnsi="Times New Roman"/>
          <w:sz w:val="18"/>
          <w:szCs w:val="18"/>
          <w:color w:val="auto"/>
        </w:rPr>
        <w:t>Net loss attributable to redeemable non-controlling interest Adjustment to redeemable non-controlling interest</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23,901</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8,647</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w:t>
            </w:r>
          </w:p>
        </w:tc>
      </w:tr>
      <w:tr>
        <w:trPr>
          <w:trHeight w:val="234"/>
        </w:trPr>
        <w:tc>
          <w:tcPr>
            <w:tcW w:w="26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w:t>
            </w:r>
          </w:p>
        </w:tc>
      </w:tr>
      <w:tr>
        <w:trPr>
          <w:trHeight w:val="252"/>
        </w:trPr>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w:t>
            </w:r>
          </w:p>
        </w:tc>
      </w:tr>
      <w:tr>
        <w:trPr>
          <w:trHeight w:val="232"/>
        </w:trPr>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(14,979)</w:t>
            </w:r>
          </w:p>
        </w:tc>
        <w:tc>
          <w:tcPr>
            <w:tcW w:w="34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16,689</w:t>
            </w: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5,487</w:t>
            </w:r>
          </w:p>
        </w:tc>
      </w:tr>
    </w:tbl>
    <w:p>
      <w:pPr>
        <w:spacing w:after="0" w:line="20" w:lineRule="exact"/>
        <w:rPr>
          <w:sz w:val="20"/>
          <w:szCs w:val="20"/>
          <w:color w:val="auto"/>
        </w:rPr>
      </w:pPr>
    </w:p>
    <w:p>
      <w:pPr>
        <w:sectPr>
          <w:pgSz w:w="11900" w:h="16838" w:orient="portrait"/>
          <w:cols w:equalWidth="0" w:num="2">
            <w:col w:w="6080" w:space="720"/>
            <w:col w:w="444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11"/>
        </w:trPr>
        <w:tc>
          <w:tcPr>
            <w:tcW w:w="500" w:type="dxa"/>
            <w:vAlign w:val="bottom"/>
          </w:tcPr>
          <w:p>
            <w:pPr>
              <w:spacing w:after="0"/>
              <w:rPr>
                <w:sz w:val="18"/>
                <w:szCs w:val="18"/>
                <w:color w:val="auto"/>
              </w:rPr>
            </w:pPr>
          </w:p>
        </w:tc>
        <w:tc>
          <w:tcPr>
            <w:tcW w:w="4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(266)</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26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0" w:type="dxa"/>
            <w:vAlign w:val="bottom"/>
          </w:tcPr>
          <w:p>
            <w:pPr>
              <w:spacing w:after="0"/>
              <w:rPr>
                <w:sz w:val="19"/>
                <w:szCs w:val="19"/>
                <w:color w:val="auto"/>
              </w:rPr>
            </w:pPr>
          </w:p>
        </w:tc>
        <w:tc>
          <w:tcPr>
            <w:tcW w:w="4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Balance, end of period</w:t>
            </w:r>
          </w:p>
        </w:tc>
        <w:tc>
          <w:tcPr>
            <w:tcW w:w="1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8,080</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23,901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8,647</w:t>
            </w:r>
          </w:p>
        </w:tc>
        <w:tc>
          <w:tcPr>
            <w:tcW w:w="0" w:type="dxa"/>
            <w:vAlign w:val="bottom"/>
          </w:tcPr>
          <w:p>
            <w:pPr>
              <w:spacing w:after="0"/>
              <w:rPr>
                <w:sz w:val="1"/>
                <w:szCs w:val="1"/>
                <w:color w:val="auto"/>
              </w:rPr>
            </w:pPr>
          </w:p>
        </w:tc>
      </w:tr>
      <w:tr>
        <w:trPr>
          <w:trHeight w:val="21"/>
        </w:trPr>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4:</w:t>
            </w:r>
          </w:p>
        </w:tc>
        <w:tc>
          <w:tcPr>
            <w:tcW w:w="42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1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940" w:type="dxa"/>
            <w:vAlign w:val="bottom"/>
            <w:gridSpan w:val="2"/>
            <w:vMerge w:val="continue"/>
          </w:tcPr>
          <w:p>
            <w:pPr>
              <w:spacing w:after="0"/>
              <w:rPr>
                <w:sz w:val="24"/>
                <w:szCs w:val="24"/>
                <w:color w:val="auto"/>
              </w:rPr>
            </w:pPr>
          </w:p>
        </w:tc>
        <w:tc>
          <w:tcPr>
            <w:tcW w:w="426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 summarize the amortized cost, unrealized gains and losses, and fair value of available-for-sale marketable securities as of December 31, 2022. As of December 31, 2021 the Company did not hold any marketable securities.</w:t>
      </w:r>
    </w:p>
    <w:p>
      <w:pPr>
        <w:spacing w:after="0" w:line="158" w:lineRule="exact"/>
        <w:rPr>
          <w:sz w:val="20"/>
          <w:szCs w:val="20"/>
          <w:color w:val="auto"/>
        </w:rPr>
      </w:pPr>
    </w:p>
    <w:tbl>
      <w:tblPr>
        <w:tblLayout w:type="fixed"/>
        <w:tblInd w:w="500" w:type="dxa"/>
        <w:tblCellMar>
          <w:top w:w="0" w:type="dxa"/>
          <w:left w:w="0" w:type="dxa"/>
          <w:bottom w:w="0" w:type="dxa"/>
          <w:right w:w="0" w:type="dxa"/>
        </w:tblCellMar>
      </w:tblPr>
      <w:tr>
        <w:trPr>
          <w:trHeight w:val="245"/>
        </w:trPr>
        <w:tc>
          <w:tcPr>
            <w:tcW w:w="5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8"/>
        </w:trPr>
        <w:tc>
          <w:tcPr>
            <w:tcW w:w="5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60"/>
              <w:spacing w:after="0" w:line="198" w:lineRule="exact"/>
              <w:rPr>
                <w:sz w:val="20"/>
                <w:szCs w:val="20"/>
                <w:color w:val="auto"/>
              </w:rPr>
            </w:pPr>
            <w:r>
              <w:rPr>
                <w:rFonts w:ascii="Times New Roman" w:cs="Times New Roman" w:eastAsia="Times New Roman" w:hAnsi="Times New Roman"/>
                <w:sz w:val="18"/>
                <w:szCs w:val="18"/>
                <w:color w:val="auto"/>
                <w:w w:val="99"/>
              </w:rPr>
              <w:t>Gross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Gross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Amortized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8"/>
              </w:rPr>
              <w:t>unrealized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unrealized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cost</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losses</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gains</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9"/>
              </w:rPr>
              <w:t>Fair Value</w:t>
            </w:r>
          </w:p>
        </w:tc>
        <w:tc>
          <w:tcPr>
            <w:tcW w:w="100" w:type="dxa"/>
            <w:vAlign w:val="bottom"/>
          </w:tcPr>
          <w:p>
            <w:pPr>
              <w:spacing w:after="0"/>
              <w:rPr>
                <w:sz w:val="20"/>
                <w:szCs w:val="20"/>
                <w:color w:val="auto"/>
              </w:rPr>
            </w:pPr>
          </w:p>
        </w:tc>
      </w:tr>
      <w:tr>
        <w:trPr>
          <w:trHeight w:val="216"/>
        </w:trPr>
        <w:tc>
          <w:tcPr>
            <w:tcW w:w="5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r>
      <w:tr>
        <w:trPr>
          <w:trHeight w:val="216"/>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Treasuries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68,084</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68,106</w:t>
            </w:r>
          </w:p>
        </w:tc>
      </w:tr>
      <w:tr>
        <w:trPr>
          <w:trHeight w:val="216"/>
        </w:trPr>
        <w:tc>
          <w:tcPr>
            <w:tcW w:w="51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U.S. Government Agencies</w:t>
            </w:r>
          </w:p>
        </w:tc>
        <w:tc>
          <w:tcPr>
            <w:tcW w:w="140" w:type="dxa"/>
            <w:vAlign w:val="bottom"/>
          </w:tcPr>
          <w:p>
            <w:pPr>
              <w:spacing w:after="0"/>
              <w:rPr>
                <w:sz w:val="18"/>
                <w:szCs w:val="18"/>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17,426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17,415</w:t>
            </w:r>
          </w:p>
        </w:tc>
      </w:tr>
      <w:tr>
        <w:trPr>
          <w:trHeight w:val="20"/>
        </w:trPr>
        <w:tc>
          <w:tcPr>
            <w:tcW w:w="5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r>
      <w:tr>
        <w:trPr>
          <w:trHeight w:val="216"/>
        </w:trPr>
        <w:tc>
          <w:tcPr>
            <w:tcW w:w="51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85,510</w:t>
            </w:r>
          </w:p>
        </w:tc>
        <w:tc>
          <w:tcPr>
            <w:tcW w:w="100" w:type="dxa"/>
            <w:vAlign w:val="bottom"/>
          </w:tcPr>
          <w:p>
            <w:pPr>
              <w:spacing w:after="0"/>
              <w:rPr>
                <w:sz w:val="18"/>
                <w:szCs w:val="18"/>
                <w:color w:val="auto"/>
              </w:rPr>
            </w:pPr>
          </w:p>
        </w:tc>
        <w:tc>
          <w:tcPr>
            <w:tcW w:w="22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24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22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85,521</w:t>
            </w:r>
          </w:p>
        </w:tc>
      </w:tr>
      <w:tr>
        <w:trPr>
          <w:trHeight w:val="20"/>
        </w:trPr>
        <w:tc>
          <w:tcPr>
            <w:tcW w:w="5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amortized cost and fair value of available-for-sale marketable securities as of December 31, 2022 by contractual years-to maturity: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00" w:type="dxa"/>
            <w:vAlign w:val="bottom"/>
            <w:gridSpan w:val="6"/>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As of December 31, 2022</w:t>
            </w:r>
          </w:p>
        </w:tc>
        <w:tc>
          <w:tcPr>
            <w:tcW w:w="1080" w:type="dxa"/>
            <w:vAlign w:val="bottom"/>
          </w:tcPr>
          <w:p>
            <w:pPr>
              <w:spacing w:after="0"/>
              <w:rPr>
                <w:sz w:val="21"/>
                <w:szCs w:val="21"/>
                <w:color w:val="auto"/>
              </w:rPr>
            </w:pPr>
          </w:p>
        </w:tc>
      </w:tr>
      <w:tr>
        <w:trPr>
          <w:trHeight w:val="194"/>
        </w:trPr>
        <w:tc>
          <w:tcPr>
            <w:tcW w:w="50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060" w:type="dxa"/>
            <w:vAlign w:val="bottom"/>
            <w:tcBorders>
              <w:top w:val="single" w:sz="8" w:color="auto"/>
            </w:tcBorders>
            <w:gridSpan w:val="3"/>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Amortized</w:t>
            </w:r>
          </w:p>
        </w:tc>
        <w:tc>
          <w:tcPr>
            <w:tcW w:w="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5"/>
        </w:trPr>
        <w:tc>
          <w:tcPr>
            <w:tcW w:w="5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16"/>
        </w:trPr>
        <w:tc>
          <w:tcPr>
            <w:tcW w:w="5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3920" w:type="dxa"/>
            <w:vAlign w:val="bottom"/>
            <w:gridSpan w:val="2"/>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3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42,214</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42,187</w:t>
            </w:r>
          </w:p>
        </w:tc>
        <w:tc>
          <w:tcPr>
            <w:tcW w:w="10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Due between one and three years</w:t>
            </w:r>
          </w:p>
        </w:tc>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43,296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43,334</w:t>
            </w:r>
          </w:p>
        </w:tc>
        <w:tc>
          <w:tcPr>
            <w:tcW w:w="1080" w:type="dxa"/>
            <w:vAlign w:val="bottom"/>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3920" w:type="dxa"/>
            <w:vAlign w:val="bottom"/>
            <w:gridSpan w:val="2"/>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780" w:type="dxa"/>
            <w:vAlign w:val="bottom"/>
            <w:gridSpan w:val="2"/>
            <w:shd w:val="clear" w:color="auto" w:fill="CCEEFF"/>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39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85,510</w:t>
            </w:r>
          </w:p>
        </w:tc>
        <w:tc>
          <w:tcPr>
            <w:tcW w:w="100" w:type="dxa"/>
            <w:vAlign w:val="bottom"/>
          </w:tcPr>
          <w:p>
            <w:pPr>
              <w:spacing w:after="0"/>
              <w:rPr>
                <w:sz w:val="18"/>
                <w:szCs w:val="18"/>
                <w:color w:val="auto"/>
              </w:rPr>
            </w:pPr>
          </w:p>
        </w:tc>
        <w:tc>
          <w:tcPr>
            <w:tcW w:w="360" w:type="dxa"/>
            <w:vAlign w:val="bottom"/>
            <w:gridSpan w:val="2"/>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85,521</w:t>
            </w:r>
          </w:p>
        </w:tc>
        <w:tc>
          <w:tcPr>
            <w:tcW w:w="1080" w:type="dxa"/>
            <w:vAlign w:val="bottom"/>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601"/>
        </w:trPr>
        <w:tc>
          <w:tcPr>
            <w:tcW w:w="5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920" w:type="dxa"/>
            <w:vAlign w:val="bottom"/>
            <w:gridSpan w:val="2"/>
          </w:tcPr>
          <w:p>
            <w:pPr>
              <w:jc w:val="right"/>
              <w:ind w:right="2130"/>
              <w:spacing w:after="0"/>
              <w:rPr>
                <w:sz w:val="20"/>
                <w:szCs w:val="20"/>
                <w:color w:val="auto"/>
              </w:rPr>
            </w:pPr>
            <w:r>
              <w:rPr>
                <w:rFonts w:ascii="Times New Roman" w:cs="Times New Roman" w:eastAsia="Times New Roman" w:hAnsi="Times New Roman"/>
                <w:sz w:val="18"/>
                <w:szCs w:val="18"/>
                <w:color w:val="auto"/>
              </w:rPr>
              <w:t>F - 19</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61"/>
        </w:trPr>
        <w:tc>
          <w:tcPr>
            <w:tcW w:w="500" w:type="dxa"/>
            <w:vAlign w:val="bottom"/>
            <w:tcBorders>
              <w:bottom w:val="single" w:sz="8" w:color="auto"/>
            </w:tcBorders>
          </w:tcPr>
          <w:p>
            <w:pPr>
              <w:spacing w:after="0"/>
              <w:rPr>
                <w:sz w:val="5"/>
                <w:szCs w:val="5"/>
                <w:color w:val="auto"/>
              </w:rPr>
            </w:pPr>
          </w:p>
        </w:tc>
        <w:tc>
          <w:tcPr>
            <w:tcW w:w="3640" w:type="dxa"/>
            <w:vAlign w:val="bottom"/>
            <w:tcBorders>
              <w:bottom w:val="single" w:sz="8" w:color="auto"/>
            </w:tcBorders>
          </w:tcPr>
          <w:p>
            <w:pPr>
              <w:spacing w:after="0"/>
              <w:rPr>
                <w:sz w:val="5"/>
                <w:szCs w:val="5"/>
                <w:color w:val="auto"/>
              </w:rPr>
            </w:pPr>
          </w:p>
        </w:tc>
        <w:tc>
          <w:tcPr>
            <w:tcW w:w="38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17" w:right="339" w:bottom="1440" w:gutter="0" w:footer="0" w:header="0"/>
          <w:type w:val="continuous"/>
        </w:sectPr>
      </w:pPr>
    </w:p>
    <w:bookmarkStart w:id="178" w:name="page179"/>
    <w:bookmarkEnd w:id="178"/>
    <w:p>
      <w:pPr>
        <w:jc w:val="right"/>
        <w:spacing w:after="0"/>
        <w:rPr>
          <w:sz w:val="20"/>
          <w:szCs w:val="20"/>
          <w:color w:val="auto"/>
        </w:rPr>
      </w:pPr>
      <w:r>
        <w:rPr>
          <w:rFonts w:ascii="Times New Roman" w:cs="Times New Roman" w:eastAsia="Times New Roman" w:hAnsi="Times New Roman"/>
          <w:sz w:val="18"/>
          <w:szCs w:val="18"/>
          <w:b w:val="1"/>
          <w:bCs w:val="1"/>
          <w:color w:val="auto"/>
        </w:rPr>
        <w:t>WALKME LTD. AND ITS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5:</w:t>
            </w:r>
          </w:p>
        </w:tc>
        <w:tc>
          <w:tcPr>
            <w:tcW w:w="53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79"/>
        </w:trPr>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30"/>
        </w:trPr>
        <w:tc>
          <w:tcPr>
            <w:tcW w:w="500" w:type="dxa"/>
            <w:vAlign w:val="bottom"/>
          </w:tcPr>
          <w:p>
            <w:pPr>
              <w:spacing w:after="0"/>
              <w:rPr>
                <w:sz w:val="19"/>
                <w:szCs w:val="19"/>
                <w:color w:val="auto"/>
              </w:rPr>
            </w:pPr>
          </w:p>
        </w:tc>
        <w:tc>
          <w:tcPr>
            <w:tcW w:w="5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w:t>
            </w:r>
          </w:p>
        </w:tc>
        <w:tc>
          <w:tcPr>
            <w:tcW w:w="1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080" w:type="dxa"/>
            <w:vAlign w:val="bottom"/>
            <w:gridSpan w:val="2"/>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r>
      <w:tr>
        <w:trPr>
          <w:trHeight w:val="229"/>
        </w:trPr>
        <w:tc>
          <w:tcPr>
            <w:tcW w:w="5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Software, computers and peripheral equipment</w:t>
            </w:r>
          </w:p>
        </w:tc>
        <w:tc>
          <w:tcPr>
            <w:tcW w:w="2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8,378</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6,388</w:t>
            </w:r>
          </w:p>
        </w:tc>
      </w:tr>
      <w:tr>
        <w:trPr>
          <w:trHeight w:val="230"/>
        </w:trPr>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887</w:t>
            </w:r>
          </w:p>
        </w:tc>
        <w:tc>
          <w:tcPr>
            <w:tcW w:w="2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883</w:t>
            </w:r>
          </w:p>
        </w:tc>
      </w:tr>
      <w:tr>
        <w:trPr>
          <w:trHeight w:val="229"/>
        </w:trPr>
        <w:tc>
          <w:tcPr>
            <w:tcW w:w="5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Capitalized development costs</w:t>
            </w:r>
          </w:p>
        </w:tc>
        <w:tc>
          <w:tcPr>
            <w:tcW w:w="1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18,750</w:t>
            </w: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13,795</w:t>
            </w:r>
          </w:p>
        </w:tc>
      </w:tr>
      <w:tr>
        <w:trPr>
          <w:trHeight w:val="237"/>
        </w:trPr>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Leasehold improvements</w:t>
            </w:r>
          </w:p>
        </w:tc>
        <w:tc>
          <w:tcPr>
            <w:tcW w:w="1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3,999</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3,971</w:t>
            </w:r>
          </w:p>
        </w:tc>
      </w:tr>
      <w:tr>
        <w:trPr>
          <w:trHeight w:val="229"/>
        </w:trPr>
        <w:tc>
          <w:tcPr>
            <w:tcW w:w="5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3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32,014</w:t>
            </w:r>
          </w:p>
        </w:tc>
        <w:tc>
          <w:tcPr>
            <w:tcW w:w="180" w:type="dxa"/>
            <w:vAlign w:val="bottom"/>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25,037</w:t>
            </w:r>
          </w:p>
        </w:tc>
        <w:tc>
          <w:tcPr>
            <w:tcW w:w="100" w:type="dxa"/>
            <w:vAlign w:val="bottom"/>
            <w:shd w:val="clear" w:color="auto" w:fill="CCEEFF"/>
          </w:tcPr>
          <w:p>
            <w:pPr>
              <w:spacing w:after="0"/>
              <w:rPr>
                <w:sz w:val="19"/>
                <w:szCs w:val="19"/>
                <w:color w:val="auto"/>
              </w:rPr>
            </w:pPr>
          </w:p>
        </w:tc>
      </w:tr>
      <w:tr>
        <w:trPr>
          <w:trHeight w:val="216"/>
        </w:trPr>
        <w:tc>
          <w:tcPr>
            <w:tcW w:w="500" w:type="dxa"/>
            <w:vAlign w:val="bottom"/>
          </w:tcPr>
          <w:p>
            <w:pPr>
              <w:spacing w:after="0"/>
              <w:rPr>
                <w:sz w:val="18"/>
                <w:szCs w:val="18"/>
                <w:color w:val="auto"/>
              </w:rPr>
            </w:pPr>
          </w:p>
        </w:tc>
        <w:tc>
          <w:tcPr>
            <w:tcW w:w="5580" w:type="dxa"/>
            <w:vAlign w:val="bottom"/>
            <w:gridSpan w:val="2"/>
          </w:tcPr>
          <w:p>
            <w:pPr>
              <w:spacing w:after="0"/>
              <w:rPr>
                <w:sz w:val="18"/>
                <w:szCs w:val="18"/>
                <w:color w:val="auto"/>
              </w:rPr>
            </w:pPr>
          </w:p>
        </w:tc>
        <w:tc>
          <w:tcPr>
            <w:tcW w:w="1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r>
      <w:tr>
        <w:trPr>
          <w:trHeight w:val="237"/>
        </w:trPr>
        <w:tc>
          <w:tcPr>
            <w:tcW w:w="500" w:type="dxa"/>
            <w:vAlign w:val="bottom"/>
          </w:tcPr>
          <w:p>
            <w:pPr>
              <w:spacing w:after="0"/>
              <w:rPr>
                <w:sz w:val="20"/>
                <w:szCs w:val="20"/>
                <w:color w:val="auto"/>
              </w:rPr>
            </w:pPr>
          </w:p>
        </w:tc>
        <w:tc>
          <w:tcPr>
            <w:tcW w:w="5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18,746</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14,152</w:t>
            </w:r>
          </w:p>
        </w:tc>
      </w:tr>
      <w:tr>
        <w:trPr>
          <w:trHeight w:val="216"/>
        </w:trPr>
        <w:tc>
          <w:tcPr>
            <w:tcW w:w="500" w:type="dxa"/>
            <w:vAlign w:val="bottom"/>
          </w:tcPr>
          <w:p>
            <w:pPr>
              <w:spacing w:after="0"/>
              <w:rPr>
                <w:sz w:val="18"/>
                <w:szCs w:val="18"/>
                <w:color w:val="auto"/>
              </w:rPr>
            </w:pPr>
          </w:p>
        </w:tc>
        <w:tc>
          <w:tcPr>
            <w:tcW w:w="5580" w:type="dxa"/>
            <w:vAlign w:val="bottom"/>
            <w:tcBorders>
              <w:top w:val="single" w:sz="8" w:color="CCEEFF"/>
            </w:tcBorders>
            <w:gridSpan w:val="2"/>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0"/>
        </w:trPr>
        <w:tc>
          <w:tcPr>
            <w:tcW w:w="500" w:type="dxa"/>
            <w:vAlign w:val="bottom"/>
          </w:tcPr>
          <w:p>
            <w:pPr>
              <w:spacing w:after="0"/>
              <w:rPr>
                <w:sz w:val="21"/>
                <w:szCs w:val="21"/>
                <w:color w:val="auto"/>
              </w:rPr>
            </w:pPr>
          </w:p>
        </w:tc>
        <w:tc>
          <w:tcPr>
            <w:tcW w:w="5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Depreciated cost</w:t>
            </w:r>
          </w:p>
        </w:tc>
        <w:tc>
          <w:tcPr>
            <w:tcW w:w="2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13,268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10,885</w:t>
            </w:r>
          </w:p>
        </w:tc>
      </w:tr>
      <w:tr>
        <w:trPr>
          <w:trHeight w:val="20"/>
        </w:trPr>
        <w:tc>
          <w:tcPr>
            <w:tcW w:w="500" w:type="dxa"/>
            <w:vAlign w:val="bottom"/>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32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expenses were $5,165, $4,478 and $4,666 for the years ended December 31, 2022, 2021 and 2020 respectively.</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2022 and 2021, the Company recorded a reduction of $576 and $753 respectively, to the cost and accumulated depreciation of fully depreciated equipment and leasehold improvements no longer in use, following an assessment made by the Company.</w:t>
      </w:r>
    </w:p>
    <w:p>
      <w:pPr>
        <w:spacing w:after="0" w:line="185"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NOTE 6:</w:t>
      </w:r>
      <w:r>
        <w:rPr>
          <w:sz w:val="20"/>
          <w:szCs w:val="20"/>
          <w:color w:val="auto"/>
        </w:rPr>
        <w:tab/>
      </w:r>
      <w:r>
        <w:rPr>
          <w:rFonts w:ascii="Times New Roman" w:cs="Times New Roman" w:eastAsia="Times New Roman" w:hAnsi="Times New Roman"/>
          <w:sz w:val="17"/>
          <w:szCs w:val="17"/>
          <w:b w:val="1"/>
          <w:bCs w:val="1"/>
          <w:color w:val="auto"/>
        </w:rPr>
        <w:t>INTANGIBLE ASSETS, NET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of developed technologies:</w:t>
      </w:r>
    </w:p>
    <w:p>
      <w:pPr>
        <w:spacing w:after="0" w:line="23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On April 15, 2021, the Company acquired the technology of Snow-White Labs Ltd. (“Zest”) for a total consideration of $808 consisted from the issuance of 33,150 Company’s ordinary shares with fair value of $776 and the remaining amount was allocated to direct acquisition costs.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4, 2021, the Company acquired the technology of Simpo Ltd. (“Simpo”) for a total consideration of $1,306 in cash.</w:t>
      </w:r>
    </w:p>
    <w:p>
      <w:pPr>
        <w:spacing w:after="0" w:line="23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Both acquisitions were accounted as an asset acquisition in accordance with ASC 805 as substantially all of the fair value of the gross assets acquired is concentrated in a single identifiable asset. The purchase price was allocated to the developed technology acquired with an estimated useful life of three years.</w:t>
      </w:r>
    </w:p>
    <w:p>
      <w:pPr>
        <w:spacing w:after="0" w:line="173" w:lineRule="exact"/>
        <w:rPr>
          <w:sz w:val="20"/>
          <w:szCs w:val="20"/>
          <w:color w:val="auto"/>
        </w:rPr>
      </w:pPr>
    </w:p>
    <w:tbl>
      <w:tblPr>
        <w:tblLayout w:type="fixed"/>
        <w:tblInd w:w="500" w:type="dxa"/>
        <w:tblCellMar>
          <w:top w:w="0" w:type="dxa"/>
          <w:left w:w="0" w:type="dxa"/>
          <w:bottom w:w="0" w:type="dxa"/>
          <w:right w:w="0" w:type="dxa"/>
        </w:tblCellMar>
      </w:tblPr>
      <w:tr>
        <w:trPr>
          <w:trHeight w:val="259"/>
        </w:trPr>
        <w:tc>
          <w:tcPr>
            <w:tcW w:w="536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53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5360" w:type="dxa"/>
            <w:vAlign w:val="bottom"/>
          </w:tcPr>
          <w:p>
            <w:pPr>
              <w:spacing w:after="0"/>
              <w:rPr>
                <w:sz w:val="18"/>
                <w:szCs w:val="18"/>
                <w:color w:val="auto"/>
              </w:rPr>
            </w:pPr>
          </w:p>
        </w:tc>
        <w:tc>
          <w:tcPr>
            <w:tcW w:w="230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r>
      <w:tr>
        <w:trPr>
          <w:trHeight w:val="236"/>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Acquired technology</w:t>
            </w:r>
          </w:p>
        </w:tc>
        <w:tc>
          <w:tcPr>
            <w:tcW w:w="2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3,004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3,004</w:t>
            </w:r>
          </w:p>
        </w:tc>
      </w:tr>
      <w:tr>
        <w:trPr>
          <w:trHeight w:val="216"/>
        </w:trPr>
        <w:tc>
          <w:tcPr>
            <w:tcW w:w="53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amortization and Impairment</w:t>
            </w:r>
          </w:p>
        </w:tc>
        <w:tc>
          <w:tcPr>
            <w:tcW w:w="2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1,189</w:t>
            </w:r>
          </w:p>
        </w:tc>
      </w:tr>
      <w:tr>
        <w:trPr>
          <w:trHeight w:val="216"/>
        </w:trPr>
        <w:tc>
          <w:tcPr>
            <w:tcW w:w="53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0"/>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Depreciated cost</w:t>
            </w:r>
          </w:p>
        </w:tc>
        <w:tc>
          <w:tcPr>
            <w:tcW w:w="2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1,815</w:t>
            </w:r>
          </w:p>
        </w:tc>
      </w:tr>
      <w:tr>
        <w:trPr>
          <w:trHeight w:val="20"/>
        </w:trPr>
        <w:tc>
          <w:tcPr>
            <w:tcW w:w="536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December 31, 2022, the weighted-average remaining useful life of the technology was 1.3 years. The Company recorded $487, $299 and $44 of amortization expense during the years ended December 31, 2022, 2021 and 2020,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2022 the Company recorded an impairment in the amount of $979 related to abandoned technology.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18"/>
          <w:szCs w:val="18"/>
          <w:b w:val="1"/>
          <w:bCs w:val="1"/>
          <w:color w:val="auto"/>
        </w:rPr>
        <w:t>WALKME LTD. AND ITS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9"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NOTE 6:</w:t>
      </w:r>
      <w:r>
        <w:rPr>
          <w:sz w:val="20"/>
          <w:szCs w:val="20"/>
          <w:color w:val="auto"/>
        </w:rPr>
        <w:tab/>
      </w:r>
      <w:r>
        <w:rPr>
          <w:rFonts w:ascii="Times New Roman" w:cs="Times New Roman" w:eastAsia="Times New Roman" w:hAnsi="Times New Roman"/>
          <w:sz w:val="17"/>
          <w:szCs w:val="17"/>
          <w:b w:val="1"/>
          <w:bCs w:val="1"/>
          <w:color w:val="auto"/>
        </w:rPr>
        <w:t>INTANGIBLE ASSETS, NET (Cont.)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future amortization expense related to acquired technology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Future</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80" w:type="dxa"/>
            <w:vAlign w:val="bottom"/>
            <w:gridSpan w:val="4"/>
          </w:tcPr>
          <w:p>
            <w:pPr>
              <w:ind w:left="7960"/>
              <w:spacing w:after="0"/>
              <w:rPr>
                <w:sz w:val="20"/>
                <w:szCs w:val="20"/>
                <w:color w:val="auto"/>
              </w:rPr>
            </w:pPr>
            <w:r>
              <w:rPr>
                <w:rFonts w:ascii="Times New Roman" w:cs="Times New Roman" w:eastAsia="Times New Roman" w:hAnsi="Times New Roman"/>
                <w:sz w:val="18"/>
                <w:szCs w:val="18"/>
                <w:b w:val="1"/>
                <w:bCs w:val="1"/>
                <w:color w:val="auto"/>
              </w:rPr>
              <w:t>Amortization</w:t>
            </w:r>
          </w:p>
        </w:tc>
      </w:tr>
      <w:tr>
        <w:trPr>
          <w:trHeight w:val="259"/>
        </w:trPr>
        <w:tc>
          <w:tcPr>
            <w:tcW w:w="500" w:type="dxa"/>
            <w:vAlign w:val="bottom"/>
          </w:tcPr>
          <w:p>
            <w:pPr>
              <w:spacing w:after="0"/>
              <w:rPr>
                <w:sz w:val="22"/>
                <w:szCs w:val="22"/>
                <w:color w:val="auto"/>
              </w:rPr>
            </w:pPr>
          </w:p>
        </w:tc>
        <w:tc>
          <w:tcPr>
            <w:tcW w:w="86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expenses</w:t>
            </w:r>
          </w:p>
        </w:tc>
      </w:tr>
      <w:tr>
        <w:trPr>
          <w:trHeight w:val="243"/>
        </w:trPr>
        <w:tc>
          <w:tcPr>
            <w:tcW w:w="500" w:type="dxa"/>
            <w:vAlign w:val="bottom"/>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7960" w:type="dxa"/>
            <w:vAlign w:val="bottom"/>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21"/>
                <w:szCs w:val="21"/>
                <w:color w:val="auto"/>
              </w:rPr>
            </w:pPr>
          </w:p>
        </w:tc>
      </w:tr>
      <w:tr>
        <w:trPr>
          <w:trHeight w:val="250"/>
        </w:trPr>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79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1"/>
                <w:szCs w:val="21"/>
                <w:color w:val="auto"/>
              </w:rPr>
            </w:pPr>
          </w:p>
        </w:tc>
      </w:tr>
      <w:tr>
        <w:trPr>
          <w:trHeight w:val="291"/>
        </w:trPr>
        <w:tc>
          <w:tcPr>
            <w:tcW w:w="500" w:type="dxa"/>
            <w:vAlign w:val="bottom"/>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100" w:type="dxa"/>
            <w:vAlign w:val="bottom"/>
            <w:gridSpan w:val="2"/>
            <w:shd w:val="clear" w:color="auto" w:fill="CCEEFF"/>
          </w:tcPr>
          <w:p>
            <w:pPr>
              <w:ind w:left="79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24"/>
                <w:szCs w:val="24"/>
                <w:color w:val="auto"/>
              </w:rPr>
            </w:pPr>
          </w:p>
        </w:tc>
      </w:tr>
      <w:tr>
        <w:trPr>
          <w:trHeight w:val="20"/>
        </w:trPr>
        <w:tc>
          <w:tcPr>
            <w:tcW w:w="500" w:type="dxa"/>
            <w:vAlign w:val="bottom"/>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79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39"/>
        </w:trPr>
        <w:tc>
          <w:tcPr>
            <w:tcW w:w="10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9"/>
              </w:rPr>
              <w:t>NOTE 7:</w:t>
            </w:r>
          </w:p>
        </w:tc>
        <w:tc>
          <w:tcPr>
            <w:tcW w:w="81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COMMITMENTS AND CONTINGENT LIABILITIES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11" w:lineRule="exact"/>
        <w:rPr>
          <w:sz w:val="20"/>
          <w:szCs w:val="20"/>
          <w:color w:val="auto"/>
        </w:rPr>
      </w:pPr>
    </w:p>
    <w:p>
      <w:pPr>
        <w:ind w:left="380" w:hanging="372"/>
        <w:spacing w:after="0"/>
        <w:tabs>
          <w:tab w:leader="none" w:pos="3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contingencies:</w:t>
      </w:r>
    </w:p>
    <w:p>
      <w:pPr>
        <w:spacing w:after="0" w:line="238" w:lineRule="exact"/>
        <w:rPr>
          <w:rFonts w:ascii="Times New Roman" w:cs="Times New Roman" w:eastAsia="Times New Roman" w:hAnsi="Times New Roman"/>
          <w:sz w:val="18"/>
          <w:szCs w:val="18"/>
          <w:color w:val="auto"/>
        </w:rPr>
      </w:pPr>
    </w:p>
    <w:p>
      <w:pPr>
        <w:jc w:val="both"/>
        <w:ind w:left="400"/>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the Company becomes involved in legal proceedings or is subject to claims arising in its ordinary course of business. Such matters are generally subject to many uncertainties and outcomes are not predictable with assurance. The Company accrues for contingencies when the loss is probable and it can reasonably estimate the amount of any such loss.</w:t>
      </w:r>
    </w:p>
    <w:p>
      <w:pPr>
        <w:spacing w:after="0" w:line="182" w:lineRule="exact"/>
        <w:rPr>
          <w:rFonts w:ascii="Times New Roman" w:cs="Times New Roman" w:eastAsia="Times New Roman" w:hAnsi="Times New Roman"/>
          <w:sz w:val="18"/>
          <w:szCs w:val="18"/>
          <w:color w:val="auto"/>
        </w:rPr>
      </w:pPr>
    </w:p>
    <w:p>
      <w:pPr>
        <w:jc w:val="both"/>
        <w:ind w:left="400"/>
        <w:spacing w:after="0" w:line="26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21, 2022, a former employee filed a putative class action in the Superior Court for the City and County of San Francisco, based on claims that she was misclassified as an exempt employee and that the Company failed to properly reimburse for business expenses, failed to pay the proper rate of pay for paid sick leave, and other claims related to the payment of commissions and derivative of the misclassification claim. On December 16, 2022, the plaintiff filed a First Amended Complaint, adding a cause of action for civil penalties under California’s Private Attorneys General Act (California Labor Code Section 2698, et. Seq.) seeking to recover civil penalties on behalf of herself, other Company employees, and the State of California, for alleged violations of California’s Labor Code violations. The suit seeks monetary and non-monetary damages, including punitive damages, as well as disgorgement of profits, penalties, interest, and attorneys’ fees on behalf of plaintiff and others similarly situated. The Company filed its Answer on January 19, 2023. Although this proceeding is at preliminary stages, the Company believes this lawsuit is without merit and intends to vigorously contest these claims. While the outcome of any complex legal proceeding is inherently unpredictable and subject to significant uncertainties, based upon information presently known to management, the Company believes that the potential liability, if any, will not have a material adverse effect on the Company’s financial condition, cash flows, or results of operations.</w:t>
      </w:r>
    </w:p>
    <w:p>
      <w:pPr>
        <w:spacing w:after="0" w:line="19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Non-cancellable material commitments:</w:t>
      </w:r>
    </w:p>
    <w:p>
      <w:pPr>
        <w:spacing w:after="0" w:line="238" w:lineRule="exact"/>
        <w:rPr>
          <w:rFonts w:ascii="Times New Roman" w:cs="Times New Roman" w:eastAsia="Times New Roman" w:hAnsi="Times New Roman"/>
          <w:sz w:val="18"/>
          <w:szCs w:val="18"/>
          <w:color w:val="auto"/>
        </w:rPr>
      </w:pPr>
    </w:p>
    <w:p>
      <w:pPr>
        <w:ind w:left="4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enters into non-cancellable purchase commitments with various parties for mainly hosting services, as well as software products and services in the normal course of business.</w:t>
      </w:r>
    </w:p>
    <w:p>
      <w:pPr>
        <w:spacing w:after="0" w:line="188" w:lineRule="exact"/>
        <w:rPr>
          <w:rFonts w:ascii="Times New Roman" w:cs="Times New Roman" w:eastAsia="Times New Roman" w:hAnsi="Times New Roman"/>
          <w:sz w:val="18"/>
          <w:szCs w:val="18"/>
          <w:color w:val="auto"/>
        </w:rPr>
      </w:pPr>
    </w:p>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the Company’s outstanding non-cancellable material purchase commitments are $21,624.</w:t>
      </w:r>
    </w:p>
    <w:p>
      <w:pPr>
        <w:spacing w:after="0" w:line="23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and bank guarantees:</w:t>
      </w:r>
    </w:p>
    <w:p>
      <w:pPr>
        <w:spacing w:after="0" w:line="238" w:lineRule="exact"/>
        <w:rPr>
          <w:rFonts w:ascii="Times New Roman" w:cs="Times New Roman" w:eastAsia="Times New Roman" w:hAnsi="Times New Roman"/>
          <w:sz w:val="18"/>
          <w:szCs w:val="18"/>
          <w:color w:val="auto"/>
        </w:rPr>
      </w:pPr>
    </w:p>
    <w:p>
      <w:pPr>
        <w:ind w:left="40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The Company and its subsidiaries holds pledged bank deposits of $493 and obtained bank guarantees of $1,564, in connection with office lease agreements.</w:t>
      </w:r>
    </w:p>
    <w:p>
      <w:pPr>
        <w:spacing w:after="0" w:line="18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Revolving Credit Facility:</w:t>
      </w:r>
    </w:p>
    <w:p>
      <w:pPr>
        <w:spacing w:after="0" w:line="225" w:lineRule="exact"/>
        <w:rPr>
          <w:rFonts w:ascii="Times New Roman" w:cs="Times New Roman" w:eastAsia="Times New Roman" w:hAnsi="Times New Roman"/>
          <w:sz w:val="18"/>
          <w:szCs w:val="18"/>
          <w:color w:val="auto"/>
        </w:rPr>
      </w:pPr>
    </w:p>
    <w:p>
      <w:pPr>
        <w:jc w:val="both"/>
        <w:ind w:left="4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2021, the Company entered into a loan and security agreement with Silicon Valley Bank (SVB) which provides for the Revolving Credit Facility. The Company may borrow, repay and re-borrow funds under the Revolving Credit Facility up to the amount of $50,000 for a period of three years. Interest on borrowings under the revolving credit facility accrues as the greater of the Prime Rate or 3.25%. Pursuant to the terms of the Revolving Credit Facility, the Company are also required to pay an yearly fixed fee of $20 for the availability of this facility. Upon utilization of this credit facility certain covenants may apply according to the Revolving Credit Facility agreement. The Revolving Credit Facility is secured by a fixed and floating first priority blanket lien on all assets of the company as well as a negative pledge on the Company’s intellectual property. As of December 31, 2022 this facility remained unutilized. Refer to Note 14 “Subsequent Event”.</w:t>
      </w:r>
    </w:p>
    <w:p>
      <w:pPr>
        <w:sectPr>
          <w:pgSz w:w="11900" w:h="16838" w:orient="portrait"/>
          <w:cols w:equalWidth="0" w:num="1">
            <w:col w:w="11240"/>
          </w:cols>
          <w:pgMar w:left="320" w:top="117" w:right="339"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80" w:name="page181"/>
    <w:bookmarkEnd w:id="180"/>
    <w:p>
      <w:pPr>
        <w:jc w:val="right"/>
        <w:spacing w:after="0"/>
        <w:rPr>
          <w:sz w:val="20"/>
          <w:szCs w:val="20"/>
          <w:color w:val="auto"/>
        </w:rPr>
      </w:pPr>
      <w:r>
        <w:rPr>
          <w:rFonts w:ascii="Times New Roman" w:cs="Times New Roman" w:eastAsia="Times New Roman" w:hAnsi="Times New Roman"/>
          <w:sz w:val="18"/>
          <w:szCs w:val="18"/>
          <w:b w:val="1"/>
          <w:bCs w:val="1"/>
          <w:color w:val="auto"/>
        </w:rPr>
        <w:t>WALKME LTD. AND ITS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adopted the new accounting standard ASC 842 “Leases” and all related amendments effective as of January 1, 2022.</w:t>
      </w:r>
    </w:p>
    <w:p>
      <w:pPr>
        <w:spacing w:after="0" w:line="225" w:lineRule="exact"/>
        <w:rPr>
          <w:sz w:val="20"/>
          <w:szCs w:val="20"/>
          <w:color w:val="auto"/>
        </w:rPr>
      </w:pPr>
    </w:p>
    <w:p>
      <w:pPr>
        <w:jc w:val="both"/>
        <w:ind w:left="380"/>
        <w:spacing w:after="0" w:line="266" w:lineRule="auto"/>
        <w:rPr>
          <w:sz w:val="20"/>
          <w:szCs w:val="20"/>
          <w:color w:val="auto"/>
        </w:rPr>
      </w:pPr>
      <w:r>
        <w:rPr>
          <w:rFonts w:ascii="Times New Roman" w:cs="Times New Roman" w:eastAsia="Times New Roman" w:hAnsi="Times New Roman"/>
          <w:sz w:val="18"/>
          <w:szCs w:val="18"/>
          <w:color w:val="auto"/>
        </w:rPr>
        <w:t>The Company entered into non-cancelable operating lease agreements with various expiration dates through fiscal 2026. Certain lease agreements include options to renew or terminate the lease. The Company does not assume renewals in its determination of the lease term unless the renewals are considered as reasonably assured at lease commencement.</w:t>
      </w:r>
    </w:p>
    <w:p>
      <w:pPr>
        <w:spacing w:after="0" w:line="176" w:lineRule="exact"/>
        <w:rPr>
          <w:sz w:val="20"/>
          <w:szCs w:val="20"/>
          <w:color w:val="auto"/>
        </w:rPr>
      </w:pPr>
    </w:p>
    <w:p>
      <w:pPr>
        <w:jc w:val="both"/>
        <w:ind w:left="380" w:right="20"/>
        <w:spacing w:after="0" w:line="282" w:lineRule="auto"/>
        <w:rPr>
          <w:sz w:val="20"/>
          <w:szCs w:val="20"/>
          <w:color w:val="auto"/>
        </w:rPr>
      </w:pPr>
      <w:r>
        <w:rPr>
          <w:rFonts w:ascii="Times New Roman" w:cs="Times New Roman" w:eastAsia="Times New Roman" w:hAnsi="Times New Roman"/>
          <w:sz w:val="18"/>
          <w:szCs w:val="18"/>
          <w:color w:val="auto"/>
        </w:rPr>
        <w:t>The operating lease cost for the year ended December 31, 2022 was $7,049. The amount includes an impairment of $1,267 related to certain right-of-use assets.</w:t>
      </w:r>
    </w:p>
    <w:p>
      <w:pPr>
        <w:spacing w:after="0" w:line="162"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was as follows:</w:t>
            </w: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0"/>
        </w:trPr>
        <w:tc>
          <w:tcPr>
            <w:tcW w:w="12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16"/>
        </w:trPr>
        <w:tc>
          <w:tcPr>
            <w:tcW w:w="12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120" w:type="dxa"/>
            <w:vAlign w:val="bottom"/>
          </w:tcPr>
          <w:p>
            <w:pPr>
              <w:spacing w:after="0"/>
              <w:rPr>
                <w:sz w:val="21"/>
                <w:szCs w:val="21"/>
                <w:color w:val="auto"/>
              </w:rPr>
            </w:pPr>
          </w:p>
        </w:tc>
        <w:tc>
          <w:tcPr>
            <w:tcW w:w="7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120" w:type="dxa"/>
            <w:vAlign w:val="bottom"/>
          </w:tcPr>
          <w:p>
            <w:pPr>
              <w:spacing w:after="0"/>
              <w:rPr>
                <w:sz w:val="18"/>
                <w:szCs w:val="18"/>
                <w:color w:val="auto"/>
              </w:rPr>
            </w:pPr>
          </w:p>
        </w:tc>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operating liabilities</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5,399</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432"/>
        </w:trPr>
        <w:tc>
          <w:tcPr>
            <w:tcW w:w="120" w:type="dxa"/>
            <w:vAlign w:val="bottom"/>
          </w:tcPr>
          <w:p>
            <w:pPr>
              <w:spacing w:after="0"/>
              <w:rPr>
                <w:sz w:val="24"/>
                <w:szCs w:val="24"/>
                <w:color w:val="auto"/>
              </w:rPr>
            </w:pPr>
          </w:p>
        </w:tc>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balance sheet information related to operating leases is as follows:</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0"/>
        </w:trPr>
        <w:tc>
          <w:tcPr>
            <w:tcW w:w="12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4"/>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12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80" w:type="dxa"/>
            <w:vAlign w:val="bottom"/>
            <w:gridSpan w:val="7"/>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120" w:type="dxa"/>
            <w:vAlign w:val="bottom"/>
          </w:tcPr>
          <w:p>
            <w:pPr>
              <w:spacing w:after="0"/>
              <w:rPr>
                <w:sz w:val="21"/>
                <w:szCs w:val="21"/>
                <w:color w:val="auto"/>
              </w:rPr>
            </w:pPr>
          </w:p>
        </w:tc>
        <w:tc>
          <w:tcPr>
            <w:tcW w:w="7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120" w:type="dxa"/>
            <w:vAlign w:val="bottom"/>
          </w:tcPr>
          <w:p>
            <w:pPr>
              <w:spacing w:after="0"/>
              <w:rPr>
                <w:sz w:val="18"/>
                <w:szCs w:val="18"/>
                <w:color w:val="auto"/>
              </w:rPr>
            </w:pPr>
          </w:p>
        </w:tc>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ROU assets</w:t>
            </w:r>
          </w:p>
        </w:tc>
        <w:tc>
          <w:tcPr>
            <w:tcW w:w="1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40" w:type="dxa"/>
            <w:vAlign w:val="bottom"/>
            <w:gridSpan w:val="3"/>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5,009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1440" w:type="dxa"/>
            <w:vAlign w:val="bottom"/>
            <w:gridSpan w:val="3"/>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3,833</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r>
      <w:tr>
        <w:trPr>
          <w:trHeight w:val="432"/>
        </w:trPr>
        <w:tc>
          <w:tcPr>
            <w:tcW w:w="120" w:type="dxa"/>
            <w:vAlign w:val="bottom"/>
          </w:tcPr>
          <w:p>
            <w:pPr>
              <w:spacing w:after="0"/>
              <w:rPr>
                <w:sz w:val="24"/>
                <w:szCs w:val="24"/>
                <w:color w:val="auto"/>
              </w:rPr>
            </w:pPr>
          </w:p>
        </w:tc>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Maturities of operating lease liabilities as of December 31, 2022 are as follows:</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7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2023</w:t>
            </w:r>
          </w:p>
        </w:tc>
        <w:tc>
          <w:tcPr>
            <w:tcW w:w="1580" w:type="dxa"/>
            <w:vAlign w:val="bottom"/>
            <w:gridSpan w:val="4"/>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5,069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2024</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2025</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120" w:type="dxa"/>
            <w:vAlign w:val="bottom"/>
          </w:tcPr>
          <w:p>
            <w:pPr>
              <w:spacing w:after="0"/>
              <w:rPr>
                <w:sz w:val="19"/>
                <w:szCs w:val="19"/>
                <w:color w:val="auto"/>
              </w:rPr>
            </w:pPr>
          </w:p>
        </w:tc>
        <w:tc>
          <w:tcPr>
            <w:tcW w:w="7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2026</w:t>
            </w:r>
          </w:p>
        </w:tc>
        <w:tc>
          <w:tcPr>
            <w:tcW w:w="12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12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8,921</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71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Less: imputed interest</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8"/>
                <w:szCs w:val="18"/>
                <w:color w:val="auto"/>
              </w:rPr>
            </w:pPr>
          </w:p>
        </w:tc>
      </w:tr>
      <w:tr>
        <w:trPr>
          <w:trHeight w:val="21"/>
        </w:trPr>
        <w:tc>
          <w:tcPr>
            <w:tcW w:w="1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7160" w:type="dxa"/>
            <w:vAlign w:val="bottom"/>
            <w:shd w:val="clear" w:color="auto" w:fill="CCEEFF"/>
          </w:tcPr>
          <w:p>
            <w:pPr>
              <w:spacing w:after="0"/>
              <w:rPr>
                <w:sz w:val="18"/>
                <w:szCs w:val="18"/>
                <w:color w:val="auto"/>
              </w:rPr>
            </w:pPr>
          </w:p>
        </w:tc>
        <w:tc>
          <w:tcPr>
            <w:tcW w:w="1580" w:type="dxa"/>
            <w:vAlign w:val="bottom"/>
            <w:gridSpan w:val="4"/>
            <w:shd w:val="clear" w:color="auto" w:fill="CCEEFF"/>
          </w:tcPr>
          <w:p>
            <w:pPr>
              <w:spacing w:after="0"/>
              <w:rPr>
                <w:sz w:val="18"/>
                <w:szCs w:val="18"/>
                <w:color w:val="auto"/>
              </w:rPr>
            </w:pPr>
          </w:p>
        </w:tc>
        <w:tc>
          <w:tcPr>
            <w:tcW w:w="8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1580" w:type="dxa"/>
            <w:vAlign w:val="bottom"/>
            <w:gridSpan w:val="4"/>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8,842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right="20"/>
        <w:spacing w:after="0" w:line="282" w:lineRule="auto"/>
        <w:rPr>
          <w:sz w:val="20"/>
          <w:szCs w:val="20"/>
          <w:color w:val="auto"/>
        </w:rPr>
      </w:pPr>
      <w:r>
        <w:rPr>
          <w:rFonts w:ascii="Times New Roman" w:cs="Times New Roman" w:eastAsia="Times New Roman" w:hAnsi="Times New Roman"/>
          <w:sz w:val="18"/>
          <w:szCs w:val="18"/>
          <w:color w:val="auto"/>
        </w:rPr>
        <w:t>In February 2023, an amendment to the Tel-Aviv office agreement was signed, which extends the lease period for additional thirty-six (36) months and an option to extend the term of the lease for an additional periods of up to forty-eight (48) months.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18"/>
          <w:szCs w:val="18"/>
          <w:b w:val="1"/>
          <w:bCs w:val="1"/>
          <w:color w:val="auto"/>
        </w:rPr>
        <w:t>WALKME LTD. AND ITS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tables present the fair value of money market funds and marketable securities for the year ended December 31, 2022:</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45"/>
        </w:trPr>
        <w:tc>
          <w:tcPr>
            <w:tcW w:w="5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60" w:type="dxa"/>
            <w:vAlign w:val="bottom"/>
            <w:gridSpan w:val="6"/>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60" w:type="dxa"/>
            <w:vAlign w:val="bottom"/>
            <w:gridSpan w:val="6"/>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237"/>
        </w:trPr>
        <w:tc>
          <w:tcPr>
            <w:tcW w:w="50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Level 1</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Level 2</w:t>
            </w: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Level 1</w:t>
            </w: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Level 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derivative contracts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U.S. Treasuries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68,106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U.S. Government Agencies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17,415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02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assets measured at fair value</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85,521</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602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Foreign currency derivative contracts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8"/>
                <w:szCs w:val="18"/>
                <w:color w:val="auto"/>
              </w:rPr>
              <w:t>(1,577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1"/>
        </w:trPr>
        <w:tc>
          <w:tcPr>
            <w:tcW w:w="5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gridSpan w:val="2"/>
          </w:tcPr>
          <w:p>
            <w:pPr>
              <w:jc w:val="right"/>
              <w:ind w:right="20"/>
              <w:spacing w:after="0" w:line="54" w:lineRule="exact"/>
              <w:rPr>
                <w:sz w:val="20"/>
                <w:szCs w:val="20"/>
                <w:color w:val="auto"/>
              </w:rPr>
            </w:pPr>
            <w:r>
              <w:rPr>
                <w:rFonts w:ascii="Times New Roman" w:cs="Times New Roman" w:eastAsia="Times New Roman" w:hAnsi="Times New Roman"/>
                <w:sz w:val="6"/>
                <w:szCs w:val="6"/>
                <w:color w:val="auto"/>
              </w:rPr>
              <w:t>)</w:t>
            </w: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502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liabilities measured at fair value</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(1,577)</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7"/>
          <w:szCs w:val="17"/>
          <w:b w:val="1"/>
          <w:bCs w:val="1"/>
          <w:color w:val="auto"/>
        </w:rPr>
        <w:t>CONVERTIBLE PREFERRED SHARES, SHAREHOLDERS’ EQUITY AND EQUITY INCENTIVE PLAN</w:t>
      </w:r>
    </w:p>
    <w:p>
      <w:pPr>
        <w:spacing w:after="0" w:line="256" w:lineRule="exact"/>
        <w:rPr>
          <w:sz w:val="20"/>
          <w:szCs w:val="20"/>
          <w:color w:val="auto"/>
        </w:rPr>
      </w:pPr>
    </w:p>
    <w:p>
      <w:pPr>
        <w:ind w:left="380" w:hanging="372"/>
        <w:spacing w:after="0"/>
        <w:tabs>
          <w:tab w:leader="none" w:pos="3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Composition of share capital</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59"/>
        </w:trPr>
        <w:tc>
          <w:tcPr>
            <w:tcW w:w="5080" w:type="dxa"/>
            <w:vAlign w:val="bottom"/>
          </w:tcPr>
          <w:p>
            <w:pPr>
              <w:spacing w:after="0"/>
              <w:rPr>
                <w:sz w:val="22"/>
                <w:szCs w:val="22"/>
                <w:color w:val="auto"/>
              </w:rPr>
            </w:pPr>
          </w:p>
        </w:tc>
        <w:tc>
          <w:tcPr>
            <w:tcW w:w="234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24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194"/>
        </w:trPr>
        <w:tc>
          <w:tcPr>
            <w:tcW w:w="508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Issued and</w:t>
            </w:r>
          </w:p>
        </w:tc>
        <w:tc>
          <w:tcPr>
            <w:tcW w:w="2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Issued and</w:t>
            </w:r>
          </w:p>
        </w:tc>
        <w:tc>
          <w:tcPr>
            <w:tcW w:w="100" w:type="dxa"/>
            <w:vAlign w:val="bottom"/>
          </w:tcPr>
          <w:p>
            <w:pPr>
              <w:spacing w:after="0"/>
              <w:rPr>
                <w:sz w:val="16"/>
                <w:szCs w:val="16"/>
                <w:color w:val="auto"/>
              </w:rPr>
            </w:pPr>
          </w:p>
        </w:tc>
      </w:tr>
      <w:tr>
        <w:trPr>
          <w:trHeight w:val="259"/>
        </w:trPr>
        <w:tc>
          <w:tcPr>
            <w:tcW w:w="5080" w:type="dxa"/>
            <w:vAlign w:val="bottom"/>
          </w:tcPr>
          <w:p>
            <w:pPr>
              <w:spacing w:after="0"/>
              <w:rPr>
                <w:sz w:val="22"/>
                <w:szCs w:val="22"/>
                <w:color w:val="auto"/>
              </w:rPr>
            </w:pPr>
          </w:p>
        </w:tc>
        <w:tc>
          <w:tcPr>
            <w:tcW w:w="10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20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180" w:type="dxa"/>
            <w:vAlign w:val="bottom"/>
          </w:tcPr>
          <w:p>
            <w:pPr>
              <w:spacing w:after="0"/>
              <w:rPr>
                <w:sz w:val="22"/>
                <w:szCs w:val="22"/>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100" w:type="dxa"/>
            <w:vAlign w:val="bottom"/>
          </w:tcPr>
          <w:p>
            <w:pPr>
              <w:spacing w:after="0"/>
              <w:rPr>
                <w:sz w:val="22"/>
                <w:szCs w:val="22"/>
                <w:color w:val="auto"/>
              </w:rPr>
            </w:pPr>
          </w:p>
        </w:tc>
      </w:tr>
      <w:tr>
        <w:trPr>
          <w:trHeight w:val="237"/>
        </w:trPr>
        <w:tc>
          <w:tcPr>
            <w:tcW w:w="50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w w:val="96"/>
              </w:rPr>
              <w:t>Number of shares no par value</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9"/>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Ordinary shares</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900,000,000</w:t>
            </w:r>
          </w:p>
        </w:tc>
        <w:tc>
          <w:tcPr>
            <w:tcW w:w="13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86,780,082</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900,000,000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83,754,006</w:t>
            </w:r>
          </w:p>
        </w:tc>
        <w:tc>
          <w:tcPr>
            <w:tcW w:w="100" w:type="dxa"/>
            <w:vAlign w:val="bottom"/>
            <w:shd w:val="clear" w:color="auto" w:fill="CCEEFF"/>
          </w:tcPr>
          <w:p>
            <w:pPr>
              <w:spacing w:after="0"/>
              <w:rPr>
                <w:sz w:val="19"/>
                <w:szCs w:val="19"/>
                <w:color w:val="auto"/>
              </w:rPr>
            </w:pPr>
          </w:p>
        </w:tc>
      </w:tr>
    </w:tbl>
    <w:p>
      <w:pPr>
        <w:spacing w:after="0" w:line="198" w:lineRule="exact"/>
        <w:rPr>
          <w:sz w:val="20"/>
          <w:szCs w:val="20"/>
          <w:color w:val="auto"/>
        </w:rPr>
      </w:pPr>
    </w:p>
    <w:p>
      <w:pPr>
        <w:ind w:left="380" w:hanging="372"/>
        <w:spacing w:after="0"/>
        <w:tabs>
          <w:tab w:leader="none" w:pos="3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w:t>
      </w:r>
    </w:p>
    <w:p>
      <w:pPr>
        <w:spacing w:after="0" w:line="238" w:lineRule="exact"/>
        <w:rPr>
          <w:rFonts w:ascii="Times New Roman" w:cs="Times New Roman" w:eastAsia="Times New Roman" w:hAnsi="Times New Roman"/>
          <w:sz w:val="18"/>
          <w:szCs w:val="18"/>
          <w:color w:val="auto"/>
        </w:rPr>
      </w:pPr>
    </w:p>
    <w:p>
      <w:pPr>
        <w:jc w:val="both"/>
        <w:ind w:left="400"/>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shall confer on their shareholders all rights in the Company, including the right to vote on any matter at any general meeting, with each ordinary share having voting power of one vote for one ordinary share, the right to receive notice of any General Meeting, the right to receive dividends and to participate in any distribution of surplus assets and funds in the Company.</w:t>
      </w:r>
    </w:p>
    <w:p>
      <w:pPr>
        <w:spacing w:after="0" w:line="195" w:lineRule="exact"/>
        <w:rPr>
          <w:rFonts w:ascii="Times New Roman" w:cs="Times New Roman" w:eastAsia="Times New Roman" w:hAnsi="Times New Roman"/>
          <w:sz w:val="18"/>
          <w:szCs w:val="18"/>
          <w:color w:val="auto"/>
        </w:rPr>
      </w:pPr>
    </w:p>
    <w:p>
      <w:pPr>
        <w:jc w:val="both"/>
        <w:ind w:left="400"/>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4, 2021, the Company's shareholders approved the change of share capital from NIS 0.01 par value to no par-value. All references to ordinary and convertible preferred shares amounts and per share amounts have been retroactively restated to reflect the change in par value as if it had taken place as of the beginning of the earliest period presented.</w:t>
      </w:r>
    </w:p>
    <w:p>
      <w:pPr>
        <w:spacing w:after="0" w:line="182" w:lineRule="exact"/>
        <w:rPr>
          <w:rFonts w:ascii="Times New Roman" w:cs="Times New Roman" w:eastAsia="Times New Roman" w:hAnsi="Times New Roman"/>
          <w:sz w:val="18"/>
          <w:szCs w:val="18"/>
          <w:color w:val="auto"/>
        </w:rPr>
      </w:pPr>
    </w:p>
    <w:p>
      <w:pPr>
        <w:ind w:left="400"/>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IPO, the Company’s amended and restated articles of association became effective, which authorized the issuance of 900,000,000 ordinary shares, no par value each.</w:t>
      </w:r>
    </w:p>
    <w:p>
      <w:pPr>
        <w:spacing w:after="0" w:line="16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Convertible preferred shares:</w:t>
      </w:r>
    </w:p>
    <w:p>
      <w:pPr>
        <w:spacing w:after="0" w:line="238" w:lineRule="exact"/>
        <w:rPr>
          <w:rFonts w:ascii="Times New Roman" w:cs="Times New Roman" w:eastAsia="Times New Roman" w:hAnsi="Times New Roman"/>
          <w:sz w:val="18"/>
          <w:szCs w:val="18"/>
          <w:color w:val="auto"/>
        </w:rPr>
      </w:pPr>
    </w:p>
    <w:p>
      <w:pPr>
        <w:jc w:val="both"/>
        <w:ind w:left="400"/>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2019, the Company entered into a share purchase agreement with certain investors for a total consideration of $45,000. In addition to the initial consideration, the share purchase agreement granted the Company the right to execute additional funding requests up to a total amount of $45,000 for a period of 24 months. As of December 31, 2020 the Company executed additional funding in the aggregate amount of $35,000 out of the available $45,000.</w:t>
      </w:r>
    </w:p>
    <w:p>
      <w:pPr>
        <w:spacing w:after="0" w:line="185" w:lineRule="exact"/>
        <w:rPr>
          <w:rFonts w:ascii="Times New Roman" w:cs="Times New Roman" w:eastAsia="Times New Roman" w:hAnsi="Times New Roman"/>
          <w:sz w:val="18"/>
          <w:szCs w:val="18"/>
          <w:color w:val="auto"/>
        </w:rPr>
      </w:pPr>
    </w:p>
    <w:p>
      <w:pPr>
        <w:ind w:left="400"/>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25, 2021 the Company executed an additional funding request in the total amount of $10,000, for which 455,942 preferred F shares of no par value each were issued.</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8"/>
          <w:szCs w:val="18"/>
          <w:b w:val="1"/>
          <w:bCs w:val="1"/>
          <w:color w:val="auto"/>
        </w:rPr>
        <w:t>WALKME LTD. AND ITS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7"/>
          <w:szCs w:val="17"/>
          <w:b w:val="1"/>
          <w:bCs w:val="1"/>
          <w:color w:val="auto"/>
        </w:rPr>
        <w:t>CONVERTIBLE PREFERRED SHARES, SHAREHOLDERS’ EQUITY AND EQUITY INCENTIVE PLAN (Cont.)</w:t>
      </w:r>
    </w:p>
    <w:p>
      <w:pPr>
        <w:spacing w:after="0" w:line="243" w:lineRule="exact"/>
        <w:rPr>
          <w:sz w:val="20"/>
          <w:szCs w:val="20"/>
          <w:color w:val="auto"/>
        </w:rPr>
      </w:pPr>
    </w:p>
    <w:p>
      <w:pPr>
        <w:ind w:left="400" w:right="20"/>
        <w:spacing w:after="0" w:line="297" w:lineRule="auto"/>
        <w:rPr>
          <w:sz w:val="20"/>
          <w:szCs w:val="20"/>
          <w:color w:val="auto"/>
        </w:rPr>
      </w:pPr>
      <w:r>
        <w:rPr>
          <w:rFonts w:ascii="Times New Roman" w:cs="Times New Roman" w:eastAsia="Times New Roman" w:hAnsi="Times New Roman"/>
          <w:sz w:val="18"/>
          <w:szCs w:val="18"/>
          <w:color w:val="auto"/>
        </w:rPr>
        <w:t>Upon completion of the IPO, all convertible preferred shares outstanding, totaling 59,180,522 shares, were automatically converted into an equivalent number of ordinary shares on a one-to-one basis and their carrying value of $310,490 was reclassified into shareholders’ equity.</w:t>
      </w:r>
    </w:p>
    <w:p>
      <w:pPr>
        <w:spacing w:after="0" w:line="163" w:lineRule="exact"/>
        <w:rPr>
          <w:sz w:val="20"/>
          <w:szCs w:val="20"/>
          <w:color w:val="auto"/>
        </w:rPr>
      </w:pPr>
    </w:p>
    <w:p>
      <w:pPr>
        <w:ind w:left="380" w:hanging="372"/>
        <w:spacing w:after="0"/>
        <w:tabs>
          <w:tab w:leader="none" w:pos="3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option plan:</w:t>
      </w:r>
    </w:p>
    <w:p>
      <w:pPr>
        <w:spacing w:after="0" w:line="238" w:lineRule="exact"/>
        <w:rPr>
          <w:rFonts w:ascii="Times New Roman" w:cs="Times New Roman" w:eastAsia="Times New Roman" w:hAnsi="Times New Roman"/>
          <w:sz w:val="18"/>
          <w:szCs w:val="18"/>
          <w:color w:val="auto"/>
        </w:rPr>
      </w:pPr>
    </w:p>
    <w:p>
      <w:pPr>
        <w:jc w:val="both"/>
        <w:ind w:left="4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equity incentive plans provide for granting share options, RSUs and restricted share awards to employees, consultants, officers and directors. Each option granted under the Plan expires no later than 10 years from the date of grant. Options and RSUs vest usually over four years of commencement of employment or services. Any option or RSU which are forfeited or not exercised before expiration, become available for future grants. As of December 31, 2022 and 2021, an aggregate of 7,240,782 and 7,857,017 ordinary shares of the Company, respectively are still available for future grants.</w:t>
      </w:r>
    </w:p>
    <w:p>
      <w:pPr>
        <w:spacing w:after="0" w:line="185" w:lineRule="exact"/>
        <w:rPr>
          <w:rFonts w:ascii="Times New Roman" w:cs="Times New Roman" w:eastAsia="Times New Roman" w:hAnsi="Times New Roman"/>
          <w:sz w:val="18"/>
          <w:szCs w:val="18"/>
          <w:color w:val="auto"/>
        </w:rPr>
      </w:pPr>
    </w:p>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Share options</w:t>
      </w:r>
    </w:p>
    <w:p>
      <w:pPr>
        <w:spacing w:after="0" w:line="256" w:lineRule="exact"/>
        <w:rPr>
          <w:rFonts w:ascii="Times New Roman" w:cs="Times New Roman" w:eastAsia="Times New Roman" w:hAnsi="Times New Roman"/>
          <w:sz w:val="18"/>
          <w:szCs w:val="18"/>
          <w:color w:val="auto"/>
        </w:rPr>
      </w:pPr>
    </w:p>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summary of the Company's share option activity (except options to non-employee consultants) under the Plan is as follows:</w:t>
      </w:r>
    </w:p>
    <w:p>
      <w:pPr>
        <w:spacing w:after="0" w:line="235" w:lineRule="exact"/>
        <w:rPr>
          <w:sz w:val="20"/>
          <w:szCs w:val="20"/>
          <w:color w:val="auto"/>
        </w:rPr>
      </w:pPr>
    </w:p>
    <w:tbl>
      <w:tblPr>
        <w:tblLayout w:type="fixed"/>
        <w:tblInd w:w="500" w:type="dxa"/>
        <w:tblCellMar>
          <w:top w:w="0" w:type="dxa"/>
          <w:left w:w="0" w:type="dxa"/>
          <w:bottom w:w="0" w:type="dxa"/>
          <w:right w:w="0" w:type="dxa"/>
        </w:tblCellMar>
      </w:tblPr>
      <w:tr>
        <w:trPr>
          <w:trHeight w:val="229"/>
        </w:trPr>
        <w:tc>
          <w:tcPr>
            <w:tcW w:w="5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remaining</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14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c>
          <w:tcPr>
            <w:tcW w:w="10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30"/>
        </w:trPr>
        <w:tc>
          <w:tcPr>
            <w:tcW w:w="5140" w:type="dxa"/>
            <w:vAlign w:val="bottom"/>
          </w:tcPr>
          <w:p>
            <w:pPr>
              <w:spacing w:after="0"/>
              <w:rPr>
                <w:sz w:val="19"/>
                <w:szCs w:val="19"/>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100" w:type="dxa"/>
            <w:vAlign w:val="bottom"/>
          </w:tcPr>
          <w:p>
            <w:pPr>
              <w:spacing w:after="0"/>
              <w:rPr>
                <w:sz w:val="19"/>
                <w:szCs w:val="19"/>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120" w:type="dxa"/>
            <w:vAlign w:val="bottom"/>
          </w:tcPr>
          <w:p>
            <w:pPr>
              <w:spacing w:after="0"/>
              <w:rPr>
                <w:sz w:val="19"/>
                <w:szCs w:val="19"/>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59"/>
        </w:trPr>
        <w:tc>
          <w:tcPr>
            <w:tcW w:w="5140" w:type="dxa"/>
            <w:vAlign w:val="bottom"/>
          </w:tcPr>
          <w:p>
            <w:pPr>
              <w:spacing w:after="0"/>
              <w:rPr>
                <w:sz w:val="22"/>
                <w:szCs w:val="22"/>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2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price</w:t>
            </w:r>
          </w:p>
        </w:tc>
        <w:tc>
          <w:tcPr>
            <w:tcW w:w="180" w:type="dxa"/>
            <w:vAlign w:val="bottom"/>
          </w:tcPr>
          <w:p>
            <w:pPr>
              <w:spacing w:after="0"/>
              <w:rPr>
                <w:sz w:val="22"/>
                <w:szCs w:val="22"/>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1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2"/>
                <w:szCs w:val="22"/>
                <w:color w:val="auto"/>
              </w:rPr>
            </w:pPr>
          </w:p>
        </w:tc>
      </w:tr>
      <w:tr>
        <w:trPr>
          <w:trHeight w:val="216"/>
        </w:trPr>
        <w:tc>
          <w:tcPr>
            <w:tcW w:w="5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r>
      <w:tr>
        <w:trPr>
          <w:trHeight w:val="230"/>
        </w:trPr>
        <w:tc>
          <w:tcPr>
            <w:tcW w:w="5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14,160,792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8.38</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7.67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159,366</w:t>
            </w:r>
          </w:p>
        </w:tc>
      </w:tr>
      <w:tr>
        <w:trPr>
          <w:trHeight w:val="230"/>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1,201,247</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13.35</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(1,425,431)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12.87</w:t>
            </w: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7"/>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(1,524,411)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3.31</w:t>
            </w: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12,217</w:t>
            </w:r>
          </w:p>
        </w:tc>
      </w:tr>
      <w:tr>
        <w:trPr>
          <w:trHeight w:val="270"/>
        </w:trPr>
        <w:tc>
          <w:tcPr>
            <w:tcW w:w="51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12,412,197</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6.93</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49,209</w:t>
            </w:r>
          </w:p>
        </w:tc>
      </w:tr>
      <w:tr>
        <w:trPr>
          <w:trHeight w:val="210"/>
        </w:trPr>
        <w:tc>
          <w:tcPr>
            <w:tcW w:w="5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r>
      <w:tr>
        <w:trPr>
          <w:trHeight w:val="270"/>
        </w:trPr>
        <w:tc>
          <w:tcPr>
            <w:tcW w:w="51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Exercisable options at end of year</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7,446,960</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5.95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43,957</w:t>
            </w:r>
          </w:p>
        </w:tc>
      </w:tr>
    </w:tbl>
    <w:p>
      <w:pPr>
        <w:spacing w:after="0" w:line="211" w:lineRule="exact"/>
        <w:rPr>
          <w:sz w:val="20"/>
          <w:szCs w:val="20"/>
          <w:color w:val="auto"/>
        </w:rPr>
      </w:pPr>
    </w:p>
    <w:p>
      <w:pPr>
        <w:ind w:left="400"/>
        <w:spacing w:after="0" w:line="282" w:lineRule="auto"/>
        <w:rPr>
          <w:sz w:val="20"/>
          <w:szCs w:val="20"/>
          <w:color w:val="auto"/>
        </w:rPr>
      </w:pPr>
      <w:r>
        <w:rPr>
          <w:rFonts w:ascii="Times New Roman" w:cs="Times New Roman" w:eastAsia="Times New Roman" w:hAnsi="Times New Roman"/>
          <w:sz w:val="18"/>
          <w:szCs w:val="18"/>
          <w:color w:val="auto"/>
        </w:rPr>
        <w:t>As of December 31, 2022, there was approximately $50,475 of total unrecognized compensation cost related to non-vested share-based compensation arrangements granted under the Company's share option plan. That cost is expected to be recognized over a weighted-average period of 3.08 years.</w:t>
      </w:r>
    </w:p>
    <w:p>
      <w:pPr>
        <w:spacing w:after="0" w:line="189" w:lineRule="exact"/>
        <w:rPr>
          <w:sz w:val="20"/>
          <w:szCs w:val="20"/>
          <w:color w:val="auto"/>
        </w:rPr>
      </w:pPr>
    </w:p>
    <w:p>
      <w:pPr>
        <w:ind w:left="400"/>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during the years ended December 31, 2022, 2021 and 2020 was $7.32, $13.31 and $5.62, respectively.</w:t>
      </w:r>
    </w:p>
    <w:p>
      <w:pPr>
        <w:spacing w:after="0" w:line="1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December 31, 2022 and 2021, there were no outstanding options granted to non-employees.</w:t>
      </w:r>
    </w:p>
    <w:p>
      <w:pPr>
        <w:spacing w:after="0" w:line="239" w:lineRule="exact"/>
        <w:rPr>
          <w:sz w:val="20"/>
          <w:szCs w:val="20"/>
          <w:color w:val="auto"/>
        </w:rPr>
      </w:pPr>
    </w:p>
    <w:p>
      <w:pPr>
        <w:ind w:left="400" w:right="20"/>
        <w:spacing w:after="0" w:line="297" w:lineRule="auto"/>
        <w:rPr>
          <w:sz w:val="20"/>
          <w:szCs w:val="20"/>
          <w:color w:val="auto"/>
        </w:rPr>
      </w:pPr>
      <w:r>
        <w:rPr>
          <w:rFonts w:ascii="Times New Roman" w:cs="Times New Roman" w:eastAsia="Times New Roman" w:hAnsi="Times New Roman"/>
          <w:sz w:val="18"/>
          <w:szCs w:val="18"/>
          <w:color w:val="auto"/>
        </w:rPr>
        <w:t>Under the provisions of ASC 718, the fair value of each option was estimated on the date of grant using the Black &amp; Scholes option valuation model, using the assumptions noted in the following table:</w:t>
      </w:r>
    </w:p>
    <w:p>
      <w:pPr>
        <w:spacing w:after="0" w:line="159"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14605</wp:posOffset>
            </wp:positionV>
            <wp:extent cx="219456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1">
                      <a:extLst>
                        <a:ext uri="{28A0092B-C50C-407E-A947-70E740481C1C}"/>
                      </a:extLst>
                    </a:blip>
                    <a:srcRect/>
                    <a:stretch>
                      <a:fillRect/>
                    </a:stretch>
                  </pic:blipFill>
                  <pic:spPr bwMode="auto">
                    <a:xfrm>
                      <a:off x="0" y="0"/>
                      <a:ext cx="2194560" cy="17145"/>
                    </a:xfrm>
                    <a:prstGeom prst="rect">
                      <a:avLst/>
                    </a:prstGeom>
                    <a:noFill/>
                  </pic:spPr>
                </pic:pic>
              </a:graphicData>
            </a:graphic>
          </wp:anchor>
        </w:drawing>
      </w:r>
    </w:p>
    <w:p>
      <w:pPr>
        <w:spacing w:after="0" w:line="7" w:lineRule="exact"/>
        <w:rPr>
          <w:sz w:val="20"/>
          <w:szCs w:val="20"/>
          <w:color w:val="auto"/>
        </w:rPr>
      </w:pPr>
    </w:p>
    <w:p>
      <w:pPr>
        <w:ind w:left="7040"/>
        <w:spacing w:after="0"/>
        <w:tabs>
          <w:tab w:leader="none" w:pos="8220" w:val="left"/>
          <w:tab w:leader="none" w:pos="9440"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2021</w:t>
      </w:r>
      <w:r>
        <w:rPr>
          <w:sz w:val="20"/>
          <w:szCs w:val="20"/>
          <w:color w:val="auto"/>
        </w:rPr>
        <w:tab/>
      </w:r>
      <w:r>
        <w:rPr>
          <w:rFonts w:ascii="Times New Roman" w:cs="Times New Roman" w:eastAsia="Times New Roman" w:hAnsi="Times New Roman"/>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28575</wp:posOffset>
            </wp:positionV>
            <wp:extent cx="219456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2">
                      <a:extLst>
                        <a:ext uri="{28A0092B-C50C-407E-A947-70E740481C1C}"/>
                      </a:extLst>
                    </a:blip>
                    <a:srcRect/>
                    <a:stretch>
                      <a:fillRect/>
                    </a:stretch>
                  </pic:blipFill>
                  <pic:spPr bwMode="auto">
                    <a:xfrm>
                      <a:off x="0" y="0"/>
                      <a:ext cx="219456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3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Expected volatility</w:t>
      </w:r>
    </w:p>
    <w:p>
      <w:pPr>
        <w:spacing w:after="0" w:line="3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Expected dividend yield</w:t>
      </w:r>
    </w:p>
    <w:p>
      <w:pPr>
        <w:spacing w:after="0" w:line="3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Expected term (in years)</w:t>
      </w:r>
    </w:p>
    <w:p>
      <w:pPr>
        <w:spacing w:after="0" w:line="3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Risk free interest</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60%</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60%</w:t>
            </w:r>
          </w:p>
        </w:tc>
        <w:tc>
          <w:tcPr>
            <w:tcW w:w="11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6"/>
              </w:rPr>
              <w:t>60%</w:t>
            </w:r>
          </w:p>
        </w:tc>
      </w:tr>
      <w:tr>
        <w:trPr>
          <w:trHeight w:val="243"/>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r>
      <w:tr>
        <w:trPr>
          <w:trHeight w:val="243"/>
        </w:trPr>
        <w:tc>
          <w:tcPr>
            <w:tcW w:w="11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5.5-6.98</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5-6.55</w:t>
            </w:r>
          </w:p>
        </w:tc>
        <w:tc>
          <w:tcPr>
            <w:tcW w:w="11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6.08</w:t>
            </w:r>
          </w:p>
        </w:tc>
      </w:tr>
      <w:tr>
        <w:trPr>
          <w:trHeight w:val="243"/>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1.98%-3.88%</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0.49%-1.06%</w:t>
            </w:r>
          </w:p>
        </w:tc>
        <w:tc>
          <w:tcPr>
            <w:tcW w:w="11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0.28%-1.45%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-3952875</wp:posOffset>
            </wp:positionH>
            <wp:positionV relativeFrom="paragraph">
              <wp:posOffset>-599440</wp:posOffset>
            </wp:positionV>
            <wp:extent cx="6137910" cy="1543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3">
                      <a:extLst>
                        <a:ext uri="{28A0092B-C50C-407E-A947-70E740481C1C}"/>
                      </a:extLst>
                    </a:blip>
                    <a:srcRect/>
                    <a:stretch>
                      <a:fillRect/>
                    </a:stretch>
                  </pic:blipFill>
                  <pic:spPr bwMode="auto">
                    <a:xfrm>
                      <a:off x="0" y="0"/>
                      <a:ext cx="6137910" cy="154305"/>
                    </a:xfrm>
                    <a:prstGeom prst="rect">
                      <a:avLst/>
                    </a:prstGeom>
                    <a:noFill/>
                  </pic:spPr>
                </pic:pic>
              </a:graphicData>
            </a:graphic>
          </wp:anchor>
        </w:drawing>
        <w:drawing>
          <wp:anchor simplePos="0" relativeHeight="251657728" behindDoc="1" locked="0" layoutInCell="0" allowOverlap="1">
            <wp:simplePos x="0" y="0"/>
            <wp:positionH relativeFrom="column">
              <wp:posOffset>-3952875</wp:posOffset>
            </wp:positionH>
            <wp:positionV relativeFrom="paragraph">
              <wp:posOffset>-290830</wp:posOffset>
            </wp:positionV>
            <wp:extent cx="6137910" cy="1543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4">
                      <a:extLst>
                        <a:ext uri="{28A0092B-C50C-407E-A947-70E740481C1C}"/>
                      </a:extLst>
                    </a:blip>
                    <a:srcRect/>
                    <a:stretch>
                      <a:fillRect/>
                    </a:stretch>
                  </pic:blipFill>
                  <pic:spPr bwMode="auto">
                    <a:xfrm>
                      <a:off x="0" y="0"/>
                      <a:ext cx="613791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00" w:space="720"/>
            <w:col w:w="4520"/>
          </w:cols>
          <w:pgMar w:left="320" w:top="117" w:right="339" w:bottom="1440" w:gutter="0" w:footer="0" w:header="0"/>
          <w:type w:val="continuous"/>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83" w:name="page184"/>
    <w:bookmarkEnd w:id="183"/>
    <w:p>
      <w:pPr>
        <w:jc w:val="right"/>
        <w:spacing w:after="0"/>
        <w:rPr>
          <w:sz w:val="20"/>
          <w:szCs w:val="20"/>
          <w:color w:val="auto"/>
        </w:rPr>
      </w:pPr>
      <w:r>
        <w:rPr>
          <w:rFonts w:ascii="Times New Roman" w:cs="Times New Roman" w:eastAsia="Times New Roman" w:hAnsi="Times New Roman"/>
          <w:sz w:val="18"/>
          <w:szCs w:val="18"/>
          <w:b w:val="1"/>
          <w:bCs w:val="1"/>
          <w:color w:val="auto"/>
        </w:rPr>
        <w:t>WALKME LTD. AND ITS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7"/>
          <w:szCs w:val="17"/>
          <w:b w:val="1"/>
          <w:bCs w:val="1"/>
          <w:color w:val="auto"/>
        </w:rPr>
        <w:t>CONVERTIBLE PREFERRED SHARES, SHAREHOLDERS’ EQUITY AND EQUITY INCENTIVE PLAN (Cont.)</w:t>
      </w:r>
    </w:p>
    <w:p>
      <w:pPr>
        <w:spacing w:after="0" w:line="256" w:lineRule="exact"/>
        <w:rPr>
          <w:sz w:val="20"/>
          <w:szCs w:val="20"/>
          <w:color w:val="auto"/>
        </w:rPr>
      </w:pPr>
    </w:p>
    <w:p>
      <w:pPr>
        <w:jc w:val="both"/>
        <w:ind w:left="400"/>
        <w:spacing w:after="0" w:line="266" w:lineRule="auto"/>
        <w:rPr>
          <w:sz w:val="20"/>
          <w:szCs w:val="20"/>
          <w:color w:val="auto"/>
        </w:rPr>
      </w:pPr>
      <w:r>
        <w:rPr>
          <w:rFonts w:ascii="Times New Roman" w:cs="Times New Roman" w:eastAsia="Times New Roman" w:hAnsi="Times New Roman"/>
          <w:sz w:val="18"/>
          <w:szCs w:val="18"/>
          <w:color w:val="auto"/>
        </w:rPr>
        <w:t>Risk-free interest rates are based on the yield from U.S. Treasury zero-coupon bonds with a term equivalent to the expected term of the options. The expected volatility of the price of such shares is based on an analysis of reported data for a peer group of comparable publicly traded companies which were selected based upon industry similarities. The expected term of options granted represents the period of time that options granted are expected to be outstanding, and is determined based on the simplified method in accordance with ASC No. 718-10-S99-1 (SAB No. 110), as adequate historical experience is not available to provide a reasonable estimate. The dividend yield is based on the Company's historical and future expectation of dividends payouts. Historically, the Company has not paid cash dividends and has no foreseeable plans to pay cash dividends in the future.</w:t>
      </w:r>
    </w:p>
    <w:p>
      <w:pPr>
        <w:spacing w:after="0" w:line="186" w:lineRule="exact"/>
        <w:rPr>
          <w:sz w:val="20"/>
          <w:szCs w:val="20"/>
          <w:color w:val="auto"/>
        </w:rPr>
      </w:pPr>
    </w:p>
    <w:tbl>
      <w:tblPr>
        <w:tblLayout w:type="fixed"/>
        <w:tblInd w:w="400" w:type="dxa"/>
        <w:tblCellMar>
          <w:top w:w="0" w:type="dxa"/>
          <w:left w:w="0" w:type="dxa"/>
          <w:bottom w:w="0" w:type="dxa"/>
          <w:right w:w="0" w:type="dxa"/>
        </w:tblCellMar>
      </w:tblPr>
      <w:tr>
        <w:trPr>
          <w:trHeight w:val="238"/>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Share Units</w:t>
            </w: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10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 w:type="dxa"/>
            <w:vAlign w:val="bottom"/>
          </w:tcPr>
          <w:p>
            <w:pPr>
              <w:spacing w:after="0"/>
              <w:rPr>
                <w:sz w:val="19"/>
                <w:szCs w:val="19"/>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of</w:t>
            </w:r>
          </w:p>
        </w:tc>
        <w:tc>
          <w:tcPr>
            <w:tcW w:w="10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0" w:type="dxa"/>
            <w:vAlign w:val="bottom"/>
          </w:tcPr>
          <w:p>
            <w:pPr>
              <w:spacing w:after="0"/>
              <w:rPr>
                <w:sz w:val="1"/>
                <w:szCs w:val="1"/>
                <w:color w:val="auto"/>
              </w:rPr>
            </w:pPr>
          </w:p>
        </w:tc>
      </w:tr>
      <w:tr>
        <w:trPr>
          <w:trHeight w:val="245"/>
        </w:trPr>
        <w:tc>
          <w:tcPr>
            <w:tcW w:w="100" w:type="dxa"/>
            <w:vAlign w:val="bottom"/>
          </w:tcPr>
          <w:p>
            <w:pPr>
              <w:spacing w:after="0"/>
              <w:rPr>
                <w:sz w:val="21"/>
                <w:szCs w:val="21"/>
                <w:color w:val="auto"/>
              </w:rPr>
            </w:pPr>
          </w:p>
        </w:tc>
        <w:tc>
          <w:tcPr>
            <w:tcW w:w="7460" w:type="dxa"/>
            <w:vAlign w:val="bottom"/>
          </w:tcPr>
          <w:p>
            <w:pPr>
              <w:spacing w:after="0"/>
              <w:rPr>
                <w:sz w:val="21"/>
                <w:szCs w:val="21"/>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RSUs</w:t>
            </w:r>
          </w:p>
        </w:tc>
        <w:tc>
          <w:tcPr>
            <w:tcW w:w="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7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2,366,373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26.22</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7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6,466,740</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14.24</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7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(1,439,112)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19.88</w:t>
            </w:r>
          </w:p>
        </w:tc>
        <w:tc>
          <w:tcPr>
            <w:tcW w:w="0" w:type="dxa"/>
            <w:vAlign w:val="bottom"/>
          </w:tcPr>
          <w:p>
            <w:pPr>
              <w:spacing w:after="0"/>
              <w:rPr>
                <w:sz w:val="1"/>
                <w:szCs w:val="1"/>
                <w:color w:val="auto"/>
              </w:rPr>
            </w:pPr>
          </w:p>
        </w:tc>
      </w:tr>
      <w:tr>
        <w:trPr>
          <w:trHeight w:val="236"/>
        </w:trPr>
        <w:tc>
          <w:tcPr>
            <w:tcW w:w="100" w:type="dxa"/>
            <w:vAlign w:val="bottom"/>
          </w:tcPr>
          <w:p>
            <w:pPr>
              <w:spacing w:after="0"/>
              <w:rPr>
                <w:sz w:val="20"/>
                <w:szCs w:val="20"/>
                <w:color w:val="auto"/>
              </w:rPr>
            </w:pPr>
          </w:p>
        </w:tc>
        <w:tc>
          <w:tcPr>
            <w:tcW w:w="7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(834,175)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22.84</w:t>
            </w: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74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6,559,826</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16.23</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400"/>
        <w:spacing w:after="0" w:line="297" w:lineRule="auto"/>
        <w:rPr>
          <w:sz w:val="20"/>
          <w:szCs w:val="20"/>
          <w:color w:val="auto"/>
        </w:rPr>
      </w:pPr>
      <w:r>
        <w:rPr>
          <w:rFonts w:ascii="Times New Roman" w:cs="Times New Roman" w:eastAsia="Times New Roman" w:hAnsi="Times New Roman"/>
          <w:sz w:val="18"/>
          <w:szCs w:val="18"/>
          <w:color w:val="auto"/>
        </w:rPr>
        <w:t>As of December 31, 2022, there was approximately $93,374 of unrecognized share-based compensation expense related to unvested RSUs, which is being recognized over a weighted-average period of 3.06 years based on vesting under the award service conditions.</w:t>
      </w:r>
    </w:p>
    <w:p>
      <w:pPr>
        <w:spacing w:after="0" w:line="163" w:lineRule="exact"/>
        <w:rPr>
          <w:sz w:val="20"/>
          <w:szCs w:val="20"/>
          <w:color w:val="auto"/>
        </w:rPr>
      </w:pPr>
    </w:p>
    <w:p>
      <w:pPr>
        <w:ind w:left="380" w:hanging="372"/>
        <w:spacing w:after="0"/>
        <w:tabs>
          <w:tab w:leader="none" w:pos="3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Share Purchase Plan</w:t>
      </w:r>
    </w:p>
    <w:p>
      <w:pPr>
        <w:spacing w:after="0" w:line="238" w:lineRule="exact"/>
        <w:rPr>
          <w:rFonts w:ascii="Times New Roman" w:cs="Times New Roman" w:eastAsia="Times New Roman" w:hAnsi="Times New Roman"/>
          <w:sz w:val="18"/>
          <w:szCs w:val="18"/>
          <w:color w:val="auto"/>
        </w:rPr>
      </w:pPr>
    </w:p>
    <w:p>
      <w:pPr>
        <w:jc w:val="both"/>
        <w:ind w:left="4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2021, the Company adopted the 2021 ESPP. Generally, all of the Company’s employees are eligible to participate if they are employed by the Company. The Company’s ESPP permits participants to purchase the Company’s ordinary shares through contributions in the form of payroll deductions or otherwise to the extent permitted by the Company, of up to 15% of their eligible compensation (as defined in the ESPP). Amounts contributed and accumulated by the participant will be used to purchase the Company’s ordinary shares at the end of each offering period. The purchase price of the shares will be 85% of the lower of the fair market value of the Company’s ordinary shares on the first trading day of the offering period or on the exercise date. As of December 31, 2022 and 2021, a total of 2,161,770 and 1,824,988 ordinary shares of the Company, respectively are reserved for issuance under the ESPP.</w:t>
      </w:r>
    </w:p>
    <w:p>
      <w:pPr>
        <w:spacing w:after="0" w:line="189" w:lineRule="exact"/>
        <w:rPr>
          <w:rFonts w:ascii="Times New Roman" w:cs="Times New Roman" w:eastAsia="Times New Roman" w:hAnsi="Times New Roman"/>
          <w:sz w:val="18"/>
          <w:szCs w:val="18"/>
          <w:color w:val="auto"/>
        </w:rPr>
      </w:pPr>
    </w:p>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estimated the fair value of ESPP purchase rights using a Monte-Carlo option pricing model with the following assumptions:</w:t>
      </w:r>
    </w:p>
    <w:p>
      <w:pPr>
        <w:spacing w:after="0" w:line="235"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714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3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00" w:type="dxa"/>
            <w:vAlign w:val="bottom"/>
          </w:tcPr>
          <w:p>
            <w:pPr>
              <w:spacing w:after="0"/>
              <w:rPr>
                <w:sz w:val="19"/>
                <w:szCs w:val="19"/>
                <w:color w:val="auto"/>
              </w:rPr>
            </w:pPr>
          </w:p>
        </w:tc>
      </w:tr>
      <w:tr>
        <w:trPr>
          <w:trHeight w:val="216"/>
        </w:trPr>
        <w:tc>
          <w:tcPr>
            <w:tcW w:w="71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3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8"/>
                <w:szCs w:val="18"/>
                <w:color w:val="auto"/>
              </w:rPr>
            </w:pPr>
          </w:p>
        </w:tc>
      </w:tr>
      <w:tr>
        <w:trPr>
          <w:trHeight w:val="259"/>
        </w:trPr>
        <w:tc>
          <w:tcPr>
            <w:tcW w:w="7140" w:type="dxa"/>
            <w:vAlign w:val="bottom"/>
          </w:tcPr>
          <w:p>
            <w:pPr>
              <w:spacing w:after="0"/>
              <w:rPr>
                <w:sz w:val="22"/>
                <w:szCs w:val="22"/>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300" w:type="dxa"/>
            <w:vAlign w:val="bottom"/>
          </w:tcPr>
          <w:p>
            <w:pPr>
              <w:spacing w:after="0"/>
              <w:rPr>
                <w:sz w:val="22"/>
                <w:szCs w:val="22"/>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2"/>
                <w:szCs w:val="22"/>
                <w:color w:val="auto"/>
              </w:rPr>
            </w:pPr>
          </w:p>
        </w:tc>
      </w:tr>
      <w:tr>
        <w:trPr>
          <w:trHeight w:val="216"/>
        </w:trPr>
        <w:tc>
          <w:tcPr>
            <w:tcW w:w="7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volatility</w:t>
            </w:r>
          </w:p>
        </w:tc>
        <w:tc>
          <w:tcPr>
            <w:tcW w:w="10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77%-91.9%</w:t>
            </w:r>
          </w:p>
        </w:tc>
        <w:tc>
          <w:tcPr>
            <w:tcW w:w="134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6"/>
              </w:rPr>
              <w:t>41%</w:t>
            </w:r>
          </w:p>
        </w:tc>
        <w:tc>
          <w:tcPr>
            <w:tcW w:w="100" w:type="dxa"/>
            <w:vAlign w:val="bottom"/>
            <w:shd w:val="clear" w:color="auto" w:fill="CCEEFF"/>
          </w:tcPr>
          <w:p>
            <w:pPr>
              <w:spacing w:after="0"/>
              <w:rPr>
                <w:sz w:val="19"/>
                <w:szCs w:val="19"/>
                <w:color w:val="auto"/>
              </w:rPr>
            </w:pPr>
          </w:p>
        </w:tc>
      </w:tr>
      <w:tr>
        <w:trPr>
          <w:trHeight w:val="230"/>
        </w:trPr>
        <w:tc>
          <w:tcPr>
            <w:tcW w:w="7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dividend yield</w:t>
            </w:r>
          </w:p>
        </w:tc>
        <w:tc>
          <w:tcPr>
            <w:tcW w:w="10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r>
      <w:tr>
        <w:trPr>
          <w:trHeight w:val="229"/>
        </w:trPr>
        <w:tc>
          <w:tcPr>
            <w:tcW w:w="7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term (in years)</w:t>
            </w:r>
          </w:p>
        </w:tc>
        <w:tc>
          <w:tcPr>
            <w:tcW w:w="10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0.5</w:t>
            </w:r>
          </w:p>
        </w:tc>
        <w:tc>
          <w:tcPr>
            <w:tcW w:w="134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shd w:val="clear" w:color="auto" w:fill="CCEEFF"/>
          </w:tcPr>
          <w:p>
            <w:pPr>
              <w:spacing w:after="0"/>
              <w:rPr>
                <w:sz w:val="19"/>
                <w:szCs w:val="19"/>
                <w:color w:val="auto"/>
              </w:rPr>
            </w:pPr>
          </w:p>
        </w:tc>
      </w:tr>
      <w:tr>
        <w:trPr>
          <w:trHeight w:val="234"/>
        </w:trPr>
        <w:tc>
          <w:tcPr>
            <w:tcW w:w="7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Risk free interest</w:t>
            </w:r>
          </w:p>
        </w:tc>
        <w:tc>
          <w:tcPr>
            <w:tcW w:w="10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0.46%-2.85%</w:t>
            </w:r>
          </w:p>
        </w:tc>
        <w:tc>
          <w:tcPr>
            <w:tcW w:w="134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20"/>
                <w:szCs w:val="20"/>
                <w:color w:val="auto"/>
              </w:rPr>
            </w:pPr>
          </w:p>
        </w:tc>
      </w:tr>
    </w:tbl>
    <w:p>
      <w:pPr>
        <w:spacing w:after="0" w:line="206" w:lineRule="exact"/>
        <w:rPr>
          <w:sz w:val="20"/>
          <w:szCs w:val="20"/>
          <w:color w:val="auto"/>
        </w:rPr>
      </w:pPr>
    </w:p>
    <w:p>
      <w:pPr>
        <w:ind w:left="400"/>
        <w:spacing w:after="0" w:line="297" w:lineRule="auto"/>
        <w:rPr>
          <w:sz w:val="20"/>
          <w:szCs w:val="20"/>
          <w:color w:val="auto"/>
        </w:rPr>
      </w:pPr>
      <w:r>
        <w:rPr>
          <w:rFonts w:ascii="Times New Roman" w:cs="Times New Roman" w:eastAsia="Times New Roman" w:hAnsi="Times New Roman"/>
          <w:sz w:val="18"/>
          <w:szCs w:val="18"/>
          <w:color w:val="auto"/>
        </w:rPr>
        <w:t>As of December 31, 2022, there was $527 of unrecognized share-based compensation expense related to the ESPP that is expected to be recognized over an average vesting period of 0.2 years.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18"/>
          <w:szCs w:val="18"/>
          <w:b w:val="1"/>
          <w:bCs w:val="1"/>
          <w:color w:val="auto"/>
        </w:rPr>
        <w:t>WALKME LTD. AND ITS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7"/>
          <w:szCs w:val="17"/>
          <w:b w:val="1"/>
          <w:bCs w:val="1"/>
          <w:color w:val="auto"/>
        </w:rPr>
        <w:t>CONVERTIBLE PREFERRED SHARES, SHAREHOLDERS’ EQUITY AND EQUITY INCENTIVE PLAN (Cont.)</w:t>
      </w:r>
    </w:p>
    <w:p>
      <w:pPr>
        <w:spacing w:after="0" w:line="256" w:lineRule="exact"/>
        <w:rPr>
          <w:sz w:val="20"/>
          <w:szCs w:val="20"/>
          <w:color w:val="auto"/>
        </w:rPr>
      </w:pPr>
    </w:p>
    <w:p>
      <w:pPr>
        <w:ind w:left="380" w:hanging="372"/>
        <w:spacing w:after="0"/>
        <w:tabs>
          <w:tab w:leader="none" w:pos="3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 expense by award type was as follows:</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59"/>
        </w:trPr>
        <w:tc>
          <w:tcPr>
            <w:tcW w:w="63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7"/>
        </w:trPr>
        <w:tc>
          <w:tcPr>
            <w:tcW w:w="6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4"/>
              </w:rPr>
              <w:t>2020</w:t>
            </w:r>
          </w:p>
        </w:tc>
        <w:tc>
          <w:tcPr>
            <w:tcW w:w="100" w:type="dxa"/>
            <w:vAlign w:val="bottom"/>
          </w:tcPr>
          <w:p>
            <w:pPr>
              <w:spacing w:after="0"/>
              <w:rPr>
                <w:sz w:val="20"/>
                <w:szCs w:val="20"/>
                <w:color w:val="auto"/>
              </w:rPr>
            </w:pPr>
          </w:p>
        </w:tc>
      </w:tr>
      <w:tr>
        <w:trPr>
          <w:trHeight w:val="229"/>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options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20,167</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21,359</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14,017</w:t>
            </w:r>
          </w:p>
        </w:tc>
        <w:tc>
          <w:tcPr>
            <w:tcW w:w="100" w:type="dxa"/>
            <w:vAlign w:val="bottom"/>
            <w:shd w:val="clear" w:color="auto" w:fill="CCEEFF"/>
          </w:tcPr>
          <w:p>
            <w:pPr>
              <w:spacing w:after="0"/>
              <w:rPr>
                <w:sz w:val="19"/>
                <w:szCs w:val="19"/>
                <w:color w:val="auto"/>
              </w:rPr>
            </w:pPr>
          </w:p>
        </w:tc>
      </w:tr>
      <w:tr>
        <w:trPr>
          <w:trHeight w:val="23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RSUs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4,842</w:t>
            </w:r>
          </w:p>
        </w:tc>
        <w:tc>
          <w:tcPr>
            <w:tcW w:w="3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ESPP</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3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0"/>
        </w:trPr>
        <w:tc>
          <w:tcPr>
            <w:tcW w:w="6300" w:type="dxa"/>
            <w:vAlign w:val="bottom"/>
          </w:tcPr>
          <w:p>
            <w:pPr>
              <w:spacing w:after="0"/>
              <w:rPr>
                <w:sz w:val="19"/>
                <w:szCs w:val="19"/>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50,104</w:t>
            </w:r>
          </w:p>
        </w:tc>
        <w:tc>
          <w:tcPr>
            <w:tcW w:w="3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27,332</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14,017</w:t>
            </w:r>
          </w:p>
        </w:tc>
      </w:tr>
      <w:tr>
        <w:trPr>
          <w:trHeight w:val="20"/>
        </w:trPr>
        <w:tc>
          <w:tcPr>
            <w:tcW w:w="6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share-based compensation expense by line item in the accompanying consolidated statements of operations is summarized as follows:</w:t>
      </w:r>
    </w:p>
    <w:p>
      <w:pPr>
        <w:spacing w:after="0" w:line="235" w:lineRule="exact"/>
        <w:rPr>
          <w:sz w:val="20"/>
          <w:szCs w:val="20"/>
          <w:color w:val="auto"/>
        </w:rPr>
      </w:pPr>
    </w:p>
    <w:tbl>
      <w:tblPr>
        <w:tblLayout w:type="fixed"/>
        <w:tblInd w:w="500" w:type="dxa"/>
        <w:tblCellMar>
          <w:top w:w="0" w:type="dxa"/>
          <w:left w:w="0" w:type="dxa"/>
          <w:bottom w:w="0" w:type="dxa"/>
          <w:right w:w="0" w:type="dxa"/>
        </w:tblCellMar>
      </w:tblPr>
      <w:tr>
        <w:trPr>
          <w:trHeight w:val="259"/>
        </w:trPr>
        <w:tc>
          <w:tcPr>
            <w:tcW w:w="63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7"/>
        </w:trPr>
        <w:tc>
          <w:tcPr>
            <w:tcW w:w="6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4"/>
              </w:rPr>
              <w:t>2020</w:t>
            </w:r>
          </w:p>
        </w:tc>
        <w:tc>
          <w:tcPr>
            <w:tcW w:w="100" w:type="dxa"/>
            <w:vAlign w:val="bottom"/>
          </w:tcPr>
          <w:p>
            <w:pPr>
              <w:spacing w:after="0"/>
              <w:rPr>
                <w:sz w:val="20"/>
                <w:szCs w:val="20"/>
                <w:color w:val="auto"/>
              </w:rPr>
            </w:pPr>
          </w:p>
        </w:tc>
      </w:tr>
      <w:tr>
        <w:trPr>
          <w:trHeight w:val="229"/>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19"/>
                <w:szCs w:val="19"/>
                <w:color w:val="auto"/>
              </w:rPr>
            </w:pPr>
          </w:p>
        </w:tc>
      </w:tr>
      <w:tr>
        <w:trPr>
          <w:trHeight w:val="23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3,863</w:t>
            </w:r>
          </w:p>
        </w:tc>
        <w:tc>
          <w:tcPr>
            <w:tcW w:w="3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1,596</w:t>
            </w:r>
          </w:p>
        </w:tc>
      </w:tr>
      <w:tr>
        <w:trPr>
          <w:trHeight w:val="229"/>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19,126</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8,205</w:t>
            </w:r>
          </w:p>
        </w:tc>
        <w:tc>
          <w:tcPr>
            <w:tcW w:w="3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1,105</w:t>
            </w:r>
          </w:p>
        </w:tc>
      </w:tr>
      <w:tr>
        <w:trPr>
          <w:trHeight w:val="237"/>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19,797</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13,460</w:t>
            </w:r>
          </w:p>
        </w:tc>
        <w:tc>
          <w:tcPr>
            <w:tcW w:w="3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11,115</w:t>
            </w:r>
          </w:p>
        </w:tc>
      </w:tr>
      <w:tr>
        <w:trPr>
          <w:trHeight w:val="270"/>
        </w:trPr>
        <w:tc>
          <w:tcPr>
            <w:tcW w:w="63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50,104</w:t>
            </w:r>
          </w:p>
        </w:tc>
        <w:tc>
          <w:tcPr>
            <w:tcW w:w="1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27,332</w:t>
            </w:r>
          </w:p>
        </w:tc>
        <w:tc>
          <w:tcPr>
            <w:tcW w:w="1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14,017</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211" w:lineRule="exact"/>
        <w:rPr>
          <w:sz w:val="20"/>
          <w:szCs w:val="20"/>
          <w:color w:val="auto"/>
        </w:rPr>
      </w:pPr>
    </w:p>
    <w:p>
      <w:pPr>
        <w:ind w:left="380" w:hanging="372"/>
        <w:spacing w:after="0"/>
        <w:tabs>
          <w:tab w:leader="none" w:pos="3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share transactions:</w:t>
      </w:r>
    </w:p>
    <w:p>
      <w:pPr>
        <w:spacing w:after="0" w:line="238" w:lineRule="exact"/>
        <w:rPr>
          <w:rFonts w:ascii="Times New Roman" w:cs="Times New Roman" w:eastAsia="Times New Roman" w:hAnsi="Times New Roman"/>
          <w:sz w:val="18"/>
          <w:szCs w:val="18"/>
          <w:color w:val="auto"/>
        </w:rPr>
      </w:pPr>
    </w:p>
    <w:p>
      <w:pPr>
        <w:jc w:val="both"/>
        <w:ind w:left="4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2020 the Company facilitated several secondary transactions, in which certain current employees and shareholders, sold a portion of their Ordinary Shares to other shareholders. The Company recorded share-based compensation expenses for the amount realized by the employees in excess of the estimated fair value of their respective shares. In addition, the Company recorded a deemed dividend for the amount paid to other shareholders, in excess of the estimated fair value of their respective shares. The total amount resulted in $8,536 of incremental share-based compensation expense and $4,569 of deemed dividend for the year ended December 31, 2020.</w:t>
      </w:r>
    </w:p>
    <w:p>
      <w:pPr>
        <w:spacing w:after="0" w:line="185"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NOTE 11:</w:t>
      </w:r>
      <w:r>
        <w:rPr>
          <w:sz w:val="20"/>
          <w:szCs w:val="20"/>
          <w:color w:val="auto"/>
        </w:rPr>
        <w:tab/>
      </w:r>
      <w:r>
        <w:rPr>
          <w:rFonts w:ascii="Times New Roman" w:cs="Times New Roman" w:eastAsia="Times New Roman" w:hAnsi="Times New Roman"/>
          <w:sz w:val="17"/>
          <w:szCs w:val="17"/>
          <w:b w:val="1"/>
          <w:bCs w:val="1"/>
          <w:color w:val="auto"/>
        </w:rPr>
        <w:t>TAXES ON INCOME</w:t>
      </w:r>
    </w:p>
    <w:p>
      <w:pPr>
        <w:spacing w:after="0" w:line="243" w:lineRule="exact"/>
        <w:rPr>
          <w:sz w:val="20"/>
          <w:szCs w:val="20"/>
          <w:color w:val="auto"/>
        </w:rPr>
      </w:pPr>
    </w:p>
    <w:p>
      <w:pPr>
        <w:ind w:left="380" w:hanging="372"/>
        <w:spacing w:after="0"/>
        <w:tabs>
          <w:tab w:leader="none" w:pos="3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taxable income in Israel is subject to a corporate tax rate of 23%.</w:t>
      </w:r>
    </w:p>
    <w:p>
      <w:pPr>
        <w:spacing w:after="0" w:line="238" w:lineRule="exact"/>
        <w:rPr>
          <w:rFonts w:ascii="Times New Roman" w:cs="Times New Roman" w:eastAsia="Times New Roman" w:hAnsi="Times New Roman"/>
          <w:sz w:val="18"/>
          <w:szCs w:val="18"/>
          <w:color w:val="auto"/>
        </w:rPr>
      </w:pPr>
    </w:p>
    <w:p>
      <w:pPr>
        <w:ind w:left="40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applies various benefits allotted to it under the revised Investment Law as per Amendment 73, which includes a number of changes to the Investment Law regimes through regulations that have come into effect from January 1, 2017. Applicable benefits under the new regime include:</w:t>
      </w:r>
    </w:p>
    <w:p>
      <w:pPr>
        <w:spacing w:after="0" w:line="189" w:lineRule="exact"/>
        <w:rPr>
          <w:sz w:val="20"/>
          <w:szCs w:val="20"/>
          <w:color w:val="auto"/>
        </w:rPr>
      </w:pPr>
    </w:p>
    <w:p>
      <w:pPr>
        <w:jc w:val="both"/>
        <w:ind w:left="1020"/>
        <w:spacing w:after="0" w:line="266" w:lineRule="auto"/>
        <w:rPr>
          <w:sz w:val="20"/>
          <w:szCs w:val="20"/>
          <w:color w:val="auto"/>
        </w:rPr>
      </w:pPr>
      <w:r>
        <w:rPr>
          <w:rFonts w:ascii="Times New Roman" w:cs="Times New Roman" w:eastAsia="Times New Roman" w:hAnsi="Times New Roman"/>
          <w:sz w:val="18"/>
          <w:szCs w:val="18"/>
          <w:color w:val="auto"/>
        </w:rPr>
        <w:t>Introduction of a benefit regime for “Preferred Technology Enterprises” (“PTE”), granting a 12% tax rate in central Israel on income deriving from Benefited Intangible Assets, subject to a number of conditions being fulfilled, including a minimal amount or ratio of annual R&amp;D expenditure and R&amp;D employees, as well as having at least 25% of annual income derived from exports to large markets. PTE is defined as an enterprise which meets the aforementioned conditions and for which total consolidated revenues of its parent company and all subsidiaries are less than NIS 10 billion.</w:t>
      </w:r>
    </w:p>
    <w:p>
      <w:pPr>
        <w:spacing w:after="0" w:line="203" w:lineRule="exact"/>
        <w:rPr>
          <w:sz w:val="20"/>
          <w:szCs w:val="20"/>
          <w:color w:val="auto"/>
        </w:rPr>
      </w:pPr>
    </w:p>
    <w:p>
      <w:pPr>
        <w:ind w:left="1020" w:hanging="310"/>
        <w:spacing w:after="0" w:line="282" w:lineRule="auto"/>
        <w:tabs>
          <w:tab w:leader="none" w:pos="10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12% capital gains tax rate on the sale of a preferred intangible asset to a foreign affiliated enterprise, provided that the asset was initially purchased from a foreign resident at an amount of NIS 200 million or more.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18"/>
          <w:szCs w:val="18"/>
          <w:b w:val="1"/>
          <w:bCs w:val="1"/>
          <w:color w:val="auto"/>
        </w:rPr>
        <w:t>WALKME LTD. AND ITS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9"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NOTE 11:</w:t>
      </w:r>
      <w:r>
        <w:rPr>
          <w:sz w:val="20"/>
          <w:szCs w:val="20"/>
          <w:color w:val="auto"/>
        </w:rPr>
        <w:tab/>
      </w:r>
      <w:r>
        <w:rPr>
          <w:rFonts w:ascii="Times New Roman" w:cs="Times New Roman" w:eastAsia="Times New Roman" w:hAnsi="Times New Roman"/>
          <w:sz w:val="17"/>
          <w:szCs w:val="17"/>
          <w:b w:val="1"/>
          <w:bCs w:val="1"/>
          <w:color w:val="auto"/>
        </w:rPr>
        <w:t>TAXES ON INCOME (Cont.)</w:t>
      </w:r>
    </w:p>
    <w:p>
      <w:pPr>
        <w:spacing w:after="0" w:line="243" w:lineRule="exact"/>
        <w:rPr>
          <w:sz w:val="20"/>
          <w:szCs w:val="20"/>
          <w:color w:val="auto"/>
        </w:rPr>
      </w:pPr>
    </w:p>
    <w:p>
      <w:pPr>
        <w:ind w:left="1020" w:right="240" w:hanging="310"/>
        <w:spacing w:after="0" w:line="266" w:lineRule="auto"/>
        <w:tabs>
          <w:tab w:leader="none" w:pos="10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withholding tax rate of 20% for dividends paid from PTE income (with an exemption from such withholding tax applying to dividends paid to an Israeli company) may be reduced to 4% on dividends paid to a foreign resident company, subject to certain conditions regarding percentage of foreign ownership of the distributing entity.</w:t>
      </w:r>
    </w:p>
    <w:p>
      <w:pPr>
        <w:spacing w:after="0" w:line="1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currently believes it is eligible for tax benefits under the PTE tax regime.</w:t>
      </w:r>
    </w:p>
    <w:p>
      <w:pPr>
        <w:spacing w:after="0" w:line="2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subsidiaries are separately taxed under the local tax laws of the jurisdiction of incorporation of each entity.</w:t>
      </w:r>
    </w:p>
    <w:p>
      <w:pPr>
        <w:spacing w:after="0" w:line="239" w:lineRule="exact"/>
        <w:rPr>
          <w:sz w:val="20"/>
          <w:szCs w:val="20"/>
          <w:color w:val="auto"/>
        </w:rPr>
      </w:pPr>
    </w:p>
    <w:p>
      <w:pPr>
        <w:ind w:left="380" w:hanging="372"/>
        <w:spacing w:after="0"/>
        <w:tabs>
          <w:tab w:leader="none" w:pos="3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before income taxes is comprised as follows:</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59"/>
        </w:trPr>
        <w:tc>
          <w:tcPr>
            <w:tcW w:w="63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23"/>
        </w:trPr>
        <w:tc>
          <w:tcPr>
            <w:tcW w:w="6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4"/>
              </w:rPr>
              <w:t>2020</w:t>
            </w:r>
          </w:p>
        </w:tc>
        <w:tc>
          <w:tcPr>
            <w:tcW w:w="100" w:type="dxa"/>
            <w:vAlign w:val="bottom"/>
          </w:tcPr>
          <w:p>
            <w:pPr>
              <w:spacing w:after="0"/>
              <w:rPr>
                <w:sz w:val="19"/>
                <w:szCs w:val="19"/>
                <w:color w:val="auto"/>
              </w:rPr>
            </w:pPr>
          </w:p>
        </w:tc>
      </w:tr>
      <w:tr>
        <w:trPr>
          <w:trHeight w:val="230"/>
        </w:trPr>
        <w:tc>
          <w:tcPr>
            <w:tcW w:w="6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Israel</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102,013</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68,924</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38,941</w:t>
            </w:r>
          </w:p>
        </w:tc>
        <w:tc>
          <w:tcPr>
            <w:tcW w:w="100" w:type="dxa"/>
            <w:vAlign w:val="bottom"/>
            <w:shd w:val="clear" w:color="auto" w:fill="CCEEFF"/>
          </w:tcPr>
          <w:p>
            <w:pPr>
              <w:spacing w:after="0"/>
              <w:rPr>
                <w:sz w:val="19"/>
                <w:szCs w:val="19"/>
                <w:color w:val="auto"/>
              </w:rPr>
            </w:pPr>
          </w:p>
        </w:tc>
      </w:tr>
      <w:tr>
        <w:trPr>
          <w:trHeight w:val="237"/>
        </w:trPr>
        <w:tc>
          <w:tcPr>
            <w:tcW w:w="6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8,875</w:t>
            </w:r>
          </w:p>
        </w:tc>
        <w:tc>
          <w:tcPr>
            <w:tcW w:w="3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4,376</w:t>
            </w:r>
          </w:p>
        </w:tc>
      </w:tr>
      <w:tr>
        <w:trPr>
          <w:trHeight w:val="270"/>
        </w:trPr>
        <w:tc>
          <w:tcPr>
            <w:tcW w:w="63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104,519</w:t>
            </w:r>
          </w:p>
        </w:tc>
        <w:tc>
          <w:tcPr>
            <w:tcW w:w="1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77,799</w:t>
            </w:r>
          </w:p>
        </w:tc>
        <w:tc>
          <w:tcPr>
            <w:tcW w:w="1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43,317</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198" w:lineRule="exact"/>
        <w:rPr>
          <w:sz w:val="20"/>
          <w:szCs w:val="20"/>
          <w:color w:val="auto"/>
        </w:rPr>
      </w:pPr>
    </w:p>
    <w:p>
      <w:pPr>
        <w:ind w:left="380" w:hanging="372"/>
        <w:spacing w:after="0"/>
        <w:tabs>
          <w:tab w:leader="none" w:pos="3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 are comprised as follows:</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59"/>
        </w:trPr>
        <w:tc>
          <w:tcPr>
            <w:tcW w:w="398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23"/>
        </w:trPr>
        <w:tc>
          <w:tcPr>
            <w:tcW w:w="39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4"/>
              </w:rPr>
              <w:t>2020</w:t>
            </w:r>
          </w:p>
        </w:tc>
        <w:tc>
          <w:tcPr>
            <w:tcW w:w="100" w:type="dxa"/>
            <w:vAlign w:val="bottom"/>
          </w:tcPr>
          <w:p>
            <w:pPr>
              <w:spacing w:after="0"/>
              <w:rPr>
                <w:sz w:val="19"/>
                <w:szCs w:val="19"/>
                <w:color w:val="auto"/>
              </w:rPr>
            </w:pPr>
          </w:p>
        </w:tc>
      </w:tr>
      <w:tr>
        <w:trPr>
          <w:trHeight w:val="229"/>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w:t>
            </w:r>
          </w:p>
        </w:tc>
        <w:tc>
          <w:tcPr>
            <w:tcW w:w="2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3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Israel</w:t>
            </w:r>
          </w:p>
        </w:tc>
        <w:tc>
          <w:tcPr>
            <w:tcW w:w="25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3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103</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w:t>
            </w:r>
          </w:p>
        </w:tc>
      </w:tr>
      <w:tr>
        <w:trPr>
          <w:trHeight w:val="230"/>
        </w:trPr>
        <w:tc>
          <w:tcPr>
            <w:tcW w:w="3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Foreign</w:t>
            </w:r>
          </w:p>
        </w:tc>
        <w:tc>
          <w:tcPr>
            <w:tcW w:w="2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1,011</w:t>
            </w:r>
          </w:p>
        </w:tc>
      </w:tr>
      <w:tr>
        <w:trPr>
          <w:trHeight w:val="27"/>
        </w:trPr>
        <w:tc>
          <w:tcPr>
            <w:tcW w:w="398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7"/>
        </w:trPr>
        <w:tc>
          <w:tcPr>
            <w:tcW w:w="3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taxes</w:t>
            </w:r>
          </w:p>
        </w:tc>
        <w:tc>
          <w:tcPr>
            <w:tcW w:w="2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1,164</w:t>
            </w:r>
          </w:p>
        </w:tc>
      </w:tr>
      <w:tr>
        <w:trPr>
          <w:trHeight w:val="230"/>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w:t>
            </w:r>
          </w:p>
        </w:tc>
        <w:tc>
          <w:tcPr>
            <w:tcW w:w="2320" w:type="dxa"/>
            <w:vAlign w:val="bottom"/>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3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Israel</w:t>
            </w:r>
          </w:p>
        </w:tc>
        <w:tc>
          <w:tcPr>
            <w:tcW w:w="2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Foreign</w:t>
            </w:r>
          </w:p>
        </w:tc>
        <w:tc>
          <w:tcPr>
            <w:tcW w:w="2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544</w:t>
            </w:r>
          </w:p>
        </w:tc>
      </w:tr>
      <w:tr>
        <w:trPr>
          <w:trHeight w:val="27"/>
        </w:trPr>
        <w:tc>
          <w:tcPr>
            <w:tcW w:w="398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7"/>
        </w:trPr>
        <w:tc>
          <w:tcPr>
            <w:tcW w:w="3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deferred taxes</w:t>
            </w:r>
          </w:p>
        </w:tc>
        <w:tc>
          <w:tcPr>
            <w:tcW w:w="2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544</w:t>
            </w:r>
          </w:p>
        </w:tc>
      </w:tr>
      <w:tr>
        <w:trPr>
          <w:trHeight w:val="270"/>
        </w:trPr>
        <w:tc>
          <w:tcPr>
            <w:tcW w:w="3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income taxes</w:t>
            </w:r>
          </w:p>
        </w:tc>
        <w:tc>
          <w:tcPr>
            <w:tcW w:w="23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3,831</w:t>
            </w:r>
          </w:p>
        </w:tc>
        <w:tc>
          <w:tcPr>
            <w:tcW w:w="1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1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211" w:lineRule="exact"/>
        <w:rPr>
          <w:sz w:val="20"/>
          <w:szCs w:val="20"/>
          <w:color w:val="auto"/>
        </w:rPr>
      </w:pPr>
    </w:p>
    <w:p>
      <w:pPr>
        <w:ind w:left="380" w:hanging="372"/>
        <w:spacing w:after="0"/>
        <w:tabs>
          <w:tab w:leader="none" w:pos="3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reconciliation of the Company's theoretical income tax benefit to actual income tax expense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0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0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23"/>
        </w:trPr>
        <w:tc>
          <w:tcPr>
            <w:tcW w:w="50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6"/>
        </w:trPr>
        <w:tc>
          <w:tcPr>
            <w:tcW w:w="5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480" w:type="dxa"/>
            <w:vAlign w:val="bottom"/>
            <w:gridSpan w:val="2"/>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860" w:type="dxa"/>
            <w:vAlign w:val="bottom"/>
            <w:gridSpan w:val="2"/>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500" w:type="dxa"/>
            <w:vAlign w:val="bottom"/>
          </w:tcPr>
          <w:p>
            <w:pPr>
              <w:spacing w:after="0"/>
              <w:rPr>
                <w:sz w:val="19"/>
                <w:szCs w:val="19"/>
                <w:color w:val="auto"/>
              </w:rPr>
            </w:pPr>
          </w:p>
        </w:tc>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4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104,519</w:t>
            </w:r>
          </w:p>
        </w:tc>
        <w:tc>
          <w:tcPr>
            <w:tcW w:w="2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77,799</w:t>
            </w:r>
          </w:p>
        </w:tc>
        <w:tc>
          <w:tcPr>
            <w:tcW w:w="32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43,317</w:t>
            </w:r>
          </w:p>
        </w:tc>
        <w:tc>
          <w:tcPr>
            <w:tcW w:w="1080" w:type="dxa"/>
            <w:vAlign w:val="bottom"/>
          </w:tcPr>
          <w:p>
            <w:pPr>
              <w:spacing w:after="0"/>
              <w:rPr>
                <w:sz w:val="19"/>
                <w:szCs w:val="19"/>
                <w:color w:val="auto"/>
              </w:rPr>
            </w:pPr>
          </w:p>
        </w:tc>
      </w:tr>
      <w:tr>
        <w:trPr>
          <w:trHeight w:val="237"/>
        </w:trPr>
        <w:tc>
          <w:tcPr>
            <w:tcW w:w="500" w:type="dxa"/>
            <w:vAlign w:val="bottom"/>
          </w:tcPr>
          <w:p>
            <w:pPr>
              <w:spacing w:after="0"/>
              <w:rPr>
                <w:sz w:val="20"/>
                <w:szCs w:val="20"/>
                <w:color w:val="auto"/>
              </w:rPr>
            </w:pPr>
          </w:p>
        </w:tc>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Statutory tax rate</w:t>
            </w:r>
          </w:p>
        </w:tc>
        <w:tc>
          <w:tcPr>
            <w:tcW w:w="2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80" w:type="dxa"/>
            <w:vAlign w:val="bottom"/>
          </w:tcPr>
          <w:p>
            <w:pPr>
              <w:spacing w:after="0"/>
              <w:rPr>
                <w:sz w:val="20"/>
                <w:szCs w:val="20"/>
                <w:color w:val="auto"/>
              </w:rPr>
            </w:pPr>
          </w:p>
        </w:tc>
      </w:tr>
      <w:tr>
        <w:trPr>
          <w:trHeight w:val="230"/>
        </w:trPr>
        <w:tc>
          <w:tcPr>
            <w:tcW w:w="500" w:type="dxa"/>
            <w:vAlign w:val="bottom"/>
          </w:tcPr>
          <w:p>
            <w:pPr>
              <w:spacing w:after="0"/>
              <w:rPr>
                <w:sz w:val="19"/>
                <w:szCs w:val="19"/>
                <w:color w:val="auto"/>
              </w:rPr>
            </w:pPr>
          </w:p>
        </w:tc>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Theoretical income tax benefit</w:t>
            </w:r>
          </w:p>
        </w:tc>
        <w:tc>
          <w:tcPr>
            <w:tcW w:w="2280" w:type="dxa"/>
            <w:vAlign w:val="bottom"/>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(24,039</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(17,894</w:t>
            </w:r>
          </w:p>
        </w:tc>
        <w:tc>
          <w:tcPr>
            <w:tcW w:w="2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(9,963</w:t>
            </w:r>
          </w:p>
        </w:tc>
        <w:tc>
          <w:tcPr>
            <w:tcW w:w="1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spacing w:after="0"/>
              <w:rPr>
                <w:sz w:val="19"/>
                <w:szCs w:val="19"/>
                <w:color w:val="auto"/>
              </w:rPr>
            </w:pPr>
          </w:p>
        </w:tc>
      </w:tr>
      <w:tr>
        <w:trPr>
          <w:trHeight w:val="229"/>
        </w:trPr>
        <w:tc>
          <w:tcPr>
            <w:tcW w:w="500" w:type="dxa"/>
            <w:vAlign w:val="bottom"/>
          </w:tcPr>
          <w:p>
            <w:pPr>
              <w:spacing w:after="0"/>
              <w:rPr>
                <w:sz w:val="19"/>
                <w:szCs w:val="19"/>
                <w:color w:val="auto"/>
              </w:rPr>
            </w:pPr>
          </w:p>
        </w:tc>
        <w:tc>
          <w:tcPr>
            <w:tcW w:w="38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Preferred technology enterprise</w:t>
            </w:r>
          </w:p>
        </w:tc>
        <w:tc>
          <w:tcPr>
            <w:tcW w:w="2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11,221</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7,582</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4,284</w:t>
            </w:r>
          </w:p>
        </w:tc>
        <w:tc>
          <w:tcPr>
            <w:tcW w:w="1080" w:type="dxa"/>
            <w:vAlign w:val="bottom"/>
          </w:tcPr>
          <w:p>
            <w:pPr>
              <w:spacing w:after="0"/>
              <w:rPr>
                <w:sz w:val="19"/>
                <w:szCs w:val="19"/>
                <w:color w:val="auto"/>
              </w:rPr>
            </w:pPr>
          </w:p>
        </w:tc>
      </w:tr>
      <w:tr>
        <w:trPr>
          <w:trHeight w:val="230"/>
        </w:trPr>
        <w:tc>
          <w:tcPr>
            <w:tcW w:w="500" w:type="dxa"/>
            <w:vAlign w:val="bottom"/>
          </w:tcPr>
          <w:p>
            <w:pPr>
              <w:spacing w:after="0"/>
              <w:rPr>
                <w:sz w:val="19"/>
                <w:szCs w:val="19"/>
                <w:color w:val="auto"/>
              </w:rPr>
            </w:pPr>
          </w:p>
        </w:tc>
        <w:tc>
          <w:tcPr>
            <w:tcW w:w="38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2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(300)</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(597)</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213</w:t>
            </w:r>
          </w:p>
        </w:tc>
        <w:tc>
          <w:tcPr>
            <w:tcW w:w="1080" w:type="dxa"/>
            <w:vAlign w:val="bottom"/>
          </w:tcPr>
          <w:p>
            <w:pPr>
              <w:spacing w:after="0"/>
              <w:rPr>
                <w:sz w:val="19"/>
                <w:szCs w:val="19"/>
                <w:color w:val="auto"/>
              </w:rPr>
            </w:pPr>
          </w:p>
        </w:tc>
      </w:tr>
      <w:tr>
        <w:trPr>
          <w:trHeight w:val="230"/>
        </w:trPr>
        <w:tc>
          <w:tcPr>
            <w:tcW w:w="500" w:type="dxa"/>
            <w:vAlign w:val="bottom"/>
          </w:tcPr>
          <w:p>
            <w:pPr>
              <w:spacing w:after="0"/>
              <w:rPr>
                <w:sz w:val="19"/>
                <w:szCs w:val="19"/>
                <w:color w:val="auto"/>
              </w:rPr>
            </w:pPr>
          </w:p>
        </w:tc>
        <w:tc>
          <w:tcPr>
            <w:tcW w:w="38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Unrecognized tax benefits</w:t>
            </w:r>
          </w:p>
        </w:tc>
        <w:tc>
          <w:tcPr>
            <w:tcW w:w="2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3,159</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1,272</w:t>
            </w:r>
          </w:p>
        </w:tc>
        <w:tc>
          <w:tcPr>
            <w:tcW w:w="1080" w:type="dxa"/>
            <w:vAlign w:val="bottom"/>
          </w:tcPr>
          <w:p>
            <w:pPr>
              <w:spacing w:after="0"/>
              <w:rPr>
                <w:sz w:val="19"/>
                <w:szCs w:val="19"/>
                <w:color w:val="auto"/>
              </w:rPr>
            </w:pPr>
          </w:p>
        </w:tc>
      </w:tr>
      <w:tr>
        <w:trPr>
          <w:trHeight w:val="230"/>
        </w:trPr>
        <w:tc>
          <w:tcPr>
            <w:tcW w:w="500" w:type="dxa"/>
            <w:vAlign w:val="bottom"/>
          </w:tcPr>
          <w:p>
            <w:pPr>
              <w:spacing w:after="0"/>
              <w:rPr>
                <w:sz w:val="19"/>
                <w:szCs w:val="19"/>
                <w:color w:val="auto"/>
              </w:rPr>
            </w:pPr>
          </w:p>
        </w:tc>
        <w:tc>
          <w:tcPr>
            <w:tcW w:w="38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2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11,421</w:t>
            </w: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7,498</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3,827</w:t>
            </w:r>
          </w:p>
        </w:tc>
        <w:tc>
          <w:tcPr>
            <w:tcW w:w="1080" w:type="dxa"/>
            <w:vAlign w:val="bottom"/>
          </w:tcPr>
          <w:p>
            <w:pPr>
              <w:spacing w:after="0"/>
              <w:rPr>
                <w:sz w:val="19"/>
                <w:szCs w:val="19"/>
                <w:color w:val="auto"/>
              </w:rPr>
            </w:pPr>
          </w:p>
        </w:tc>
      </w:tr>
      <w:tr>
        <w:trPr>
          <w:trHeight w:val="229"/>
        </w:trPr>
        <w:tc>
          <w:tcPr>
            <w:tcW w:w="500" w:type="dxa"/>
            <w:vAlign w:val="bottom"/>
          </w:tcPr>
          <w:p>
            <w:pPr>
              <w:spacing w:after="0"/>
              <w:rPr>
                <w:sz w:val="19"/>
                <w:szCs w:val="19"/>
                <w:color w:val="auto"/>
              </w:rPr>
            </w:pPr>
          </w:p>
        </w:tc>
        <w:tc>
          <w:tcPr>
            <w:tcW w:w="38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Share-based compensation</w:t>
            </w:r>
          </w:p>
        </w:tc>
        <w:tc>
          <w:tcPr>
            <w:tcW w:w="2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3,745</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2,519</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1,327</w:t>
            </w:r>
          </w:p>
        </w:tc>
        <w:tc>
          <w:tcPr>
            <w:tcW w:w="1080" w:type="dxa"/>
            <w:vAlign w:val="bottom"/>
          </w:tcPr>
          <w:p>
            <w:pPr>
              <w:spacing w:after="0"/>
              <w:rPr>
                <w:sz w:val="19"/>
                <w:szCs w:val="19"/>
                <w:color w:val="auto"/>
              </w:rPr>
            </w:pPr>
          </w:p>
        </w:tc>
      </w:tr>
      <w:tr>
        <w:trPr>
          <w:trHeight w:val="229"/>
        </w:trPr>
        <w:tc>
          <w:tcPr>
            <w:tcW w:w="500" w:type="dxa"/>
            <w:vAlign w:val="bottom"/>
          </w:tcPr>
          <w:p>
            <w:pPr>
              <w:spacing w:after="0"/>
              <w:rPr>
                <w:sz w:val="19"/>
                <w:szCs w:val="19"/>
                <w:color w:val="auto"/>
              </w:rPr>
            </w:pPr>
          </w:p>
        </w:tc>
        <w:tc>
          <w:tcPr>
            <w:tcW w:w="38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Non-deductible expenses</w:t>
            </w:r>
          </w:p>
        </w:tc>
        <w:tc>
          <w:tcPr>
            <w:tcW w:w="2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513</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234</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790</w:t>
            </w:r>
          </w:p>
        </w:tc>
        <w:tc>
          <w:tcPr>
            <w:tcW w:w="1080" w:type="dxa"/>
            <w:vAlign w:val="bottom"/>
          </w:tcPr>
          <w:p>
            <w:pPr>
              <w:spacing w:after="0"/>
              <w:rPr>
                <w:sz w:val="19"/>
                <w:szCs w:val="19"/>
                <w:color w:val="auto"/>
              </w:rPr>
            </w:pPr>
          </w:p>
        </w:tc>
      </w:tr>
      <w:tr>
        <w:trPr>
          <w:trHeight w:val="236"/>
        </w:trPr>
        <w:tc>
          <w:tcPr>
            <w:tcW w:w="500" w:type="dxa"/>
            <w:vAlign w:val="bottom"/>
          </w:tcPr>
          <w:p>
            <w:pPr>
              <w:spacing w:after="0"/>
              <w:rPr>
                <w:sz w:val="20"/>
                <w:szCs w:val="20"/>
                <w:color w:val="auto"/>
              </w:rPr>
            </w:pPr>
          </w:p>
        </w:tc>
        <w:tc>
          <w:tcPr>
            <w:tcW w:w="38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2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(78)</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(42)</w:t>
            </w:r>
          </w:p>
        </w:tc>
        <w:tc>
          <w:tcPr>
            <w:tcW w:w="1080" w:type="dxa"/>
            <w:vAlign w:val="bottom"/>
          </w:tcPr>
          <w:p>
            <w:pPr>
              <w:spacing w:after="0"/>
              <w:rPr>
                <w:sz w:val="20"/>
                <w:szCs w:val="20"/>
                <w:color w:val="auto"/>
              </w:rPr>
            </w:pPr>
          </w:p>
        </w:tc>
      </w:tr>
      <w:tr>
        <w:trPr>
          <w:trHeight w:val="270"/>
        </w:trPr>
        <w:tc>
          <w:tcPr>
            <w:tcW w:w="500" w:type="dxa"/>
            <w:vAlign w:val="bottom"/>
          </w:tcPr>
          <w:p>
            <w:pPr>
              <w:spacing w:after="0"/>
              <w:rPr>
                <w:sz w:val="23"/>
                <w:szCs w:val="23"/>
                <w:color w:val="auto"/>
              </w:rPr>
            </w:pPr>
          </w:p>
        </w:tc>
        <w:tc>
          <w:tcPr>
            <w:tcW w:w="38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Actual tax expense</w:t>
            </w:r>
          </w:p>
        </w:tc>
        <w:tc>
          <w:tcPr>
            <w:tcW w:w="22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3,831</w:t>
            </w:r>
          </w:p>
        </w:tc>
        <w:tc>
          <w:tcPr>
            <w:tcW w:w="2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2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Pr>
          <w:p>
            <w:pPr>
              <w:spacing w:after="0"/>
              <w:rPr>
                <w:sz w:val="23"/>
                <w:szCs w:val="23"/>
                <w:color w:val="auto"/>
              </w:rPr>
            </w:pPr>
          </w:p>
        </w:tc>
      </w:tr>
      <w:tr>
        <w:trPr>
          <w:trHeight w:val="614"/>
        </w:trPr>
        <w:tc>
          <w:tcPr>
            <w:tcW w:w="5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480" w:type="dxa"/>
            <w:vAlign w:val="bottom"/>
            <w:gridSpan w:val="2"/>
          </w:tcPr>
          <w:p>
            <w:pPr>
              <w:jc w:val="right"/>
              <w:ind w:right="870"/>
              <w:spacing w:after="0"/>
              <w:rPr>
                <w:sz w:val="20"/>
                <w:szCs w:val="20"/>
                <w:color w:val="auto"/>
              </w:rPr>
            </w:pPr>
            <w:r>
              <w:rPr>
                <w:rFonts w:ascii="Times New Roman" w:cs="Times New Roman" w:eastAsia="Times New Roman" w:hAnsi="Times New Roman"/>
                <w:sz w:val="18"/>
                <w:szCs w:val="18"/>
                <w:color w:val="auto"/>
              </w:rPr>
              <w:t>F - 27</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75"/>
        </w:trPr>
        <w:tc>
          <w:tcPr>
            <w:tcW w:w="500" w:type="dxa"/>
            <w:vAlign w:val="bottom"/>
            <w:tcBorders>
              <w:bottom w:val="single" w:sz="8" w:color="auto"/>
            </w:tcBorders>
          </w:tcPr>
          <w:p>
            <w:pPr>
              <w:spacing w:after="0"/>
              <w:rPr>
                <w:sz w:val="6"/>
                <w:szCs w:val="6"/>
                <w:color w:val="auto"/>
              </w:rPr>
            </w:pPr>
          </w:p>
        </w:tc>
        <w:tc>
          <w:tcPr>
            <w:tcW w:w="3820" w:type="dxa"/>
            <w:vAlign w:val="bottom"/>
            <w:tcBorders>
              <w:bottom w:val="single" w:sz="8" w:color="auto"/>
            </w:tcBorders>
          </w:tcPr>
          <w:p>
            <w:pPr>
              <w:spacing w:after="0"/>
              <w:rPr>
                <w:sz w:val="6"/>
                <w:szCs w:val="6"/>
                <w:color w:val="auto"/>
              </w:rPr>
            </w:pPr>
          </w:p>
        </w:tc>
        <w:tc>
          <w:tcPr>
            <w:tcW w:w="22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r>
    </w:tbl>
    <w:p>
      <w:pPr>
        <w:sectPr>
          <w:pgSz w:w="11900" w:h="16838" w:orient="portrait"/>
          <w:cols w:equalWidth="0" w:num="1">
            <w:col w:w="11240"/>
          </w:cols>
          <w:pgMar w:left="320" w:top="117" w:right="339" w:bottom="1440"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18"/>
          <w:szCs w:val="18"/>
          <w:b w:val="1"/>
          <w:bCs w:val="1"/>
          <w:color w:val="auto"/>
        </w:rPr>
        <w:t>WALKME LTD. AND ITS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9"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NOTE 11:</w:t>
      </w:r>
      <w:r>
        <w:rPr>
          <w:sz w:val="20"/>
          <w:szCs w:val="20"/>
          <w:color w:val="auto"/>
        </w:rPr>
        <w:tab/>
      </w:r>
      <w:r>
        <w:rPr>
          <w:rFonts w:ascii="Times New Roman" w:cs="Times New Roman" w:eastAsia="Times New Roman" w:hAnsi="Times New Roman"/>
          <w:sz w:val="17"/>
          <w:szCs w:val="17"/>
          <w:b w:val="1"/>
          <w:bCs w:val="1"/>
          <w:color w:val="auto"/>
        </w:rPr>
        <w:t>TAXES ON INCOME (Cont.)</w:t>
      </w:r>
    </w:p>
    <w:p>
      <w:pPr>
        <w:spacing w:after="0" w:line="256" w:lineRule="exact"/>
        <w:rPr>
          <w:sz w:val="20"/>
          <w:szCs w:val="20"/>
          <w:color w:val="auto"/>
        </w:rPr>
      </w:pPr>
    </w:p>
    <w:p>
      <w:pPr>
        <w:ind w:left="380" w:hanging="372"/>
        <w:spacing w:after="0"/>
        <w:tabs>
          <w:tab w:leader="none" w:pos="3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presents the significant components of the Company's deferred taxes:</w:t>
      </w:r>
    </w:p>
    <w:p>
      <w:pPr>
        <w:spacing w:after="0" w:line="221"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28575</wp:posOffset>
            </wp:positionV>
            <wp:extent cx="133731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2">
                      <a:extLst>
                        <a:ext uri="{28A0092B-C50C-407E-A947-70E740481C1C}"/>
                      </a:extLst>
                    </a:blip>
                    <a:srcRect/>
                    <a:stretch>
                      <a:fillRect/>
                    </a:stretch>
                  </pic:blipFill>
                  <pic:spPr bwMode="auto">
                    <a:xfrm>
                      <a:off x="0" y="0"/>
                      <a:ext cx="1337310" cy="17145"/>
                    </a:xfrm>
                    <a:prstGeom prst="rect">
                      <a:avLst/>
                    </a:prstGeom>
                    <a:noFill/>
                  </pic:spPr>
                </pic:pic>
              </a:graphicData>
            </a:graphic>
          </wp:anchor>
        </w:drawing>
      </w:r>
    </w:p>
    <w:p>
      <w:pPr>
        <w:spacing w:after="0" w:line="30" w:lineRule="exact"/>
        <w:rPr>
          <w:sz w:val="20"/>
          <w:szCs w:val="20"/>
          <w:color w:val="auto"/>
        </w:rPr>
      </w:pPr>
    </w:p>
    <w:p>
      <w:pPr>
        <w:ind w:left="8260"/>
        <w:spacing w:after="0"/>
        <w:tabs>
          <w:tab w:leader="none" w:pos="9380"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19685</wp:posOffset>
            </wp:positionV>
            <wp:extent cx="133731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3">
                      <a:extLst>
                        <a:ext uri="{28A0092B-C50C-407E-A947-70E740481C1C}"/>
                      </a:extLst>
                    </a:blip>
                    <a:srcRect/>
                    <a:stretch>
                      <a:fillRect/>
                    </a:stretch>
                  </pic:blipFill>
                  <pic:spPr bwMode="auto">
                    <a:xfrm>
                      <a:off x="0" y="0"/>
                      <a:ext cx="133731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-119380</wp:posOffset>
            </wp:positionV>
            <wp:extent cx="6137910" cy="1454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4">
                      <a:extLst>
                        <a:ext uri="{28A0092B-C50C-407E-A947-70E740481C1C}"/>
                      </a:extLst>
                    </a:blip>
                    <a:srcRect/>
                    <a:stretch>
                      <a:fillRect/>
                    </a:stretch>
                  </pic:blipFill>
                  <pic:spPr bwMode="auto">
                    <a:xfrm>
                      <a:off x="0" y="0"/>
                      <a:ext cx="6137910" cy="145415"/>
                    </a:xfrm>
                    <a:prstGeom prst="rect">
                      <a:avLst/>
                    </a:prstGeom>
                    <a:noFill/>
                  </pic:spPr>
                </pic:pic>
              </a:graphicData>
            </a:graphic>
          </wp:anchor>
        </w:drawing>
      </w:r>
    </w:p>
    <w:p>
      <w:pPr>
        <w:spacing w:after="0" w:line="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Net operating loss carryforwards</w:t>
      </w:r>
    </w:p>
    <w:p>
      <w:pPr>
        <w:spacing w:after="0" w:line="2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-121920</wp:posOffset>
            </wp:positionV>
            <wp:extent cx="6137910" cy="1460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5">
                      <a:extLst>
                        <a:ext uri="{28A0092B-C50C-407E-A947-70E740481C1C}"/>
                      </a:extLst>
                    </a:blip>
                    <a:srcRect/>
                    <a:stretch>
                      <a:fillRect/>
                    </a:stretch>
                  </pic:blipFill>
                  <pic:spPr bwMode="auto">
                    <a:xfrm>
                      <a:off x="0" y="0"/>
                      <a:ext cx="6137910" cy="146050"/>
                    </a:xfrm>
                    <a:prstGeom prst="rect">
                      <a:avLst/>
                    </a:prstGeom>
                    <a:noFill/>
                  </pic:spPr>
                </pic:pic>
              </a:graphicData>
            </a:graphic>
          </wp:anchor>
        </w:drawing>
      </w:r>
    </w:p>
    <w:p>
      <w:pPr>
        <w:spacing w:after="0" w:line="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Accruals and reserves</w:t>
      </w:r>
    </w:p>
    <w:p>
      <w:pPr>
        <w:spacing w:after="0" w:line="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-121920</wp:posOffset>
            </wp:positionV>
            <wp:extent cx="6137910" cy="1460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6">
                      <a:extLst>
                        <a:ext uri="{28A0092B-C50C-407E-A947-70E740481C1C}"/>
                      </a:extLst>
                    </a:blip>
                    <a:srcRect/>
                    <a:stretch>
                      <a:fillRect/>
                    </a:stretch>
                  </pic:blipFill>
                  <pic:spPr bwMode="auto">
                    <a:xfrm>
                      <a:off x="0" y="0"/>
                      <a:ext cx="6137910" cy="146050"/>
                    </a:xfrm>
                    <a:prstGeom prst="rect">
                      <a:avLst/>
                    </a:prstGeom>
                    <a:noFill/>
                  </pic:spPr>
                </pic:pic>
              </a:graphicData>
            </a:graphic>
          </wp:anchor>
        </w:drawing>
      </w:r>
    </w:p>
    <w:p>
      <w:pPr>
        <w:spacing w:after="0" w:line="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Share-based compensation</w:t>
      </w:r>
    </w:p>
    <w:p>
      <w:pPr>
        <w:spacing w:after="0" w:line="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Operating lease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-121920</wp:posOffset>
            </wp:positionV>
            <wp:extent cx="6137910" cy="1371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7">
                      <a:extLst>
                        <a:ext uri="{28A0092B-C50C-407E-A947-70E740481C1C}"/>
                      </a:extLst>
                    </a:blip>
                    <a:srcRect/>
                    <a:stretch>
                      <a:fillRect/>
                    </a:stretch>
                  </pic:blipFill>
                  <pic:spPr bwMode="auto">
                    <a:xfrm>
                      <a:off x="0" y="0"/>
                      <a:ext cx="6137910" cy="137160"/>
                    </a:xfrm>
                    <a:prstGeom prst="rect">
                      <a:avLst/>
                    </a:prstGeom>
                    <a:noFill/>
                  </pic:spPr>
                </pic:pic>
              </a:graphicData>
            </a:graphic>
          </wp:anchor>
        </w:drawing>
      </w:r>
    </w:p>
    <w:p>
      <w:pPr>
        <w:spacing w:after="0" w:line="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Other deferred assets</w:t>
      </w:r>
    </w:p>
    <w:p>
      <w:pPr>
        <w:spacing w:after="0" w:line="3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Gross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-119380</wp:posOffset>
            </wp:positionV>
            <wp:extent cx="6137910" cy="1454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8">
                      <a:extLst>
                        <a:ext uri="{28A0092B-C50C-407E-A947-70E740481C1C}"/>
                      </a:extLst>
                    </a:blip>
                    <a:srcRect/>
                    <a:stretch>
                      <a:fillRect/>
                    </a:stretch>
                  </pic:blipFill>
                  <pic:spPr bwMode="auto">
                    <a:xfrm>
                      <a:off x="0" y="0"/>
                      <a:ext cx="6137910" cy="145415"/>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Valuation allowance</w:t>
      </w:r>
    </w:p>
    <w:p>
      <w:pPr>
        <w:spacing w:after="0" w:line="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-119380</wp:posOffset>
            </wp:positionV>
            <wp:extent cx="6137910" cy="1454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9">
                      <a:extLst>
                        <a:ext uri="{28A0092B-C50C-407E-A947-70E740481C1C}"/>
                      </a:extLst>
                    </a:blip>
                    <a:srcRect/>
                    <a:stretch>
                      <a:fillRect/>
                    </a:stretch>
                  </pic:blipFill>
                  <pic:spPr bwMode="auto">
                    <a:xfrm>
                      <a:off x="0" y="0"/>
                      <a:ext cx="6137910" cy="145415"/>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Deferred tax liabilities:</w:t>
      </w:r>
    </w:p>
    <w:p>
      <w:pPr>
        <w:spacing w:after="0" w:line="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Deferred contract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-121920</wp:posOffset>
            </wp:positionV>
            <wp:extent cx="6137910" cy="1454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0">
                      <a:extLst>
                        <a:ext uri="{28A0092B-C50C-407E-A947-70E740481C1C}"/>
                      </a:extLst>
                    </a:blip>
                    <a:srcRect/>
                    <a:stretch>
                      <a:fillRect/>
                    </a:stretch>
                  </pic:blipFill>
                  <pic:spPr bwMode="auto">
                    <a:xfrm>
                      <a:off x="0" y="0"/>
                      <a:ext cx="6137910" cy="145415"/>
                    </a:xfrm>
                    <a:prstGeom prst="rect">
                      <a:avLst/>
                    </a:prstGeom>
                    <a:noFill/>
                  </pic:spPr>
                </pic:pic>
              </a:graphicData>
            </a:graphic>
          </wp:anchor>
        </w:drawing>
      </w:r>
    </w:p>
    <w:p>
      <w:pPr>
        <w:spacing w:after="0" w:line="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Operating lease ROU asset</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tabs>
          <w:tab w:leader="none" w:pos="440" w:val="left"/>
          <w:tab w:leader="none" w:pos="1120" w:val="left"/>
          <w:tab w:leader="none" w:pos="16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43,437</w:t>
        <w:tab/>
        <w:t>$</w:t>
      </w:r>
      <w:r>
        <w:rPr>
          <w:sz w:val="20"/>
          <w:szCs w:val="20"/>
          <w:color w:val="auto"/>
        </w:rPr>
        <w:tab/>
      </w:r>
      <w:r>
        <w:rPr>
          <w:rFonts w:ascii="Times New Roman" w:cs="Times New Roman" w:eastAsia="Times New Roman" w:hAnsi="Times New Roman"/>
          <w:sz w:val="17"/>
          <w:szCs w:val="17"/>
          <w:color w:val="auto"/>
        </w:rPr>
        <w:t>36,373</w:t>
      </w:r>
    </w:p>
    <w:p>
      <w:pPr>
        <w:spacing w:after="0" w:line="41" w:lineRule="exact"/>
        <w:rPr>
          <w:sz w:val="20"/>
          <w:szCs w:val="20"/>
          <w:color w:val="auto"/>
        </w:rPr>
      </w:pPr>
    </w:p>
    <w:p>
      <w:pPr>
        <w:ind w:left="560"/>
        <w:spacing w:after="0"/>
        <w:tabs>
          <w:tab w:leader="none" w:pos="1680" w:val="left"/>
        </w:tabs>
        <w:rPr>
          <w:sz w:val="20"/>
          <w:szCs w:val="20"/>
          <w:color w:val="auto"/>
        </w:rPr>
      </w:pPr>
      <w:r>
        <w:rPr>
          <w:rFonts w:ascii="Times New Roman" w:cs="Times New Roman" w:eastAsia="Times New Roman" w:hAnsi="Times New Roman"/>
          <w:sz w:val="18"/>
          <w:szCs w:val="18"/>
          <w:color w:val="auto"/>
        </w:rPr>
        <w:t>5,398</w:t>
      </w:r>
      <w:r>
        <w:rPr>
          <w:sz w:val="20"/>
          <w:szCs w:val="20"/>
          <w:color w:val="auto"/>
        </w:rPr>
        <w:tab/>
      </w:r>
      <w:r>
        <w:rPr>
          <w:rFonts w:ascii="Times New Roman" w:cs="Times New Roman" w:eastAsia="Times New Roman" w:hAnsi="Times New Roman"/>
          <w:sz w:val="18"/>
          <w:szCs w:val="18"/>
          <w:color w:val="auto"/>
        </w:rPr>
        <w:t>4,304</w:t>
      </w:r>
    </w:p>
    <w:p>
      <w:pPr>
        <w:spacing w:after="0" w:line="23" w:lineRule="exact"/>
        <w:rPr>
          <w:sz w:val="20"/>
          <w:szCs w:val="20"/>
          <w:color w:val="auto"/>
        </w:rPr>
      </w:pPr>
    </w:p>
    <w:p>
      <w:pPr>
        <w:ind w:left="560"/>
        <w:spacing w:after="0"/>
        <w:tabs>
          <w:tab w:leader="none" w:pos="1680" w:val="left"/>
        </w:tabs>
        <w:rPr>
          <w:sz w:val="20"/>
          <w:szCs w:val="20"/>
          <w:color w:val="auto"/>
        </w:rPr>
      </w:pPr>
      <w:r>
        <w:rPr>
          <w:rFonts w:ascii="Times New Roman" w:cs="Times New Roman" w:eastAsia="Times New Roman" w:hAnsi="Times New Roman"/>
          <w:sz w:val="18"/>
          <w:szCs w:val="18"/>
          <w:color w:val="auto"/>
        </w:rPr>
        <w:t>2,088</w:t>
      </w:r>
      <w:r>
        <w:rPr>
          <w:sz w:val="20"/>
          <w:szCs w:val="20"/>
          <w:color w:val="auto"/>
        </w:rPr>
        <w:tab/>
      </w:r>
      <w:r>
        <w:rPr>
          <w:rFonts w:ascii="Times New Roman" w:cs="Times New Roman" w:eastAsia="Times New Roman" w:hAnsi="Times New Roman"/>
          <w:sz w:val="18"/>
          <w:szCs w:val="18"/>
          <w:color w:val="auto"/>
        </w:rPr>
        <w:t>2,541</w:t>
      </w:r>
    </w:p>
    <w:p>
      <w:pPr>
        <w:spacing w:after="0" w:line="23" w:lineRule="exact"/>
        <w:rPr>
          <w:sz w:val="20"/>
          <w:szCs w:val="20"/>
          <w:color w:val="auto"/>
        </w:rPr>
      </w:pPr>
    </w:p>
    <w:p>
      <w:pPr>
        <w:ind w:left="1700" w:hanging="1012"/>
        <w:spacing w:after="0"/>
        <w:tabs>
          <w:tab w:leader="none" w:pos="17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1,827</w:t>
      </w:r>
    </w:p>
    <w:p>
      <w:pPr>
        <w:spacing w:after="0" w:line="22"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4,318</w:t>
      </w:r>
      <w:r>
        <w:rPr>
          <w:rFonts w:ascii="Times New Roman" w:cs="Times New Roman" w:eastAsia="Times New Roman" w:hAnsi="Times New Roman"/>
          <w:sz w:val="17"/>
          <w:szCs w:val="17"/>
          <w:color w:val="auto"/>
        </w:rPr>
        <w:t>1,576</w:t>
      </w:r>
    </w:p>
    <w:p>
      <w:pPr>
        <w:spacing w:after="0" w:line="23" w:lineRule="exact"/>
        <w:rPr>
          <w:sz w:val="20"/>
          <w:szCs w:val="20"/>
          <w:color w:val="auto"/>
        </w:rPr>
      </w:pPr>
    </w:p>
    <w:p>
      <w:pPr>
        <w:ind w:left="560"/>
        <w:spacing w:after="0"/>
        <w:tabs>
          <w:tab w:leader="none" w:pos="2020" w:val="left"/>
        </w:tabs>
        <w:rPr>
          <w:sz w:val="20"/>
          <w:szCs w:val="20"/>
          <w:color w:val="auto"/>
        </w:rPr>
      </w:pPr>
      <w:r>
        <w:rPr>
          <w:rFonts w:ascii="Times New Roman" w:cs="Times New Roman" w:eastAsia="Times New Roman" w:hAnsi="Times New Roman"/>
          <w:sz w:val="18"/>
          <w:szCs w:val="18"/>
          <w:color w:val="auto"/>
        </w:rPr>
        <w:t>2,115</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840" w:hanging="1152"/>
        <w:spacing w:after="0"/>
        <w:tabs>
          <w:tab w:leader="none" w:pos="18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636</w:t>
      </w:r>
    </w:p>
    <w:p>
      <w:pPr>
        <w:spacing w:after="0" w:line="44"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59,075</w:t>
      </w:r>
      <w:r>
        <w:rPr>
          <w:rFonts w:ascii="Times New Roman" w:cs="Times New Roman" w:eastAsia="Times New Roman" w:hAnsi="Times New Roman"/>
          <w:sz w:val="17"/>
          <w:szCs w:val="17"/>
          <w:color w:val="auto"/>
        </w:rPr>
        <w:t>47,257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133731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1">
                      <a:extLst>
                        <a:ext uri="{28A0092B-C50C-407E-A947-70E740481C1C}"/>
                      </a:extLst>
                    </a:blip>
                    <a:srcRect/>
                    <a:stretch>
                      <a:fillRect/>
                    </a:stretch>
                  </pic:blipFill>
                  <pic:spPr bwMode="auto">
                    <a:xfrm>
                      <a:off x="0" y="0"/>
                      <a:ext cx="1337310" cy="17145"/>
                    </a:xfrm>
                    <a:prstGeom prst="rect">
                      <a:avLst/>
                    </a:prstGeom>
                    <a:noFill/>
                  </pic:spPr>
                </pic:pic>
              </a:graphicData>
            </a:graphic>
          </wp:anchor>
        </w:drawing>
      </w:r>
    </w:p>
    <w:p>
      <w:pPr>
        <w:spacing w:after="0" w:line="7" w:lineRule="exact"/>
        <w:rPr>
          <w:sz w:val="20"/>
          <w:szCs w:val="20"/>
          <w:color w:val="auto"/>
        </w:rPr>
      </w:pPr>
    </w:p>
    <w:p>
      <w:pPr>
        <w:jc w:val="both"/>
        <w:ind w:left="400"/>
        <w:spacing w:after="0"/>
        <w:tabs>
          <w:tab w:leader="none" w:pos="1540" w:val="left"/>
        </w:tabs>
        <w:rPr>
          <w:sz w:val="20"/>
          <w:szCs w:val="20"/>
          <w:color w:val="auto"/>
        </w:rPr>
      </w:pPr>
      <w:r>
        <w:rPr>
          <w:rFonts w:ascii="Times New Roman" w:cs="Times New Roman" w:eastAsia="Times New Roman" w:hAnsi="Times New Roman"/>
          <w:sz w:val="18"/>
          <w:szCs w:val="18"/>
          <w:color w:val="auto"/>
        </w:rPr>
        <w:t>(51,164)</w:t>
      </w:r>
      <w:r>
        <w:rPr>
          <w:sz w:val="20"/>
          <w:szCs w:val="20"/>
          <w:color w:val="auto"/>
        </w:rPr>
        <w:tab/>
      </w:r>
      <w:r>
        <w:rPr>
          <w:rFonts w:ascii="Times New Roman" w:cs="Times New Roman" w:eastAsia="Times New Roman" w:hAnsi="Times New Roman"/>
          <w:sz w:val="18"/>
          <w:szCs w:val="18"/>
          <w:color w:val="auto"/>
        </w:rPr>
        <w:t>(40,019)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33731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2">
                      <a:extLst>
                        <a:ext uri="{28A0092B-C50C-407E-A947-70E740481C1C}"/>
                      </a:extLst>
                    </a:blip>
                    <a:srcRect/>
                    <a:stretch>
                      <a:fillRect/>
                    </a:stretch>
                  </pic:blipFill>
                  <pic:spPr bwMode="auto">
                    <a:xfrm>
                      <a:off x="0" y="0"/>
                      <a:ext cx="1337310" cy="17145"/>
                    </a:xfrm>
                    <a:prstGeom prst="rect">
                      <a:avLst/>
                    </a:prstGeom>
                    <a:noFill/>
                  </pic:spPr>
                </pic:pic>
              </a:graphicData>
            </a:graphic>
          </wp:anchor>
        </w:drawing>
      </w:r>
    </w:p>
    <w:p>
      <w:pPr>
        <w:spacing w:after="0" w:line="25" w:lineRule="exact"/>
        <w:rPr>
          <w:sz w:val="20"/>
          <w:szCs w:val="20"/>
          <w:color w:val="auto"/>
        </w:rPr>
      </w:pPr>
    </w:p>
    <w:p>
      <w:pPr>
        <w:ind w:left="560"/>
        <w:spacing w:after="0"/>
        <w:tabs>
          <w:tab w:leader="none" w:pos="1680" w:val="left"/>
        </w:tabs>
        <w:rPr>
          <w:sz w:val="20"/>
          <w:szCs w:val="20"/>
          <w:color w:val="auto"/>
        </w:rPr>
      </w:pPr>
      <w:r>
        <w:rPr>
          <w:rFonts w:ascii="Times New Roman" w:cs="Times New Roman" w:eastAsia="Times New Roman" w:hAnsi="Times New Roman"/>
          <w:sz w:val="18"/>
          <w:szCs w:val="18"/>
          <w:color w:val="auto"/>
        </w:rPr>
        <w:t>7,911</w:t>
      </w:r>
      <w:r>
        <w:rPr>
          <w:sz w:val="20"/>
          <w:szCs w:val="20"/>
          <w:color w:val="auto"/>
        </w:rPr>
        <w:tab/>
      </w:r>
      <w:r>
        <w:rPr>
          <w:rFonts w:ascii="Times New Roman" w:cs="Times New Roman" w:eastAsia="Times New Roman" w:hAnsi="Times New Roman"/>
          <w:sz w:val="18"/>
          <w:szCs w:val="18"/>
          <w:color w:val="auto"/>
        </w:rPr>
        <w:t>7,238</w:t>
      </w:r>
    </w:p>
    <w:p>
      <w:pPr>
        <w:spacing w:after="0" w:line="239" w:lineRule="exact"/>
        <w:rPr>
          <w:sz w:val="20"/>
          <w:szCs w:val="20"/>
          <w:color w:val="auto"/>
        </w:rPr>
      </w:pPr>
    </w:p>
    <w:p>
      <w:pPr>
        <w:jc w:val="right"/>
        <w:ind w:right="1120"/>
        <w:spacing w:after="0"/>
        <w:tabs>
          <w:tab w:leader="none" w:pos="580" w:val="left"/>
        </w:tabs>
        <w:rPr>
          <w:sz w:val="20"/>
          <w:szCs w:val="20"/>
          <w:color w:val="auto"/>
        </w:rPr>
      </w:pPr>
      <w:r>
        <w:rPr>
          <w:rFonts w:ascii="Times New Roman" w:cs="Times New Roman" w:eastAsia="Times New Roman" w:hAnsi="Times New Roman"/>
          <w:sz w:val="18"/>
          <w:szCs w:val="18"/>
          <w:color w:val="auto"/>
        </w:rPr>
        <w:t>(13,313)</w:t>
      </w:r>
      <w:r>
        <w:rPr>
          <w:sz w:val="20"/>
          <w:szCs w:val="20"/>
          <w:color w:val="auto"/>
        </w:rPr>
        <w:tab/>
      </w:r>
      <w:r>
        <w:rPr>
          <w:rFonts w:ascii="Times New Roman" w:cs="Times New Roman" w:eastAsia="Times New Roman" w:hAnsi="Times New Roman"/>
          <w:sz w:val="17"/>
          <w:szCs w:val="17"/>
          <w:color w:val="auto"/>
        </w:rPr>
        <w:t>(11,687)</w:t>
      </w:r>
    </w:p>
    <w:p>
      <w:pPr>
        <w:spacing w:after="0" w:line="41" w:lineRule="exact"/>
        <w:rPr>
          <w:sz w:val="20"/>
          <w:szCs w:val="20"/>
          <w:color w:val="auto"/>
        </w:rPr>
      </w:pPr>
    </w:p>
    <w:p>
      <w:pPr>
        <w:ind w:left="500"/>
        <w:spacing w:after="0"/>
        <w:tabs>
          <w:tab w:leader="none" w:pos="2020" w:val="left"/>
        </w:tabs>
        <w:rPr>
          <w:sz w:val="20"/>
          <w:szCs w:val="20"/>
          <w:color w:val="auto"/>
        </w:rPr>
      </w:pPr>
      <w:r>
        <w:rPr>
          <w:rFonts w:ascii="Times New Roman" w:cs="Times New Roman" w:eastAsia="Times New Roman" w:hAnsi="Times New Roman"/>
          <w:sz w:val="18"/>
          <w:szCs w:val="18"/>
          <w:color w:val="auto"/>
        </w:rPr>
        <w:t>(1,667)</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ectPr>
          <w:pgSz w:w="11900" w:h="16838" w:orient="portrait"/>
          <w:cols w:equalWidth="0" w:num="2">
            <w:col w:w="7240" w:space="720"/>
            <w:col w:w="3280"/>
          </w:cols>
          <w:pgMar w:left="320" w:top="117" w:right="339" w:bottom="1440" w:gutter="0" w:footer="0" w:header="0"/>
          <w:type w:val="continuous"/>
        </w:sectPr>
      </w:pPr>
    </w:p>
    <w:tbl>
      <w:tblPr>
        <w:tblLayout w:type="fixed"/>
        <w:tblInd w:w="500" w:type="dxa"/>
        <w:tblCellMar>
          <w:top w:w="0" w:type="dxa"/>
          <w:left w:w="0" w:type="dxa"/>
          <w:bottom w:w="0" w:type="dxa"/>
          <w:right w:w="0" w:type="dxa"/>
        </w:tblCellMar>
      </w:tblPr>
      <w:tr>
        <w:trPr>
          <w:trHeight w:val="212"/>
        </w:trPr>
        <w:tc>
          <w:tcPr>
            <w:tcW w:w="7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deferred tax liabilities</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(261)</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7"/>
        </w:trPr>
        <w:tc>
          <w:tcPr>
            <w:tcW w:w="74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7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240" w:type="dxa"/>
            <w:vAlign w:val="bottom"/>
          </w:tcPr>
          <w:p>
            <w:pPr>
              <w:spacing w:after="0"/>
              <w:rPr>
                <w:sz w:val="21"/>
                <w:szCs w:val="21"/>
                <w:color w:val="auto"/>
              </w:rPr>
            </w:pPr>
          </w:p>
        </w:tc>
        <w:tc>
          <w:tcPr>
            <w:tcW w:w="9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(15,241)</w:t>
            </w:r>
          </w:p>
        </w:tc>
        <w:tc>
          <w:tcPr>
            <w:tcW w:w="26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(12,033)</w:t>
            </w:r>
          </w:p>
        </w:tc>
      </w:tr>
      <w:tr>
        <w:trPr>
          <w:trHeight w:val="270"/>
        </w:trPr>
        <w:tc>
          <w:tcPr>
            <w:tcW w:w="7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taxes</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(7,330</w:t>
            </w:r>
          </w:p>
        </w:tc>
        <w:tc>
          <w:tcPr>
            <w:tcW w:w="1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11" w:lineRule="exact"/>
        <w:rPr>
          <w:sz w:val="20"/>
          <w:szCs w:val="20"/>
          <w:color w:val="auto"/>
        </w:rPr>
      </w:pPr>
    </w:p>
    <w:p>
      <w:pPr>
        <w:jc w:val="both"/>
        <w:ind w:left="400"/>
        <w:spacing w:after="0" w:line="274" w:lineRule="auto"/>
        <w:rPr>
          <w:sz w:val="20"/>
          <w:szCs w:val="20"/>
          <w:color w:val="auto"/>
        </w:rPr>
      </w:pPr>
      <w:r>
        <w:rPr>
          <w:rFonts w:ascii="Times New Roman" w:cs="Times New Roman" w:eastAsia="Times New Roman" w:hAnsi="Times New Roman"/>
          <w:sz w:val="18"/>
          <w:szCs w:val="18"/>
          <w:color w:val="auto"/>
        </w:rPr>
        <w:t>A valuation allowance is provided when it is more likely than not that the deferred tax assets will not be realized. The Company has established a valuation allowance to offset certain deferred tax assets at December 31, 2022 and 2021 due to the uncertainty of realizing future tax benefits from its net operating loss carryforwards and other deferred tax assets.</w:t>
      </w:r>
    </w:p>
    <w:p>
      <w:pPr>
        <w:spacing w:after="0" w:line="196" w:lineRule="exact"/>
        <w:rPr>
          <w:sz w:val="20"/>
          <w:szCs w:val="20"/>
          <w:color w:val="auto"/>
        </w:rPr>
      </w:pPr>
    </w:p>
    <w:p>
      <w:pPr>
        <w:ind w:left="380" w:hanging="372"/>
        <w:spacing w:after="0"/>
        <w:tabs>
          <w:tab w:leader="none" w:pos="3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operating losses carry forward:</w:t>
      </w:r>
    </w:p>
    <w:p>
      <w:pPr>
        <w:spacing w:after="0" w:line="225" w:lineRule="exact"/>
        <w:rPr>
          <w:rFonts w:ascii="Times New Roman" w:cs="Times New Roman" w:eastAsia="Times New Roman" w:hAnsi="Times New Roman"/>
          <w:sz w:val="18"/>
          <w:szCs w:val="18"/>
          <w:color w:val="auto"/>
        </w:rPr>
      </w:pPr>
    </w:p>
    <w:p>
      <w:pPr>
        <w:ind w:left="400"/>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the Company had approximately $320,934 in net operating loss carryforwards in Israel that can be carried forward indefinitely.</w:t>
      </w:r>
    </w:p>
    <w:p>
      <w:pPr>
        <w:spacing w:after="0" w:line="162" w:lineRule="exact"/>
        <w:rPr>
          <w:rFonts w:ascii="Times New Roman" w:cs="Times New Roman" w:eastAsia="Times New Roman" w:hAnsi="Times New Roman"/>
          <w:sz w:val="18"/>
          <w:szCs w:val="18"/>
          <w:color w:val="auto"/>
        </w:rPr>
      </w:pPr>
    </w:p>
    <w:p>
      <w:pPr>
        <w:jc w:val="both"/>
        <w:ind w:left="400"/>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the U.S. subsidiary had $14,478 of federal and $60,833 of state net operating loss carryforwards available to offset future taxable income. If not utilized, the state net operating loss carryforwards will expire in varying amounts between the years ended 2032 and 2042. Federal operating loss carryforwards can be carried forward indefinitely.</w:t>
      </w:r>
    </w:p>
    <w:p>
      <w:pPr>
        <w:spacing w:after="0" w:line="19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assessments</w:t>
      </w:r>
    </w:p>
    <w:p>
      <w:pPr>
        <w:spacing w:after="0" w:line="225" w:lineRule="exact"/>
        <w:rPr>
          <w:rFonts w:ascii="Times New Roman" w:cs="Times New Roman" w:eastAsia="Times New Roman" w:hAnsi="Times New Roman"/>
          <w:sz w:val="18"/>
          <w:szCs w:val="18"/>
          <w:color w:val="auto"/>
        </w:rPr>
      </w:pPr>
    </w:p>
    <w:p>
      <w:pPr>
        <w:ind w:left="400"/>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net operating losses from prior tax periods which may be subjected to examination in future periods. As of December 31, 2022, the Company’s tax years until December 31, 2017 are subject to statute of limitation in Israel.</w:t>
      </w:r>
    </w:p>
    <w:p>
      <w:pPr>
        <w:spacing w:after="0" w:line="162" w:lineRule="exact"/>
        <w:rPr>
          <w:rFonts w:ascii="Times New Roman" w:cs="Times New Roman" w:eastAsia="Times New Roman" w:hAnsi="Times New Roman"/>
          <w:sz w:val="18"/>
          <w:szCs w:val="18"/>
          <w:color w:val="auto"/>
        </w:rPr>
      </w:pPr>
    </w:p>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that date, the U.S. subsidiary’s tax years until December 31, 2018 are subject to statute of limitation in the U.S.</w:t>
      </w:r>
    </w:p>
    <w:p>
      <w:pPr>
        <w:spacing w:after="0" w:line="25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Unrecognized tax benefits</w:t>
      </w:r>
    </w:p>
    <w:p>
      <w:pPr>
        <w:spacing w:after="0" w:line="225" w:lineRule="exact"/>
        <w:rPr>
          <w:rFonts w:ascii="Times New Roman" w:cs="Times New Roman" w:eastAsia="Times New Roman" w:hAnsi="Times New Roman"/>
          <w:sz w:val="18"/>
          <w:szCs w:val="18"/>
          <w:color w:val="auto"/>
        </w:rPr>
      </w:pPr>
    </w:p>
    <w:p>
      <w:pPr>
        <w:jc w:val="both"/>
        <w:ind w:left="40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 with the provisions of ASC 740, Income Taxes, 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87" w:name="page188"/>
    <w:bookmarkEnd w:id="187"/>
    <w:p>
      <w:pPr>
        <w:jc w:val="right"/>
        <w:spacing w:after="0"/>
        <w:rPr>
          <w:sz w:val="20"/>
          <w:szCs w:val="20"/>
          <w:color w:val="auto"/>
        </w:rPr>
      </w:pPr>
      <w:r>
        <w:rPr>
          <w:rFonts w:ascii="Times New Roman" w:cs="Times New Roman" w:eastAsia="Times New Roman" w:hAnsi="Times New Roman"/>
          <w:sz w:val="18"/>
          <w:szCs w:val="18"/>
          <w:b w:val="1"/>
          <w:bCs w:val="1"/>
          <w:color w:val="auto"/>
        </w:rPr>
        <w:t>WALKME LTD. AND ITS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9"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NOTE 11:</w:t>
      </w:r>
      <w:r>
        <w:rPr>
          <w:sz w:val="20"/>
          <w:szCs w:val="20"/>
          <w:color w:val="auto"/>
        </w:rPr>
        <w:tab/>
      </w:r>
      <w:r>
        <w:rPr>
          <w:rFonts w:ascii="Times New Roman" w:cs="Times New Roman" w:eastAsia="Times New Roman" w:hAnsi="Times New Roman"/>
          <w:sz w:val="17"/>
          <w:szCs w:val="17"/>
          <w:b w:val="1"/>
          <w:bCs w:val="1"/>
          <w:color w:val="auto"/>
        </w:rPr>
        <w:t>TAXES ON INCOME (Cont.)</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shows the changes in the gross amount of unrecognized tax benefits as of December 31, 2022, 2021 and 2020:</w:t>
      </w:r>
    </w:p>
    <w:p>
      <w:pPr>
        <w:spacing w:after="0" w:line="248"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8520" w:type="dxa"/>
            <w:vAlign w:val="bottom"/>
          </w:tcPr>
          <w:p>
            <w:pPr>
              <w:spacing w:after="0"/>
              <w:rPr>
                <w:sz w:val="18"/>
                <w:szCs w:val="18"/>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Unrecognized</w:t>
            </w:r>
          </w:p>
        </w:tc>
      </w:tr>
      <w:tr>
        <w:trPr>
          <w:trHeight w:val="259"/>
        </w:trPr>
        <w:tc>
          <w:tcPr>
            <w:tcW w:w="8520" w:type="dxa"/>
            <w:vAlign w:val="bottom"/>
          </w:tcPr>
          <w:p>
            <w:pPr>
              <w:spacing w:after="0"/>
              <w:rPr>
                <w:sz w:val="22"/>
                <w:szCs w:val="22"/>
                <w:color w:val="auto"/>
              </w:rPr>
            </w:pPr>
          </w:p>
        </w:tc>
        <w:tc>
          <w:tcPr>
            <w:tcW w:w="11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Tax Benefits</w:t>
            </w:r>
          </w:p>
        </w:tc>
      </w:tr>
      <w:tr>
        <w:trPr>
          <w:trHeight w:val="270"/>
        </w:trPr>
        <w:tc>
          <w:tcPr>
            <w:tcW w:w="8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Balance - December 31, 2019</w:t>
            </w:r>
          </w:p>
        </w:tc>
        <w:tc>
          <w:tcPr>
            <w:tcW w:w="360" w:type="dxa"/>
            <w:vAlign w:val="bottom"/>
            <w:tcBorders>
              <w:top w:val="single" w:sz="8" w:color="auto"/>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shd w:val="clear" w:color="auto" w:fill="CCEEFF"/>
          </w:tcPr>
          <w:p>
            <w:pPr>
              <w:spacing w:after="0"/>
              <w:rPr>
                <w:sz w:val="23"/>
                <w:szCs w:val="23"/>
                <w:color w:val="auto"/>
              </w:rPr>
            </w:pPr>
          </w:p>
        </w:tc>
      </w:tr>
      <w:tr>
        <w:trPr>
          <w:trHeight w:val="270"/>
        </w:trPr>
        <w:tc>
          <w:tcPr>
            <w:tcW w:w="85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Increases related to prior years’ tax positions</w:t>
            </w:r>
          </w:p>
        </w:tc>
        <w:tc>
          <w:tcPr>
            <w:tcW w:w="3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209</w:t>
            </w:r>
          </w:p>
        </w:tc>
        <w:tc>
          <w:tcPr>
            <w:tcW w:w="100" w:type="dxa"/>
            <w:vAlign w:val="bottom"/>
          </w:tcPr>
          <w:p>
            <w:pPr>
              <w:spacing w:after="0"/>
              <w:rPr>
                <w:sz w:val="23"/>
                <w:szCs w:val="23"/>
                <w:color w:val="auto"/>
              </w:rPr>
            </w:pPr>
          </w:p>
        </w:tc>
      </w:tr>
      <w:tr>
        <w:trPr>
          <w:trHeight w:val="250"/>
        </w:trPr>
        <w:tc>
          <w:tcPr>
            <w:tcW w:w="85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Increases related to current years’ tax positions</w:t>
            </w:r>
          </w:p>
        </w:tc>
        <w:tc>
          <w:tcPr>
            <w:tcW w:w="36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Balance - December 31, 2020</w:t>
            </w:r>
          </w:p>
        </w:tc>
        <w:tc>
          <w:tcPr>
            <w:tcW w:w="3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100" w:type="dxa"/>
            <w:vAlign w:val="bottom"/>
          </w:tcPr>
          <w:p>
            <w:pPr>
              <w:spacing w:after="0"/>
              <w:rPr>
                <w:sz w:val="21"/>
                <w:szCs w:val="21"/>
                <w:color w:val="auto"/>
              </w:rPr>
            </w:pPr>
          </w:p>
        </w:tc>
      </w:tr>
      <w:tr>
        <w:trPr>
          <w:trHeight w:val="243"/>
        </w:trPr>
        <w:tc>
          <w:tcPr>
            <w:tcW w:w="85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Increases related to prior years’ tax positions</w:t>
            </w:r>
          </w:p>
        </w:tc>
        <w:tc>
          <w:tcPr>
            <w:tcW w:w="3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21"/>
                <w:szCs w:val="21"/>
                <w:color w:val="auto"/>
              </w:rPr>
            </w:pPr>
          </w:p>
        </w:tc>
      </w:tr>
      <w:tr>
        <w:trPr>
          <w:trHeight w:val="250"/>
        </w:trPr>
        <w:tc>
          <w:tcPr>
            <w:tcW w:w="85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Increases related to current years’ tax positions</w:t>
            </w:r>
          </w:p>
        </w:tc>
        <w:tc>
          <w:tcPr>
            <w:tcW w:w="3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100" w:type="dxa"/>
            <w:vAlign w:val="bottom"/>
          </w:tcPr>
          <w:p>
            <w:pPr>
              <w:spacing w:after="0"/>
              <w:rPr>
                <w:sz w:val="21"/>
                <w:szCs w:val="21"/>
                <w:color w:val="auto"/>
              </w:rPr>
            </w:pPr>
          </w:p>
        </w:tc>
      </w:tr>
      <w:tr>
        <w:trPr>
          <w:trHeight w:val="243"/>
        </w:trPr>
        <w:tc>
          <w:tcPr>
            <w:tcW w:w="8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Balance - December 31, 2021</w:t>
            </w:r>
          </w:p>
        </w:tc>
        <w:tc>
          <w:tcPr>
            <w:tcW w:w="3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4,868</w:t>
            </w:r>
          </w:p>
        </w:tc>
        <w:tc>
          <w:tcPr>
            <w:tcW w:w="100" w:type="dxa"/>
            <w:vAlign w:val="bottom"/>
            <w:shd w:val="clear" w:color="auto" w:fill="CCEEFF"/>
          </w:tcPr>
          <w:p>
            <w:pPr>
              <w:spacing w:after="0"/>
              <w:rPr>
                <w:sz w:val="21"/>
                <w:szCs w:val="21"/>
                <w:color w:val="auto"/>
              </w:rPr>
            </w:pPr>
          </w:p>
        </w:tc>
      </w:tr>
      <w:tr>
        <w:trPr>
          <w:trHeight w:val="250"/>
        </w:trPr>
        <w:tc>
          <w:tcPr>
            <w:tcW w:w="85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Decrease related to prior years’ tax positions</w:t>
            </w:r>
          </w:p>
        </w:tc>
        <w:tc>
          <w:tcPr>
            <w:tcW w:w="36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(287)</w:t>
            </w:r>
          </w:p>
        </w:tc>
      </w:tr>
      <w:tr>
        <w:trPr>
          <w:trHeight w:val="257"/>
        </w:trPr>
        <w:tc>
          <w:tcPr>
            <w:tcW w:w="85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Increases related to current years’ tax positions</w:t>
            </w:r>
          </w:p>
        </w:tc>
        <w:tc>
          <w:tcPr>
            <w:tcW w:w="36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39"/>
        </w:trPr>
        <w:tc>
          <w:tcPr>
            <w:tcW w:w="8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Balance - December 31, 2022</w:t>
            </w: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6,216</w:t>
            </w:r>
          </w:p>
        </w:tc>
        <w:tc>
          <w:tcPr>
            <w:tcW w:w="100" w:type="dxa"/>
            <w:vAlign w:val="bottom"/>
          </w:tcPr>
          <w:p>
            <w:pPr>
              <w:spacing w:after="0"/>
              <w:rPr>
                <w:sz w:val="20"/>
                <w:szCs w:val="20"/>
                <w:color w:val="auto"/>
              </w:rPr>
            </w:pPr>
          </w:p>
        </w:tc>
      </w:tr>
      <w:tr>
        <w:trPr>
          <w:trHeight w:val="25"/>
        </w:trPr>
        <w:tc>
          <w:tcPr>
            <w:tcW w:w="85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bl>
    <w:p>
      <w:pPr>
        <w:spacing w:after="0" w:line="198" w:lineRule="exact"/>
        <w:rPr>
          <w:sz w:val="20"/>
          <w:szCs w:val="20"/>
          <w:color w:val="auto"/>
        </w:rPr>
      </w:pPr>
    </w:p>
    <w:p>
      <w:pPr>
        <w:jc w:val="both"/>
        <w:ind w:left="400"/>
        <w:spacing w:after="0" w:line="281" w:lineRule="auto"/>
        <w:rPr>
          <w:sz w:val="20"/>
          <w:szCs w:val="20"/>
          <w:color w:val="auto"/>
        </w:rPr>
      </w:pPr>
      <w:r>
        <w:rPr>
          <w:rFonts w:ascii="Times New Roman" w:cs="Times New Roman" w:eastAsia="Times New Roman" w:hAnsi="Times New Roman"/>
          <w:sz w:val="18"/>
          <w:szCs w:val="18"/>
          <w:color w:val="auto"/>
        </w:rPr>
        <w:t>As of December 31, 2022, the total amount of gross unrecognized tax benefits that would favorably impact the Company’s effective tax rate, if recognized, was $2,708. The remaining amount of $3,508 would be offset by the reversal of related deferred tax assets which are subject to a full valuation allowance.</w:t>
      </w:r>
    </w:p>
    <w:p>
      <w:pPr>
        <w:spacing w:after="0" w:line="177" w:lineRule="exact"/>
        <w:rPr>
          <w:sz w:val="20"/>
          <w:szCs w:val="20"/>
          <w:color w:val="auto"/>
        </w:rPr>
      </w:pPr>
    </w:p>
    <w:p>
      <w:pPr>
        <w:jc w:val="both"/>
        <w:ind w:left="400"/>
        <w:spacing w:after="0" w:line="297"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unrecognized tax benefits as income tax expense. As of December 31, 2022, the Company has accumulated $251 in both interest and penalties related to uncertain tax positions.</w:t>
      </w:r>
    </w:p>
    <w:p>
      <w:pPr>
        <w:spacing w:after="0" w:line="163" w:lineRule="exact"/>
        <w:rPr>
          <w:sz w:val="20"/>
          <w:szCs w:val="20"/>
          <w:color w:val="auto"/>
        </w:rPr>
      </w:pPr>
    </w:p>
    <w:p>
      <w:pPr>
        <w:jc w:val="both"/>
        <w:ind w:left="400"/>
        <w:spacing w:after="0" w:line="282" w:lineRule="auto"/>
        <w:rPr>
          <w:sz w:val="20"/>
          <w:szCs w:val="20"/>
          <w:color w:val="auto"/>
        </w:rPr>
      </w:pPr>
      <w:r>
        <w:rPr>
          <w:rFonts w:ascii="Times New Roman" w:cs="Times New Roman" w:eastAsia="Times New Roman" w:hAnsi="Times New Roman"/>
          <w:sz w:val="18"/>
          <w:szCs w:val="18"/>
          <w:color w:val="auto"/>
        </w:rPr>
        <w:t>Although the Company believes that it has adequately provided for any reasonably foreseeable outcomes related to tax audits and settlement, there is no assurance that the final tax outcome of its tax audits will not be different from that which is reflected in the Company’s income tax provisions.</w:t>
      </w:r>
    </w:p>
    <w:p>
      <w:pPr>
        <w:spacing w:after="0" w:line="18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7"/>
          <w:szCs w:val="17"/>
          <w:b w:val="1"/>
          <w:bCs w:val="1"/>
          <w:color w:val="auto"/>
        </w:rPr>
        <w:t>REPORTING SEGMENTS AND GEOGRAPHIC INFORMATION</w:t>
      </w:r>
    </w:p>
    <w:p>
      <w:pPr>
        <w:spacing w:after="0" w:line="243" w:lineRule="exact"/>
        <w:rPr>
          <w:sz w:val="20"/>
          <w:szCs w:val="20"/>
          <w:color w:val="auto"/>
        </w:rPr>
      </w:pPr>
    </w:p>
    <w:p>
      <w:pPr>
        <w:ind w:left="380" w:hanging="372"/>
        <w:spacing w:after="0"/>
        <w:tabs>
          <w:tab w:leader="none" w:pos="3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segments</w:t>
      </w:r>
    </w:p>
    <w:p>
      <w:pPr>
        <w:spacing w:after="0" w:line="238" w:lineRule="exact"/>
        <w:rPr>
          <w:rFonts w:ascii="Times New Roman" w:cs="Times New Roman" w:eastAsia="Times New Roman" w:hAnsi="Times New Roman"/>
          <w:sz w:val="18"/>
          <w:szCs w:val="18"/>
          <w:color w:val="auto"/>
        </w:rPr>
      </w:pPr>
    </w:p>
    <w:p>
      <w:pPr>
        <w:jc w:val="both"/>
        <w:ind w:left="400"/>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operates as one operating segment. Operating segments are defined as components of an enterprise for which separate financial information is available and evaluated regularly by the chief operating decision maker, which is the Company’s chief executive officer, in deciding how to make operating decisions, allocate resources and assess performance. The Company’s chief operating decision maker allocates resources and assesses performance at the consolidated level.</w:t>
      </w:r>
    </w:p>
    <w:p>
      <w:pPr>
        <w:spacing w:after="0" w:line="18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Geographical information</w:t>
      </w:r>
    </w:p>
    <w:p>
      <w:pPr>
        <w:spacing w:after="0" w:line="238" w:lineRule="exact"/>
        <w:rPr>
          <w:rFonts w:ascii="Times New Roman" w:cs="Times New Roman" w:eastAsia="Times New Roman" w:hAnsi="Times New Roman"/>
          <w:sz w:val="18"/>
          <w:szCs w:val="18"/>
          <w:color w:val="auto"/>
        </w:rPr>
      </w:pPr>
    </w:p>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summarizes revenue by region based on the shipping address of customers:</w:t>
      </w:r>
    </w:p>
    <w:p>
      <w:pPr>
        <w:spacing w:after="0" w:line="235"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500" w:type="dxa"/>
        <w:tblCellMar>
          <w:top w:w="0" w:type="dxa"/>
          <w:left w:w="0" w:type="dxa"/>
          <w:bottom w:w="0" w:type="dxa"/>
          <w:right w:w="0" w:type="dxa"/>
        </w:tblCellMar>
      </w:tblPr>
      <w:tr>
        <w:trPr>
          <w:trHeight w:val="257"/>
        </w:trPr>
        <w:tc>
          <w:tcPr>
            <w:tcW w:w="630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top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Borders>
              <w:top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2"/>
                <w:szCs w:val="22"/>
                <w:color w:val="auto"/>
              </w:rPr>
            </w:pPr>
          </w:p>
        </w:tc>
      </w:tr>
      <w:tr>
        <w:trPr>
          <w:trHeight w:val="230"/>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172,733</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135,291</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105,321</w:t>
            </w:r>
          </w:p>
        </w:tc>
        <w:tc>
          <w:tcPr>
            <w:tcW w:w="100" w:type="dxa"/>
            <w:vAlign w:val="bottom"/>
            <w:shd w:val="clear" w:color="auto" w:fill="CCEEFF"/>
          </w:tcPr>
          <w:p>
            <w:pPr>
              <w:spacing w:after="0"/>
              <w:rPr>
                <w:sz w:val="19"/>
                <w:szCs w:val="19"/>
                <w:color w:val="auto"/>
              </w:rPr>
            </w:pPr>
          </w:p>
        </w:tc>
      </w:tr>
      <w:tr>
        <w:trPr>
          <w:trHeight w:val="230"/>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71,510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56,914</w:t>
            </w:r>
          </w:p>
        </w:tc>
        <w:tc>
          <w:tcPr>
            <w:tcW w:w="2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42,138</w:t>
            </w:r>
          </w:p>
        </w:tc>
      </w:tr>
      <w:tr>
        <w:trPr>
          <w:trHeight w:val="229"/>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Israel</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847</w:t>
            </w:r>
          </w:p>
        </w:tc>
      </w:tr>
      <w:tr>
        <w:trPr>
          <w:trHeight w:val="27"/>
        </w:trPr>
        <w:tc>
          <w:tcPr>
            <w:tcW w:w="63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9"/>
        </w:trPr>
        <w:tc>
          <w:tcPr>
            <w:tcW w:w="6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245,006</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193,303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148,306</w:t>
            </w:r>
          </w:p>
        </w:tc>
      </w:tr>
      <w:tr>
        <w:trPr>
          <w:trHeight w:val="21"/>
        </w:trPr>
        <w:tc>
          <w:tcPr>
            <w:tcW w:w="6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400" w:right="640"/>
        <w:spacing w:after="0" w:line="282" w:lineRule="auto"/>
        <w:rPr>
          <w:sz w:val="20"/>
          <w:szCs w:val="20"/>
          <w:color w:val="auto"/>
        </w:rPr>
      </w:pPr>
      <w:r>
        <w:rPr>
          <w:rFonts w:ascii="Times New Roman" w:cs="Times New Roman" w:eastAsia="Times New Roman" w:hAnsi="Times New Roman"/>
          <w:sz w:val="18"/>
          <w:szCs w:val="18"/>
          <w:color w:val="auto"/>
        </w:rPr>
        <w:t>Other than the United States, no other individual country accounted for 10% or more of total revenue for the years ended December 31, 2022, 2021 and 2020.</w:t>
      </w:r>
    </w:p>
    <w:p>
      <w:pPr>
        <w:sectPr>
          <w:pgSz w:w="11900" w:h="16838" w:orient="portrait"/>
          <w:cols w:equalWidth="0" w:num="1">
            <w:col w:w="11240"/>
          </w:cols>
          <w:pgMar w:left="320" w:top="117" w:right="339" w:bottom="1440" w:gutter="0" w:footer="0" w:header="0"/>
        </w:sect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88" w:name="page189"/>
    <w:bookmarkEnd w:id="188"/>
    <w:p>
      <w:pPr>
        <w:jc w:val="right"/>
        <w:spacing w:after="0"/>
        <w:rPr>
          <w:sz w:val="20"/>
          <w:szCs w:val="20"/>
          <w:color w:val="auto"/>
        </w:rPr>
      </w:pPr>
      <w:r>
        <w:rPr>
          <w:rFonts w:ascii="Times New Roman" w:cs="Times New Roman" w:eastAsia="Times New Roman" w:hAnsi="Times New Roman"/>
          <w:sz w:val="18"/>
          <w:szCs w:val="18"/>
          <w:b w:val="1"/>
          <w:bCs w:val="1"/>
          <w:color w:val="auto"/>
        </w:rPr>
        <w:t>WALKME LTD. AND ITS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7"/>
          <w:szCs w:val="17"/>
          <w:b w:val="1"/>
          <w:bCs w:val="1"/>
          <w:color w:val="auto"/>
        </w:rPr>
        <w:t>REPORTING SEGMENTS AND GEOGRAPHIC INFORMATION (Cont.)</w:t>
      </w:r>
    </w:p>
    <w:p>
      <w:pPr>
        <w:spacing w:after="0" w:line="2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long-lived assets, net by region: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0" w:type="dxa"/>
            <w:vAlign w:val="bottom"/>
            <w:gridSpan w:val="6"/>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Israel</w:t>
            </w:r>
          </w:p>
        </w:tc>
        <w:tc>
          <w:tcPr>
            <w:tcW w:w="6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11,537</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6,800</w:t>
            </w:r>
          </w:p>
        </w:tc>
        <w:tc>
          <w:tcPr>
            <w:tcW w:w="2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1,778</w:t>
            </w: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66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0" w:type="dxa"/>
            <w:vAlign w:val="bottom"/>
          </w:tcPr>
          <w:p>
            <w:pPr>
              <w:spacing w:after="0"/>
              <w:rPr>
                <w:sz w:val="19"/>
                <w:szCs w:val="19"/>
                <w:color w:val="auto"/>
              </w:rPr>
            </w:pPr>
          </w:p>
        </w:tc>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long-lived assets, net</w:t>
            </w:r>
          </w:p>
        </w:tc>
        <w:tc>
          <w:tcPr>
            <w:tcW w:w="42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20,271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10,885</w:t>
            </w:r>
          </w:p>
        </w:tc>
        <w:tc>
          <w:tcPr>
            <w:tcW w:w="0" w:type="dxa"/>
            <w:vAlign w:val="bottom"/>
          </w:tcPr>
          <w:p>
            <w:pPr>
              <w:spacing w:after="0"/>
              <w:rPr>
                <w:sz w:val="1"/>
                <w:szCs w:val="1"/>
                <w:color w:val="auto"/>
              </w:rPr>
            </w:pPr>
          </w:p>
        </w:tc>
      </w:tr>
      <w:tr>
        <w:trPr>
          <w:trHeight w:val="21"/>
        </w:trPr>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13:</w:t>
            </w:r>
          </w:p>
        </w:tc>
        <w:tc>
          <w:tcPr>
            <w:tcW w:w="66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NET LOSS PER SHARE ATTRIBUTABLE TO ORDINARY SHAREHOLDERS</w:t>
            </w: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1080" w:type="dxa"/>
            <w:vAlign w:val="bottom"/>
            <w:gridSpan w:val="2"/>
            <w:vMerge w:val="continue"/>
          </w:tcPr>
          <w:p>
            <w:pPr>
              <w:spacing w:after="0"/>
              <w:rPr>
                <w:sz w:val="24"/>
                <w:szCs w:val="24"/>
                <w:color w:val="auto"/>
              </w:rPr>
            </w:pPr>
          </w:p>
        </w:tc>
        <w:tc>
          <w:tcPr>
            <w:tcW w:w="66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attributable to ordinary shareholders for the periods presented:</w:t>
      </w:r>
    </w:p>
    <w:p>
      <w:pPr>
        <w:spacing w:after="0" w:line="235" w:lineRule="exact"/>
        <w:rPr>
          <w:sz w:val="20"/>
          <w:szCs w:val="20"/>
          <w:color w:val="auto"/>
        </w:rPr>
      </w:pPr>
    </w:p>
    <w:tbl>
      <w:tblPr>
        <w:tblLayout w:type="fixed"/>
        <w:tblInd w:w="500" w:type="dxa"/>
        <w:tblCellMar>
          <w:top w:w="0" w:type="dxa"/>
          <w:left w:w="0" w:type="dxa"/>
          <w:bottom w:w="0" w:type="dxa"/>
          <w:right w:w="0" w:type="dxa"/>
        </w:tblCellMar>
      </w:tblPr>
      <w:tr>
        <w:trPr>
          <w:trHeight w:val="259"/>
        </w:trPr>
        <w:tc>
          <w:tcPr>
            <w:tcW w:w="5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40" w:type="dxa"/>
            <w:vAlign w:val="bottom"/>
            <w:gridSpan w:val="8"/>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7"/>
        </w:trPr>
        <w:tc>
          <w:tcPr>
            <w:tcW w:w="5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top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Borders>
              <w:top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r>
      <w:tr>
        <w:trPr>
          <w:trHeight w:val="229"/>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(108,350)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(80,293)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(45,025)</w:t>
            </w:r>
          </w:p>
        </w:tc>
      </w:tr>
      <w:tr>
        <w:trPr>
          <w:trHeight w:val="229"/>
        </w:trPr>
        <w:tc>
          <w:tcPr>
            <w:tcW w:w="5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(743)</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(1,169)</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(1,311)</w:t>
            </w:r>
          </w:p>
        </w:tc>
      </w:tr>
      <w:tr>
        <w:trPr>
          <w:trHeight w:val="229"/>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Adjustment attributable to non-controlling interest</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(14,979)</w:t>
            </w: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16,689</w:t>
            </w:r>
          </w:p>
        </w:tc>
        <w:tc>
          <w:tcPr>
            <w:tcW w:w="1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5,487</w:t>
            </w:r>
          </w:p>
        </w:tc>
      </w:tr>
      <w:tr>
        <w:trPr>
          <w:trHeight w:val="230"/>
        </w:trPr>
        <w:tc>
          <w:tcPr>
            <w:tcW w:w="5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Deemed dividend to ordinary shareholders</w:t>
            </w: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4,569</w:t>
            </w:r>
          </w:p>
        </w:tc>
      </w:tr>
      <w:tr>
        <w:trPr>
          <w:trHeight w:val="27"/>
        </w:trPr>
        <w:tc>
          <w:tcPr>
            <w:tcW w:w="57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0"/>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WalkMe Ltd.</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(92,628)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(95,813)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(53,770)</w:t>
            </w:r>
          </w:p>
        </w:tc>
      </w:tr>
      <w:tr>
        <w:trPr>
          <w:trHeight w:val="23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1"/>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used in computing net loss per share</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attributable to ordinary shareholders, basic and diluted</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85,116,424</w:t>
            </w:r>
          </w:p>
        </w:tc>
        <w:tc>
          <w:tcPr>
            <w:tcW w:w="12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51,763,032</w:t>
            </w:r>
          </w:p>
        </w:tc>
        <w:tc>
          <w:tcPr>
            <w:tcW w:w="1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13,217,183</w:t>
            </w:r>
          </w:p>
        </w:tc>
      </w:tr>
      <w:tr>
        <w:trPr>
          <w:trHeight w:val="25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ordinary shareholders, basic and diluted</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(4.07)</w:t>
            </w:r>
          </w:p>
        </w:tc>
      </w:tr>
      <w:tr>
        <w:trPr>
          <w:trHeight w:val="20"/>
        </w:trPr>
        <w:tc>
          <w:tcPr>
            <w:tcW w:w="57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potential shares of ordinary shares that were excluded from the computation of diluted net loss per share attributable to ordinary shareholders for the periods presented because including them would have been anti-dilutive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700" w:type="dxa"/>
            <w:vAlign w:val="bottom"/>
          </w:tcPr>
          <w:p>
            <w:pPr>
              <w:spacing w:after="0"/>
              <w:rPr>
                <w:sz w:val="22"/>
                <w:szCs w:val="22"/>
                <w:color w:val="auto"/>
              </w:rPr>
            </w:pPr>
          </w:p>
        </w:tc>
        <w:tc>
          <w:tcPr>
            <w:tcW w:w="3360" w:type="dxa"/>
            <w:vAlign w:val="bottom"/>
            <w:gridSpan w:val="6"/>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6"/>
        </w:trPr>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shares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26,972,186</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58,724,580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RSU’s</w:t>
            </w:r>
          </w:p>
        </w:tc>
        <w:tc>
          <w:tcPr>
            <w:tcW w:w="57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5,759,365</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732,157</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share options and share purchase rights under ESPP</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13,676,853</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14,143,816</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10,428,813</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570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7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19,436,218</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41,848,159</w:t>
            </w: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69,153,393</w:t>
            </w:r>
          </w:p>
        </w:tc>
        <w:tc>
          <w:tcPr>
            <w:tcW w:w="0" w:type="dxa"/>
            <w:vAlign w:val="bottom"/>
          </w:tcPr>
          <w:p>
            <w:pPr>
              <w:spacing w:after="0"/>
              <w:rPr>
                <w:sz w:val="1"/>
                <w:szCs w:val="1"/>
                <w:color w:val="auto"/>
              </w:rPr>
            </w:pPr>
          </w:p>
        </w:tc>
      </w:tr>
      <w:tr>
        <w:trPr>
          <w:trHeight w:val="21"/>
        </w:trPr>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14:</w:t>
            </w:r>
          </w:p>
        </w:tc>
        <w:tc>
          <w:tcPr>
            <w:tcW w:w="57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SUBSEQUENT EVENT</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1100" w:type="dxa"/>
            <w:vAlign w:val="bottom"/>
            <w:gridSpan w:val="2"/>
            <w:vMerge w:val="continue"/>
          </w:tcPr>
          <w:p>
            <w:pPr>
              <w:spacing w:after="0"/>
              <w:rPr>
                <w:sz w:val="24"/>
                <w:szCs w:val="24"/>
                <w:color w:val="auto"/>
              </w:rPr>
            </w:pPr>
          </w:p>
        </w:tc>
        <w:tc>
          <w:tcPr>
            <w:tcW w:w="57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10, 2023, the Federal Deposit Insurance Corporation (the “FDIC”) took control of Silicon Valley Bank (“SVB”) and created the National Bank of Santa Clara to hold the deposits after SVB was unable to continue its operations. On March 12, 2023, a joint statement by the U.S. Department of the Treasury, Federal Reserve Bank and FDIC was released stating that depositors will have access to all of their money starting Monday, March 13, 2023 and no losses associated with the resolution of SVB will be borne by the taxpayer. As of March 14, 2023, the Company holds approximately $15,700 with SVB and had a $50,000 unutilized revolving credit facility. At this time the Company is evaluating future accessibility to the revolving credit facility. Refer to Note 7 “Commitments and Contingent Liabilities“.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9">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8.1</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220" w:type="dxa"/>
            <w:vAlign w:val="bottom"/>
          </w:tcPr>
          <w:p>
            <w:pPr>
              <w:spacing w:after="0"/>
              <w:rPr>
                <w:sz w:val="24"/>
                <w:szCs w:val="24"/>
                <w:color w:val="auto"/>
              </w:rPr>
            </w:pPr>
          </w:p>
        </w:tc>
        <w:tc>
          <w:tcPr>
            <w:tcW w:w="8020" w:type="dxa"/>
            <w:vAlign w:val="bottom"/>
            <w:gridSpan w:val="3"/>
          </w:tcPr>
          <w:p>
            <w:pPr>
              <w:ind w:left="1080"/>
              <w:spacing w:after="0"/>
              <w:rPr>
                <w:sz w:val="20"/>
                <w:szCs w:val="20"/>
                <w:color w:val="auto"/>
              </w:rPr>
            </w:pPr>
            <w:r>
              <w:rPr>
                <w:rFonts w:ascii="Times New Roman" w:cs="Times New Roman" w:eastAsia="Times New Roman" w:hAnsi="Times New Roman"/>
                <w:sz w:val="22"/>
                <w:szCs w:val="22"/>
                <w:b w:val="1"/>
                <w:bCs w:val="1"/>
                <w:color w:val="auto"/>
              </w:rPr>
              <w:t>Subsidiaries of WalkMe Ltd.</w:t>
            </w:r>
          </w:p>
        </w:tc>
      </w:tr>
      <w:tr>
        <w:trPr>
          <w:trHeight w:val="514"/>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Legal Name</w:t>
            </w:r>
          </w:p>
        </w:tc>
        <w:tc>
          <w:tcPr>
            <w:tcW w:w="2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3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Jurisdiction of Organization</w:t>
            </w:r>
          </w:p>
        </w:tc>
      </w:tr>
      <w:tr>
        <w:trPr>
          <w:trHeight w:val="48"/>
        </w:trPr>
        <w:tc>
          <w:tcPr>
            <w:tcW w:w="322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380" w:type="dxa"/>
            <w:vAlign w:val="bottom"/>
            <w:tcBorders>
              <w:bottom w:val="single" w:sz="8" w:color="auto"/>
            </w:tcBorders>
          </w:tcPr>
          <w:p>
            <w:pPr>
              <w:spacing w:after="0"/>
              <w:rPr>
                <w:sz w:val="4"/>
                <w:szCs w:val="4"/>
                <w:color w:val="auto"/>
              </w:rPr>
            </w:pPr>
          </w:p>
        </w:tc>
      </w:tr>
      <w:tr>
        <w:trPr>
          <w:trHeight w:val="263"/>
        </w:trPr>
        <w:tc>
          <w:tcPr>
            <w:tcW w:w="3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WalkMe, Inc.</w:t>
            </w:r>
          </w:p>
        </w:tc>
        <w:tc>
          <w:tcPr>
            <w:tcW w:w="25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WalkMe UK Limited</w:t>
            </w:r>
          </w:p>
        </w:tc>
        <w:tc>
          <w:tcPr>
            <w:tcW w:w="2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41"/>
        </w:trPr>
        <w:tc>
          <w:tcPr>
            <w:tcW w:w="32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380" w:type="dxa"/>
            <w:vAlign w:val="bottom"/>
          </w:tcPr>
          <w:p>
            <w:pPr>
              <w:spacing w:after="0"/>
              <w:rPr>
                <w:sz w:val="3"/>
                <w:szCs w:val="3"/>
                <w:color w:val="auto"/>
              </w:rPr>
            </w:pPr>
          </w:p>
        </w:tc>
      </w:tr>
      <w:tr>
        <w:trPr>
          <w:trHeight w:val="263"/>
        </w:trPr>
        <w:tc>
          <w:tcPr>
            <w:tcW w:w="3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WalkMe Australia PTY Ltd.</w:t>
            </w:r>
          </w:p>
        </w:tc>
        <w:tc>
          <w:tcPr>
            <w:tcW w:w="25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Australia</w:t>
            </w:r>
          </w:p>
        </w:tc>
      </w:tr>
      <w:tr>
        <w:trPr>
          <w:trHeight w:val="243"/>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WalkMe Singapore PTE Ltd.</w:t>
            </w:r>
          </w:p>
        </w:tc>
        <w:tc>
          <w:tcPr>
            <w:tcW w:w="2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Singapore</w:t>
            </w:r>
          </w:p>
        </w:tc>
      </w:tr>
      <w:tr>
        <w:trPr>
          <w:trHeight w:val="40"/>
        </w:trPr>
        <w:tc>
          <w:tcPr>
            <w:tcW w:w="32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380" w:type="dxa"/>
            <w:vAlign w:val="bottom"/>
          </w:tcPr>
          <w:p>
            <w:pPr>
              <w:spacing w:after="0"/>
              <w:rPr>
                <w:sz w:val="3"/>
                <w:szCs w:val="3"/>
                <w:color w:val="auto"/>
              </w:rPr>
            </w:pPr>
          </w:p>
        </w:tc>
      </w:tr>
      <w:tr>
        <w:trPr>
          <w:trHeight w:val="263"/>
        </w:trPr>
        <w:tc>
          <w:tcPr>
            <w:tcW w:w="3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WalkMe K.K.</w:t>
            </w:r>
          </w:p>
        </w:tc>
        <w:tc>
          <w:tcPr>
            <w:tcW w:w="25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Japan</w:t>
            </w:r>
          </w:p>
        </w:tc>
      </w:tr>
      <w:tr>
        <w:trPr>
          <w:trHeight w:val="243"/>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WalkMe Canada Ltd.</w:t>
            </w:r>
          </w:p>
        </w:tc>
        <w:tc>
          <w:tcPr>
            <w:tcW w:w="2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Canada</w:t>
            </w:r>
          </w:p>
        </w:tc>
      </w:tr>
      <w:tr>
        <w:trPr>
          <w:trHeight w:val="40"/>
        </w:trPr>
        <w:tc>
          <w:tcPr>
            <w:tcW w:w="32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380" w:type="dxa"/>
            <w:vAlign w:val="bottom"/>
          </w:tcPr>
          <w:p>
            <w:pPr>
              <w:spacing w:after="0"/>
              <w:rPr>
                <w:sz w:val="3"/>
                <w:szCs w:val="3"/>
                <w:color w:val="auto"/>
              </w:rPr>
            </w:pPr>
          </w:p>
        </w:tc>
      </w:tr>
      <w:tr>
        <w:trPr>
          <w:trHeight w:val="263"/>
        </w:trPr>
        <w:tc>
          <w:tcPr>
            <w:tcW w:w="3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WalkMe Germany GmbH</w:t>
            </w:r>
          </w:p>
        </w:tc>
        <w:tc>
          <w:tcPr>
            <w:tcW w:w="25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Germany</w:t>
            </w:r>
          </w:p>
        </w:tc>
      </w:tr>
      <w:tr>
        <w:trPr>
          <w:trHeight w:val="378"/>
        </w:trPr>
        <w:tc>
          <w:tcPr>
            <w:tcW w:w="32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r>
      <w:tr>
        <w:trPr>
          <w:trHeight w:val="163"/>
        </w:trPr>
        <w:tc>
          <w:tcPr>
            <w:tcW w:w="32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38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702" w:right="339"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0">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1">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12.1</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w:t>
      </w:r>
    </w:p>
    <w:p>
      <w:pPr>
        <w:spacing w:after="0" w:line="2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I, Dan Adika, Chief Executive Officer, certify that:</w:t>
      </w:r>
    </w:p>
    <w:p>
      <w:pPr>
        <w:spacing w:after="0" w:line="283" w:lineRule="exact"/>
        <w:rPr>
          <w:sz w:val="20"/>
          <w:szCs w:val="20"/>
          <w:color w:val="auto"/>
        </w:rPr>
      </w:pPr>
    </w:p>
    <w:p>
      <w:pPr>
        <w:ind w:left="340" w:hanging="332"/>
        <w:spacing w:after="0"/>
        <w:tabs>
          <w:tab w:leader="none" w:pos="3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WalkMe Ltd.;</w:t>
      </w:r>
    </w:p>
    <w:p>
      <w:pPr>
        <w:spacing w:after="0" w:line="279"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9"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21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22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2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9"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1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21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215" w:lineRule="exact"/>
        <w:rPr>
          <w:rFonts w:ascii="Times New Roman" w:cs="Times New Roman" w:eastAsia="Times New Roman" w:hAnsi="Times New Roman"/>
          <w:sz w:val="18"/>
          <w:szCs w:val="18"/>
          <w:color w:val="auto"/>
        </w:rPr>
      </w:pPr>
    </w:p>
    <w:p>
      <w:pPr>
        <w:ind w:left="740" w:hanging="327"/>
        <w:spacing w:after="0" w:line="282" w:lineRule="auto"/>
        <w:tabs>
          <w:tab w:leader="none" w:pos="740" w:val="left"/>
        </w:tabs>
        <w:numPr>
          <w:ilvl w:val="2"/>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15" w:lineRule="exact"/>
        <w:rPr>
          <w:rFonts w:ascii="Times New Roman" w:cs="Times New Roman" w:eastAsia="Times New Roman" w:hAnsi="Times New Roman"/>
          <w:sz w:val="18"/>
          <w:szCs w:val="18"/>
          <w:color w:val="auto"/>
        </w:rPr>
      </w:pPr>
    </w:p>
    <w:p>
      <w:pPr>
        <w:ind w:left="740" w:right="20" w:hanging="327"/>
        <w:spacing w:after="0" w:line="282" w:lineRule="auto"/>
        <w:tabs>
          <w:tab w:leader="none" w:pos="740" w:val="left"/>
        </w:tabs>
        <w:numPr>
          <w:ilvl w:val="2"/>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March 14, 2023</w:t>
      </w:r>
    </w:p>
    <w:p>
      <w:pPr>
        <w:spacing w:after="0" w:line="28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Dan Adika</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Dan Adika</w:t>
      </w:r>
    </w:p>
    <w:p>
      <w:pPr>
        <w:spacing w:after="0" w:line="2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342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662" w:right="339"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5">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12.2</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Hagit Ynon, Chief Financial Officer, certify that:</w:t>
      </w:r>
    </w:p>
    <w:p>
      <w:pPr>
        <w:spacing w:after="0" w:line="283" w:lineRule="exact"/>
        <w:rPr>
          <w:sz w:val="20"/>
          <w:szCs w:val="20"/>
          <w:color w:val="auto"/>
        </w:rPr>
      </w:pPr>
    </w:p>
    <w:p>
      <w:pPr>
        <w:ind w:left="340" w:hanging="332"/>
        <w:spacing w:after="0"/>
        <w:tabs>
          <w:tab w:leader="none" w:pos="3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WalkMe Ltd.;</w:t>
      </w:r>
    </w:p>
    <w:p>
      <w:pPr>
        <w:spacing w:after="0" w:line="279"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9"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21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22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2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9"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1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21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215" w:lineRule="exact"/>
        <w:rPr>
          <w:rFonts w:ascii="Times New Roman" w:cs="Times New Roman" w:eastAsia="Times New Roman" w:hAnsi="Times New Roman"/>
          <w:sz w:val="18"/>
          <w:szCs w:val="18"/>
          <w:color w:val="auto"/>
        </w:rPr>
      </w:pPr>
    </w:p>
    <w:p>
      <w:pPr>
        <w:ind w:left="740" w:hanging="327"/>
        <w:spacing w:after="0" w:line="282" w:lineRule="auto"/>
        <w:tabs>
          <w:tab w:leader="none" w:pos="740" w:val="left"/>
        </w:tabs>
        <w:numPr>
          <w:ilvl w:val="2"/>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15" w:lineRule="exact"/>
        <w:rPr>
          <w:rFonts w:ascii="Times New Roman" w:cs="Times New Roman" w:eastAsia="Times New Roman" w:hAnsi="Times New Roman"/>
          <w:sz w:val="18"/>
          <w:szCs w:val="18"/>
          <w:color w:val="auto"/>
        </w:rPr>
      </w:pPr>
    </w:p>
    <w:p>
      <w:pPr>
        <w:ind w:left="740" w:right="20" w:hanging="327"/>
        <w:spacing w:after="0" w:line="282" w:lineRule="auto"/>
        <w:tabs>
          <w:tab w:leader="none" w:pos="740" w:val="left"/>
        </w:tabs>
        <w:numPr>
          <w:ilvl w:val="2"/>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March 14, 2023</w:t>
      </w:r>
    </w:p>
    <w:p>
      <w:pPr>
        <w:spacing w:after="0" w:line="28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Hagit Ynon</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Hagit Ynon</w:t>
      </w:r>
    </w:p>
    <w:p>
      <w:pPr>
        <w:spacing w:after="0" w:line="2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342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9">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13.1</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 PURSUANT TO</w:t>
      </w:r>
    </w:p>
    <w:p>
      <w:pPr>
        <w:spacing w:after="0" w:line="33"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b w:val="1"/>
          <w:bCs w:val="1"/>
          <w:color w:val="auto"/>
        </w:rPr>
        <w:t>18 U.S.C. SECTION 1350, AS ADOPTED PURSUANT TO</w:t>
      </w:r>
    </w:p>
    <w:p>
      <w:pPr>
        <w:spacing w:after="0" w:line="1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b w:val="1"/>
          <w:bCs w:val="1"/>
          <w:color w:val="auto"/>
        </w:rPr>
        <w:t>SECTION 906 OF THE SARBANES-OXLEY ACT OF 2002</w:t>
      </w:r>
    </w:p>
    <w:p>
      <w:pPr>
        <w:spacing w:after="0" w:line="27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2"/>
          <w:szCs w:val="22"/>
          <w:color w:val="auto"/>
        </w:rPr>
        <w:t>In connection with the Annual Report on Form 20-F of WalkMe Ltd. (the “Company”) for the year ended December 31, 2022 as filed with the Securities and Exchange Commission on the date hereof (the “Report”), I certify, pursuant to 18 U.S.C. Section 1350, as adopted pursuant to Section 906 of the Sarbanes-Oxley Act of 2002, that to the best of my knowledge:</w:t>
      </w:r>
    </w:p>
    <w:p>
      <w:pPr>
        <w:spacing w:after="0" w:line="222" w:lineRule="exact"/>
        <w:rPr>
          <w:sz w:val="20"/>
          <w:szCs w:val="20"/>
          <w:color w:val="auto"/>
        </w:rPr>
      </w:pPr>
    </w:p>
    <w:p>
      <w:pPr>
        <w:ind w:left="880" w:hanging="872"/>
        <w:spacing w:after="0"/>
        <w:tabs>
          <w:tab w:leader="none" w:pos="8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7" w:lineRule="exact"/>
        <w:rPr>
          <w:rFonts w:ascii="Times New Roman" w:cs="Times New Roman" w:eastAsia="Times New Roman" w:hAnsi="Times New Roman"/>
          <w:sz w:val="18"/>
          <w:szCs w:val="18"/>
          <w:color w:val="auto"/>
        </w:rPr>
      </w:pPr>
    </w:p>
    <w:p>
      <w:pPr>
        <w:ind w:left="880" w:right="700" w:hanging="872"/>
        <w:spacing w:after="0" w:line="292" w:lineRule="auto"/>
        <w:tabs>
          <w:tab w:leader="none" w:pos="8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March 14, 2023</w:t>
      </w:r>
    </w:p>
    <w:p>
      <w:pPr>
        <w:spacing w:after="0" w:line="28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Dan Adika</w:t>
      </w:r>
    </w:p>
    <w:p>
      <w:pPr>
        <w:spacing w:after="0" w:line="2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Dan Adika</w:t>
      </w:r>
    </w:p>
    <w:p>
      <w:pPr>
        <w:spacing w:after="0" w:line="2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342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93" w:name="page194"/>
    <w:bookmarkEnd w:id="193"/>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3">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13.2</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 PURSUANT TO</w:t>
      </w:r>
    </w:p>
    <w:p>
      <w:pPr>
        <w:spacing w:after="0" w:line="33"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b w:val="1"/>
          <w:bCs w:val="1"/>
          <w:color w:val="auto"/>
        </w:rPr>
        <w:t>18 U.S.C. SECTION 1350, AS ADOPTED PURSUANT TO</w:t>
      </w:r>
    </w:p>
    <w:p>
      <w:pPr>
        <w:spacing w:after="0" w:line="1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b w:val="1"/>
          <w:bCs w:val="1"/>
          <w:color w:val="auto"/>
        </w:rPr>
        <w:t>SECTION 906 OF THE SARBANES-OXLEY ACT OF 2002</w:t>
      </w:r>
    </w:p>
    <w:p>
      <w:pPr>
        <w:spacing w:after="0" w:line="27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2"/>
          <w:szCs w:val="22"/>
          <w:color w:val="auto"/>
        </w:rPr>
        <w:t>In connection with the Annual Report on Form 20-F of WalkMe Ltd. (the “Company”) for the year ended December 31, 2022 as filed with the Securities and Exchange Commission on the date hereof (the “Report”), I certify, pursuant to 18 U.S.C. Section 1350, as adopted pursuant to Section 906 of the Sarbanes-Oxley Act of 2002, that to the best of my knowledge:</w:t>
      </w:r>
    </w:p>
    <w:p>
      <w:pPr>
        <w:spacing w:after="0" w:line="222" w:lineRule="exact"/>
        <w:rPr>
          <w:sz w:val="20"/>
          <w:szCs w:val="20"/>
          <w:color w:val="auto"/>
        </w:rPr>
      </w:pPr>
    </w:p>
    <w:p>
      <w:pPr>
        <w:ind w:left="880" w:hanging="872"/>
        <w:spacing w:after="0"/>
        <w:tabs>
          <w:tab w:leader="none" w:pos="8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7" w:lineRule="exact"/>
        <w:rPr>
          <w:rFonts w:ascii="Times New Roman" w:cs="Times New Roman" w:eastAsia="Times New Roman" w:hAnsi="Times New Roman"/>
          <w:sz w:val="18"/>
          <w:szCs w:val="18"/>
          <w:color w:val="auto"/>
        </w:rPr>
      </w:pPr>
    </w:p>
    <w:p>
      <w:pPr>
        <w:ind w:left="880" w:right="700" w:hanging="872"/>
        <w:spacing w:after="0" w:line="292" w:lineRule="auto"/>
        <w:tabs>
          <w:tab w:leader="none" w:pos="8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March 14, 2023</w:t>
      </w:r>
    </w:p>
    <w:p>
      <w:pPr>
        <w:spacing w:after="0" w:line="28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Hagit Ynon</w:t>
      </w:r>
    </w:p>
    <w:p>
      <w:pPr>
        <w:spacing w:after="0" w:line="2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Hagit Ynon</w:t>
      </w:r>
    </w:p>
    <w:p>
      <w:pPr>
        <w:spacing w:after="0" w:line="2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342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7">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15.1</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29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We consent to the incorporation by reference in the Registration Statement (Form S-8 Nos. 333-257354 and 333- 263823) pertaining to the Restated 2012 Share Option Plan, 2021 Share Incentive Plan and the 2021 Employee Share Purchase Plan of WalkMe Ltd., of our report dated March 14, 2023, with respect to the consolidated financial statements of WalkMe Ltd. and its subsidiaries, included in this annual report (Form 20-F) for the year ended December 31, 2022.</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Tel Aviv, Israel</w:t>
            </w:r>
          </w:p>
        </w:tc>
        <w:tc>
          <w:tcPr>
            <w:tcW w:w="786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/s/ Kost Forer Gabbay &amp; Kasierer</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March 14, 2023</w:t>
            </w:r>
          </w:p>
        </w:tc>
        <w:tc>
          <w:tcPr>
            <w:tcW w:w="786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A Member of Ernst &amp; Young Global</w:t>
            </w:r>
          </w:p>
        </w:tc>
      </w:tr>
      <w:tr>
        <w:trPr>
          <w:trHeight w:val="392"/>
        </w:trPr>
        <w:tc>
          <w:tcPr>
            <w:tcW w:w="3380" w:type="dxa"/>
            <w:vAlign w:val="bottom"/>
            <w:tcBorders>
              <w:bottom w:val="single" w:sz="8" w:color="auto"/>
            </w:tcBorders>
          </w:tcPr>
          <w:p>
            <w:pPr>
              <w:spacing w:after="0"/>
              <w:rPr>
                <w:sz w:val="24"/>
                <w:szCs w:val="24"/>
                <w:color w:val="auto"/>
              </w:rPr>
            </w:pPr>
          </w:p>
        </w:tc>
        <w:tc>
          <w:tcPr>
            <w:tcW w:w="7860" w:type="dxa"/>
            <w:vAlign w:val="bottom"/>
            <w:tcBorders>
              <w:bottom w:val="single" w:sz="8" w:color="auto"/>
            </w:tcBorders>
          </w:tcPr>
          <w:p>
            <w:pPr>
              <w:spacing w:after="0"/>
              <w:rPr>
                <w:sz w:val="24"/>
                <w:szCs w:val="24"/>
                <w:color w:val="auto"/>
              </w:rPr>
            </w:pPr>
          </w:p>
        </w:tc>
      </w:tr>
      <w:tr>
        <w:trPr>
          <w:trHeight w:val="163"/>
        </w:trPr>
        <w:tc>
          <w:tcPr>
            <w:tcW w:w="3380" w:type="dxa"/>
            <w:vAlign w:val="bottom"/>
            <w:tcBorders>
              <w:bottom w:val="single" w:sz="8" w:color="auto"/>
            </w:tcBorders>
          </w:tcPr>
          <w:p>
            <w:pPr>
              <w:spacing w:after="0"/>
              <w:rPr>
                <w:sz w:val="14"/>
                <w:szCs w:val="14"/>
                <w:color w:val="auto"/>
              </w:rPr>
            </w:pPr>
          </w:p>
        </w:tc>
        <w:tc>
          <w:tcPr>
            <w:tcW w:w="7860" w:type="dxa"/>
            <w:vAlign w:val="bottom"/>
            <w:tcBorders>
              <w:bottom w:val="single" w:sz="8" w:color="auto"/>
            </w:tcBorders>
          </w:tcPr>
          <w:p>
            <w:pPr>
              <w:spacing w:after="0"/>
              <w:rPr>
                <w:sz w:val="14"/>
                <w:szCs w:val="14"/>
                <w:color w:val="auto"/>
              </w:rPr>
            </w:pPr>
          </w:p>
        </w:tc>
      </w:tr>
    </w:tbl>
    <w:p>
      <w:pPr>
        <w:spacing w:after="0" w:line="1" w:lineRule="exact"/>
        <w:rPr>
          <w:sz w:val="20"/>
          <w:szCs w:val="20"/>
          <w:color w:val="auto"/>
        </w:rPr>
      </w:pPr>
    </w:p>
    <w:sectPr>
      <w:pgSz w:w="11900" w:h="16838" w:orient="portrait"/>
      <w:cols w:equalWidth="0" w:num="1">
        <w:col w:w="11240"/>
      </w:cols>
      <w:pgMar w:left="320" w:top="7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6AB60F"/>
    <w:multiLevelType w:val="hybridMultilevel"/>
    <w:lvl w:ilvl="0">
      <w:lvlJc w:val="left"/>
      <w:lvlText w:val="•"/>
      <w:numFmt w:val="bullet"/>
      <w:start w:val="1"/>
    </w:lvl>
  </w:abstractNum>
  <w:abstractNum w:abstractNumId="1">
    <w:nsid w:val="61574095"/>
    <w:multiLevelType w:val="hybridMultilevel"/>
    <w:lvl w:ilvl="0">
      <w:lvlJc w:val="left"/>
      <w:lvlText w:val="•"/>
      <w:numFmt w:val="bullet"/>
      <w:start w:val="1"/>
    </w:lvl>
  </w:abstractNum>
  <w:abstractNum w:abstractNumId="2">
    <w:nsid w:val="7E0C57B1"/>
    <w:multiLevelType w:val="hybridMultilevel"/>
    <w:lvl w:ilvl="0">
      <w:lvlJc w:val="left"/>
      <w:lvlText w:val="%1."/>
      <w:numFmt w:val="upperLetter"/>
      <w:start w:val="1"/>
    </w:lvl>
  </w:abstractNum>
  <w:abstractNum w:abstractNumId="3">
    <w:nsid w:val="77AE35EB"/>
    <w:multiLevelType w:val="hybridMultilevel"/>
    <w:lvl w:ilvl="0">
      <w:lvlJc w:val="left"/>
      <w:lvlText w:val="•"/>
      <w:numFmt w:val="bullet"/>
      <w:start w:val="1"/>
    </w:lvl>
    <w:lvl w:ilvl="1">
      <w:lvlJc w:val="left"/>
      <w:lvlText w:val="•"/>
      <w:numFmt w:val="bullet"/>
      <w:start w:val="1"/>
    </w:lvl>
  </w:abstractNum>
  <w:abstractNum w:abstractNumId="4">
    <w:nsid w:val="579BE4F1"/>
    <w:multiLevelType w:val="hybridMultilevel"/>
    <w:lvl w:ilvl="0">
      <w:lvlJc w:val="left"/>
      <w:lvlText w:val="•"/>
      <w:numFmt w:val="bullet"/>
      <w:start w:val="1"/>
    </w:lvl>
  </w:abstractNum>
  <w:abstractNum w:abstractNumId="5">
    <w:nsid w:val="310C50B3"/>
    <w:multiLevelType w:val="hybridMultilevel"/>
    <w:lvl w:ilvl="0">
      <w:lvlJc w:val="left"/>
      <w:lvlText w:val="•"/>
      <w:numFmt w:val="bullet"/>
      <w:start w:val="1"/>
    </w:lvl>
  </w:abstractNum>
  <w:abstractNum w:abstractNumId="6">
    <w:nsid w:val="5FF87E05"/>
    <w:multiLevelType w:val="hybridMultilevel"/>
    <w:lvl w:ilvl="0">
      <w:lvlJc w:val="left"/>
      <w:lvlText w:val="•"/>
      <w:numFmt w:val="bullet"/>
      <w:start w:val="1"/>
    </w:lvl>
  </w:abstractNum>
  <w:abstractNum w:abstractNumId="7">
    <w:nsid w:val="2F305DEF"/>
    <w:multiLevelType w:val="hybridMultilevel"/>
    <w:lvl w:ilvl="0">
      <w:lvlJc w:val="left"/>
      <w:lvlText w:val="•"/>
      <w:numFmt w:val="bullet"/>
      <w:start w:val="1"/>
    </w:lvl>
  </w:abstractNum>
  <w:abstractNum w:abstractNumId="8">
    <w:nsid w:val="25A70BF7"/>
    <w:multiLevelType w:val="hybridMultilevel"/>
    <w:lvl w:ilvl="0">
      <w:lvlJc w:val="left"/>
      <w:lvlText w:val="•"/>
      <w:numFmt w:val="bullet"/>
      <w:start w:val="1"/>
    </w:lvl>
  </w:abstractNum>
  <w:abstractNum w:abstractNumId="9">
    <w:nsid w:val="1DBABF00"/>
    <w:multiLevelType w:val="hybridMultilevel"/>
    <w:lvl w:ilvl="0">
      <w:lvlJc w:val="left"/>
      <w:lvlText w:val="•"/>
      <w:numFmt w:val="bullet"/>
      <w:start w:val="1"/>
    </w:lvl>
  </w:abstractNum>
  <w:abstractNum w:abstractNumId="10">
    <w:nsid w:val="4AD084E9"/>
    <w:multiLevelType w:val="hybridMultilevel"/>
    <w:lvl w:ilvl="0">
      <w:lvlJc w:val="left"/>
      <w:lvlText w:val="K.%1"/>
      <w:numFmt w:val="upperLetter"/>
      <w:start w:val="11"/>
    </w:lvl>
  </w:abstractNum>
  <w:abstractNum w:abstractNumId="11">
    <w:nsid w:val="1F48EAA1"/>
    <w:multiLevelType w:val="hybridMultilevel"/>
    <w:lvl w:ilvl="0">
      <w:lvlJc w:val="left"/>
      <w:lvlText w:val="•"/>
      <w:numFmt w:val="bullet"/>
      <w:start w:val="1"/>
    </w:lvl>
    <w:lvl w:ilvl="1">
      <w:lvlJc w:val="left"/>
      <w:lvlText w:val="•"/>
      <w:numFmt w:val="bullet"/>
      <w:start w:val="1"/>
    </w:lvl>
  </w:abstractNum>
  <w:abstractNum w:abstractNumId="12">
    <w:nsid w:val="1381823A"/>
    <w:multiLevelType w:val="hybridMultilevel"/>
    <w:lvl w:ilvl="0">
      <w:lvlJc w:val="left"/>
      <w:lvlText w:val="•"/>
      <w:numFmt w:val="bullet"/>
      <w:start w:val="1"/>
    </w:lvl>
  </w:abstractNum>
  <w:abstractNum w:abstractNumId="13">
    <w:nsid w:val="5DB70AE5"/>
    <w:multiLevelType w:val="hybridMultilevel"/>
    <w:lvl w:ilvl="0">
      <w:lvlJc w:val="left"/>
      <w:lvlText w:val="§"/>
      <w:numFmt w:val="bullet"/>
      <w:start w:val="1"/>
    </w:lvl>
  </w:abstractNum>
  <w:abstractNum w:abstractNumId="14">
    <w:nsid w:val="100F8FCA"/>
    <w:multiLevelType w:val="hybridMultilevel"/>
    <w:lvl w:ilvl="0">
      <w:lvlJc w:val="left"/>
      <w:lvlText w:val="•"/>
      <w:numFmt w:val="bullet"/>
      <w:start w:val="1"/>
    </w:lvl>
  </w:abstractNum>
  <w:abstractNum w:abstractNumId="15">
    <w:nsid w:val="6590700B"/>
    <w:multiLevelType w:val="hybridMultilevel"/>
    <w:lvl w:ilvl="0">
      <w:lvlJc w:val="left"/>
      <w:lvlText w:val="•"/>
      <w:numFmt w:val="bullet"/>
      <w:start w:val="1"/>
    </w:lvl>
  </w:abstractNum>
  <w:abstractNum w:abstractNumId="16">
    <w:nsid w:val="15014ACB"/>
    <w:multiLevelType w:val="hybridMultilevel"/>
    <w:lvl w:ilvl="0">
      <w:lvlJc w:val="left"/>
      <w:lvlText w:val="•"/>
      <w:numFmt w:val="bullet"/>
      <w:start w:val="1"/>
    </w:lvl>
  </w:abstractNum>
  <w:abstractNum w:abstractNumId="17">
    <w:nsid w:val="5F5E7FD0"/>
    <w:multiLevelType w:val="hybridMultilevel"/>
    <w:lvl w:ilvl="0">
      <w:lvlJc w:val="left"/>
      <w:lvlText w:val="•"/>
      <w:numFmt w:val="bullet"/>
      <w:start w:val="1"/>
    </w:lvl>
  </w:abstractNum>
  <w:abstractNum w:abstractNumId="18">
    <w:nsid w:val="98A3148"/>
    <w:multiLevelType w:val="hybridMultilevel"/>
    <w:lvl w:ilvl="0">
      <w:lvlJc w:val="left"/>
      <w:lvlText w:val="•"/>
      <w:numFmt w:val="bullet"/>
      <w:start w:val="1"/>
    </w:lvl>
  </w:abstractNum>
  <w:abstractNum w:abstractNumId="19">
    <w:nsid w:val="799D0247"/>
    <w:multiLevelType w:val="hybridMultilevel"/>
    <w:lvl w:ilvl="0">
      <w:lvlJc w:val="left"/>
      <w:lvlText w:val="•"/>
      <w:numFmt w:val="bullet"/>
      <w:start w:val="1"/>
    </w:lvl>
  </w:abstractNum>
  <w:abstractNum w:abstractNumId="20">
    <w:nsid w:val="6B94764"/>
    <w:multiLevelType w:val="hybridMultilevel"/>
    <w:lvl w:ilvl="0">
      <w:lvlJc w:val="left"/>
      <w:lvlText w:val="%1."/>
      <w:numFmt w:val="upperLetter"/>
      <w:start w:val="2"/>
    </w:lvl>
  </w:abstractNum>
  <w:abstractNum w:abstractNumId="21">
    <w:nsid w:val="42C296BD"/>
    <w:multiLevelType w:val="hybridMultilevel"/>
    <w:lvl w:ilvl="0">
      <w:lvlJc w:val="left"/>
      <w:lvlText w:val="•"/>
      <w:numFmt w:val="bullet"/>
      <w:start w:val="1"/>
    </w:lvl>
  </w:abstractNum>
  <w:abstractNum w:abstractNumId="22">
    <w:nsid w:val="168E121F"/>
    <w:multiLevelType w:val="hybridMultilevel"/>
    <w:lvl w:ilvl="0">
      <w:lvlJc w:val="left"/>
      <w:lvlText w:val="•"/>
      <w:numFmt w:val="bullet"/>
      <w:start w:val="1"/>
    </w:lvl>
  </w:abstractNum>
  <w:abstractNum w:abstractNumId="23">
    <w:nsid w:val="1EBA5D23"/>
    <w:multiLevelType w:val="hybridMultilevel"/>
    <w:lvl w:ilvl="0">
      <w:lvlJc w:val="left"/>
      <w:lvlText w:val="•"/>
      <w:numFmt w:val="bullet"/>
      <w:start w:val="1"/>
    </w:lvl>
  </w:abstractNum>
  <w:abstractNum w:abstractNumId="24">
    <w:nsid w:val="661E3F1E"/>
    <w:multiLevelType w:val="hybridMultilevel"/>
    <w:lvl w:ilvl="0">
      <w:lvlJc w:val="left"/>
      <w:lvlText w:val="•"/>
      <w:numFmt w:val="bullet"/>
      <w:start w:val="1"/>
    </w:lvl>
  </w:abstractNum>
  <w:abstractNum w:abstractNumId="25">
    <w:nsid w:val="5DC79EA8"/>
    <w:multiLevelType w:val="hybridMultilevel"/>
    <w:lvl w:ilvl="0">
      <w:lvlJc w:val="left"/>
      <w:lvlText w:val="•"/>
      <w:numFmt w:val="bullet"/>
      <w:start w:val="1"/>
    </w:lvl>
  </w:abstractNum>
  <w:abstractNum w:abstractNumId="26">
    <w:nsid w:val="540A471C"/>
    <w:multiLevelType w:val="hybridMultilevel"/>
    <w:lvl w:ilvl="0">
      <w:lvlJc w:val="left"/>
      <w:lvlText w:val="•"/>
      <w:numFmt w:val="bullet"/>
      <w:start w:val="1"/>
    </w:lvl>
  </w:abstractNum>
  <w:abstractNum w:abstractNumId="27">
    <w:nsid w:val="7BD3EE7B"/>
    <w:multiLevelType w:val="hybridMultilevel"/>
    <w:lvl w:ilvl="0">
      <w:lvlJc w:val="left"/>
      <w:lvlText w:val="-"/>
      <w:numFmt w:val="bullet"/>
      <w:start w:val="1"/>
    </w:lvl>
  </w:abstractNum>
  <w:abstractNum w:abstractNumId="28">
    <w:nsid w:val="51D9C564"/>
    <w:multiLevelType w:val="hybridMultilevel"/>
    <w:lvl w:ilvl="0">
      <w:lvlJc w:val="left"/>
      <w:lvlText w:val="-"/>
      <w:numFmt w:val="bullet"/>
      <w:start w:val="1"/>
    </w:lvl>
  </w:abstractNum>
  <w:abstractNum w:abstractNumId="29">
    <w:nsid w:val="613EFDC5"/>
    <w:multiLevelType w:val="hybridMultilevel"/>
    <w:lvl w:ilvl="0">
      <w:lvlJc w:val="left"/>
      <w:lvlText w:val="-"/>
      <w:numFmt w:val="bullet"/>
      <w:start w:val="1"/>
    </w:lvl>
  </w:abstractNum>
  <w:abstractNum w:abstractNumId="30">
    <w:nsid w:val="BF72B14"/>
    <w:multiLevelType w:val="hybridMultilevel"/>
    <w:lvl w:ilvl="0">
      <w:lvlJc w:val="left"/>
      <w:lvlText w:val="•"/>
      <w:numFmt w:val="bullet"/>
      <w:start w:val="1"/>
    </w:lvl>
  </w:abstractNum>
  <w:abstractNum w:abstractNumId="31">
    <w:nsid w:val="11447B73"/>
    <w:multiLevelType w:val="hybridMultilevel"/>
    <w:lvl w:ilvl="0">
      <w:lvlJc w:val="left"/>
      <w:lvlText w:val="•"/>
      <w:numFmt w:val="bullet"/>
      <w:start w:val="1"/>
    </w:lvl>
  </w:abstractNum>
  <w:abstractNum w:abstractNumId="32">
    <w:nsid w:val="42963E5A"/>
    <w:multiLevelType w:val="hybridMultilevel"/>
    <w:lvl w:ilvl="0">
      <w:lvlJc w:val="left"/>
      <w:lvlText w:val="•"/>
      <w:numFmt w:val="bullet"/>
      <w:start w:val="1"/>
    </w:lvl>
  </w:abstractNum>
  <w:abstractNum w:abstractNumId="33">
    <w:nsid w:val="A0382C5"/>
    <w:multiLevelType w:val="hybridMultilevel"/>
    <w:lvl w:ilvl="0">
      <w:lvlJc w:val="left"/>
      <w:lvlText w:val="•"/>
      <w:numFmt w:val="bullet"/>
      <w:start w:val="1"/>
    </w:lvl>
  </w:abstractNum>
  <w:abstractNum w:abstractNumId="34">
    <w:nsid w:val="8F2B15E"/>
    <w:multiLevelType w:val="hybridMultilevel"/>
    <w:lvl w:ilvl="0">
      <w:lvlJc w:val="left"/>
      <w:lvlText w:val="*"/>
      <w:numFmt w:val="bullet"/>
      <w:start w:val="1"/>
    </w:lvl>
  </w:abstractNum>
  <w:abstractNum w:abstractNumId="35">
    <w:nsid w:val="1A32234B"/>
    <w:multiLevelType w:val="hybridMultilevel"/>
    <w:lvl w:ilvl="0">
      <w:lvlJc w:val="left"/>
      <w:lvlText w:val="*"/>
      <w:numFmt w:val="bullet"/>
      <w:start w:val="1"/>
    </w:lvl>
  </w:abstractNum>
  <w:abstractNum w:abstractNumId="36">
    <w:nsid w:val="3B0FD379"/>
    <w:multiLevelType w:val="hybridMultilevel"/>
    <w:lvl w:ilvl="0">
      <w:lvlJc w:val="left"/>
      <w:lvlText w:val="%1."/>
      <w:numFmt w:val="upperLetter"/>
      <w:start w:val="1"/>
    </w:lvl>
  </w:abstractNum>
  <w:abstractNum w:abstractNumId="37">
    <w:nsid w:val="68EB2F63"/>
    <w:multiLevelType w:val="hybridMultilevel"/>
    <w:lvl w:ilvl="0">
      <w:lvlJc w:val="left"/>
      <w:lvlText w:val="%1."/>
      <w:numFmt w:val="upperLetter"/>
      <w:start w:val="3"/>
    </w:lvl>
  </w:abstractNum>
  <w:abstractNum w:abstractNumId="38">
    <w:nsid w:val="4962813B"/>
    <w:multiLevelType w:val="hybridMultilevel"/>
    <w:lvl w:ilvl="0">
      <w:lvlJc w:val="left"/>
      <w:lvlText w:val="%1."/>
      <w:numFmt w:val="upperLetter"/>
      <w:start w:val="4"/>
    </w:lvl>
  </w:abstractNum>
  <w:abstractNum w:abstractNumId="39">
    <w:nsid w:val="60B6DF70"/>
    <w:multiLevelType w:val="hybridMultilevel"/>
    <w:lvl w:ilvl="0">
      <w:lvlJc w:val="left"/>
      <w:lvlText w:val="%1."/>
      <w:numFmt w:val="upperLetter"/>
      <w:start w:val="5"/>
    </w:lvl>
  </w:abstractNum>
  <w:abstractNum w:abstractNumId="40">
    <w:nsid w:val="6A5EE64"/>
    <w:multiLevelType w:val="hybridMultilevel"/>
    <w:lvl w:ilvl="0">
      <w:lvlJc w:val="left"/>
      <w:lvlText w:val="•"/>
      <w:numFmt w:val="bullet"/>
      <w:start w:val="1"/>
    </w:lvl>
  </w:abstractNum>
  <w:abstractNum w:abstractNumId="41">
    <w:nsid w:val="14330624"/>
    <w:multiLevelType w:val="hybridMultilevel"/>
    <w:lvl w:ilvl="0">
      <w:lvlJc w:val="left"/>
      <w:lvlText w:val="•"/>
      <w:numFmt w:val="bullet"/>
      <w:start w:val="1"/>
    </w:lvl>
  </w:abstractNum>
  <w:abstractNum w:abstractNumId="42">
    <w:nsid w:val="7FFFCA11"/>
    <w:multiLevelType w:val="hybridMultilevel"/>
    <w:lvl w:ilvl="0">
      <w:lvlJc w:val="left"/>
      <w:lvlText w:val="(%1)"/>
      <w:numFmt w:val="decimal"/>
      <w:start w:val="1"/>
    </w:lvl>
  </w:abstractNum>
  <w:abstractNum w:abstractNumId="43">
    <w:nsid w:val="1A27709E"/>
    <w:multiLevelType w:val="hybridMultilevel"/>
    <w:lvl w:ilvl="0">
      <w:lvlJc w:val="left"/>
      <w:lvlText w:val="&amp;"/>
      <w:numFmt w:val="bullet"/>
      <w:start w:val="1"/>
    </w:lvl>
  </w:abstractNum>
  <w:abstractNum w:abstractNumId="44">
    <w:nsid w:val="71EA1109"/>
    <w:multiLevelType w:val="hybridMultilevel"/>
    <w:lvl w:ilvl="0">
      <w:lvlJc w:val="left"/>
      <w:lvlText w:val="•"/>
      <w:numFmt w:val="bullet"/>
      <w:start w:val="1"/>
    </w:lvl>
  </w:abstractNum>
  <w:abstractNum w:abstractNumId="45">
    <w:nsid w:val="100F59DC"/>
    <w:multiLevelType w:val="hybridMultilevel"/>
    <w:lvl w:ilvl="0">
      <w:lvlJc w:val="left"/>
      <w:lvlText w:val="(%1)"/>
      <w:numFmt w:val="decimal"/>
      <w:start w:val="3"/>
    </w:lvl>
  </w:abstractNum>
  <w:abstractNum w:abstractNumId="46">
    <w:nsid w:val="7FB7E0AA"/>
    <w:multiLevelType w:val="hybridMultilevel"/>
    <w:lvl w:ilvl="0">
      <w:lvlJc w:val="left"/>
      <w:lvlText w:val="(%1)"/>
      <w:numFmt w:val="decimal"/>
      <w:start w:val="1"/>
    </w:lvl>
  </w:abstractNum>
  <w:abstractNum w:abstractNumId="47">
    <w:nsid w:val="6EB5BD4"/>
    <w:multiLevelType w:val="hybridMultilevel"/>
    <w:lvl w:ilvl="0">
      <w:lvlJc w:val="left"/>
      <w:lvlText w:val="•"/>
      <w:numFmt w:val="bullet"/>
      <w:start w:val="1"/>
    </w:lvl>
  </w:abstractNum>
  <w:abstractNum w:abstractNumId="48">
    <w:nsid w:val="6F6DD9AC"/>
    <w:multiLevelType w:val="hybridMultilevel"/>
    <w:lvl w:ilvl="0">
      <w:lvlJc w:val="left"/>
      <w:lvlText w:val="•"/>
      <w:numFmt w:val="bullet"/>
      <w:start w:val="1"/>
    </w:lvl>
  </w:abstractNum>
  <w:abstractNum w:abstractNumId="49">
    <w:nsid w:val="94211F2"/>
    <w:multiLevelType w:val="hybridMultilevel"/>
    <w:lvl w:ilvl="0">
      <w:lvlJc w:val="left"/>
      <w:lvlText w:val="%1."/>
      <w:numFmt w:val="lowerLetter"/>
      <w:start w:val="1"/>
    </w:lvl>
  </w:abstractNum>
  <w:abstractNum w:abstractNumId="50">
    <w:nsid w:val="885E1B"/>
    <w:multiLevelType w:val="hybridMultilevel"/>
    <w:lvl w:ilvl="0">
      <w:lvlJc w:val="left"/>
      <w:lvlText w:val="•"/>
      <w:numFmt w:val="bullet"/>
      <w:start w:val="1"/>
    </w:lvl>
  </w:abstractNum>
  <w:abstractNum w:abstractNumId="51">
    <w:nsid w:val="76272110"/>
    <w:multiLevelType w:val="hybridMultilevel"/>
    <w:lvl w:ilvl="0">
      <w:lvlJc w:val="left"/>
      <w:lvlText w:val="•"/>
      <w:numFmt w:val="bullet"/>
      <w:start w:val="1"/>
    </w:lvl>
  </w:abstractNum>
  <w:abstractNum w:abstractNumId="52">
    <w:nsid w:val="4C04A8AF"/>
    <w:multiLevelType w:val="hybridMultilevel"/>
    <w:lvl w:ilvl="0">
      <w:lvlJc w:val="left"/>
      <w:lvlText w:val="•"/>
      <w:numFmt w:val="bullet"/>
      <w:start w:val="1"/>
    </w:lvl>
  </w:abstractNum>
  <w:abstractNum w:abstractNumId="53">
    <w:nsid w:val="1716703B"/>
    <w:multiLevelType w:val="hybridMultilevel"/>
    <w:lvl w:ilvl="0">
      <w:lvlJc w:val="left"/>
      <w:lvlText w:val="•"/>
      <w:numFmt w:val="bullet"/>
      <w:start w:val="1"/>
    </w:lvl>
  </w:abstractNum>
  <w:abstractNum w:abstractNumId="54">
    <w:nsid w:val="14E17E33"/>
    <w:multiLevelType w:val="hybridMultilevel"/>
    <w:lvl w:ilvl="0">
      <w:lvlJc w:val="left"/>
      <w:lvlText w:val="•"/>
      <w:numFmt w:val="bullet"/>
      <w:start w:val="1"/>
    </w:lvl>
  </w:abstractNum>
  <w:abstractNum w:abstractNumId="55">
    <w:nsid w:val="3222E7CD"/>
    <w:multiLevelType w:val="hybridMultilevel"/>
    <w:lvl w:ilvl="0">
      <w:lvlJc w:val="left"/>
      <w:lvlText w:val="•"/>
      <w:numFmt w:val="bullet"/>
      <w:start w:val="1"/>
    </w:lvl>
  </w:abstractNum>
  <w:abstractNum w:abstractNumId="56">
    <w:nsid w:val="74DE0EE3"/>
    <w:multiLevelType w:val="hybridMultilevel"/>
    <w:lvl w:ilvl="0">
      <w:lvlJc w:val="left"/>
      <w:lvlText w:val="•"/>
      <w:numFmt w:val="bullet"/>
      <w:start w:val="1"/>
    </w:lvl>
  </w:abstractNum>
  <w:abstractNum w:abstractNumId="57">
    <w:nsid w:val="68EBC550"/>
    <w:multiLevelType w:val="hybridMultilevel"/>
    <w:lvl w:ilvl="0">
      <w:lvlJc w:val="left"/>
      <w:lvlText w:val="•"/>
      <w:numFmt w:val="bullet"/>
      <w:start w:val="1"/>
    </w:lvl>
  </w:abstractNum>
  <w:abstractNum w:abstractNumId="58">
    <w:nsid w:val="2DF6D648"/>
    <w:multiLevelType w:val="hybridMultilevel"/>
    <w:lvl w:ilvl="0">
      <w:lvlJc w:val="left"/>
      <w:lvlText w:val="•"/>
      <w:numFmt w:val="bullet"/>
      <w:start w:val="1"/>
    </w:lvl>
  </w:abstractNum>
  <w:abstractNum w:abstractNumId="59">
    <w:nsid w:val="46B7D447"/>
    <w:multiLevelType w:val="hybridMultilevel"/>
    <w:lvl w:ilvl="0">
      <w:lvlJc w:val="left"/>
      <w:lvlText w:val="•"/>
      <w:numFmt w:val="bullet"/>
      <w:start w:val="1"/>
    </w:lvl>
  </w:abstractNum>
  <w:abstractNum w:abstractNumId="60">
    <w:nsid w:val="4A2AC315"/>
    <w:multiLevelType w:val="hybridMultilevel"/>
    <w:lvl w:ilvl="0">
      <w:lvlJc w:val="left"/>
      <w:lvlText w:val="•"/>
      <w:numFmt w:val="bullet"/>
      <w:start w:val="1"/>
    </w:lvl>
  </w:abstractNum>
  <w:abstractNum w:abstractNumId="61">
    <w:nsid w:val="39EE015C"/>
    <w:multiLevelType w:val="hybridMultilevel"/>
    <w:lvl w:ilvl="0">
      <w:lvlJc w:val="left"/>
      <w:lvlText w:val="•"/>
      <w:numFmt w:val="bullet"/>
      <w:start w:val="1"/>
    </w:lvl>
  </w:abstractNum>
  <w:abstractNum w:abstractNumId="62">
    <w:nsid w:val="57FC4FBB"/>
    <w:multiLevelType w:val="hybridMultilevel"/>
    <w:lvl w:ilvl="0">
      <w:lvlJc w:val="left"/>
      <w:lvlText w:val="•"/>
      <w:numFmt w:val="bullet"/>
      <w:start w:val="1"/>
    </w:lvl>
  </w:abstractNum>
  <w:abstractNum w:abstractNumId="63">
    <w:nsid w:val="CC1016F"/>
    <w:multiLevelType w:val="hybridMultilevel"/>
    <w:lvl w:ilvl="0">
      <w:lvlJc w:val="left"/>
      <w:lvlText w:val="•"/>
      <w:numFmt w:val="bullet"/>
      <w:start w:val="1"/>
    </w:lvl>
  </w:abstractNum>
  <w:abstractNum w:abstractNumId="64">
    <w:nsid w:val="43F18422"/>
    <w:multiLevelType w:val="hybridMultilevel"/>
    <w:lvl w:ilvl="0">
      <w:lvlJc w:val="left"/>
      <w:lvlText w:val="•"/>
      <w:numFmt w:val="bullet"/>
      <w:start w:val="1"/>
    </w:lvl>
  </w:abstractNum>
  <w:abstractNum w:abstractNumId="65">
    <w:nsid w:val="60EF0119"/>
    <w:multiLevelType w:val="hybridMultilevel"/>
    <w:lvl w:ilvl="0">
      <w:lvlJc w:val="left"/>
      <w:lvlText w:val="•"/>
      <w:numFmt w:val="bullet"/>
      <w:start w:val="1"/>
    </w:lvl>
  </w:abstractNum>
  <w:abstractNum w:abstractNumId="66">
    <w:nsid w:val="26F324BA"/>
    <w:multiLevelType w:val="hybridMultilevel"/>
    <w:lvl w:ilvl="0">
      <w:lvlJc w:val="left"/>
      <w:lvlText w:val="%1."/>
      <w:numFmt w:val="upperLetter"/>
      <w:start w:val="6"/>
    </w:lvl>
  </w:abstractNum>
  <w:abstractNum w:abstractNumId="67">
    <w:nsid w:val="7F01579B"/>
    <w:multiLevelType w:val="hybridMultilevel"/>
    <w:lvl w:ilvl="0">
      <w:lvlJc w:val="left"/>
      <w:lvlText w:val="*"/>
      <w:numFmt w:val="bullet"/>
      <w:start w:val="1"/>
    </w:lvl>
  </w:abstractNum>
  <w:abstractNum w:abstractNumId="68">
    <w:nsid w:val="49DA307D"/>
    <w:multiLevelType w:val="hybridMultilevel"/>
    <w:lvl w:ilvl="0">
      <w:lvlJc w:val="left"/>
      <w:lvlText w:val="(%1)"/>
      <w:numFmt w:val="decimal"/>
      <w:start w:val="1"/>
    </w:lvl>
  </w:abstractNum>
  <w:abstractNum w:abstractNumId="69">
    <w:nsid w:val="7055A5F5"/>
    <w:multiLevelType w:val="hybridMultilevel"/>
    <w:lvl w:ilvl="0">
      <w:lvlJc w:val="left"/>
      <w:lvlText w:val="(%1)"/>
      <w:numFmt w:val="decimal"/>
      <w:start w:val="3"/>
    </w:lvl>
  </w:abstractNum>
  <w:abstractNum w:abstractNumId="70">
    <w:nsid w:val="5FB8370B"/>
    <w:multiLevelType w:val="hybridMultilevel"/>
    <w:lvl w:ilvl="0">
      <w:lvlJc w:val="left"/>
      <w:lvlText w:val="(%1)"/>
      <w:numFmt w:val="decimal"/>
      <w:start w:val="4"/>
    </w:lvl>
  </w:abstractNum>
  <w:abstractNum w:abstractNumId="71">
    <w:nsid w:val="50801EE1"/>
    <w:multiLevelType w:val="hybridMultilevel"/>
    <w:lvl w:ilvl="0">
      <w:lvlJc w:val="left"/>
      <w:lvlText w:val="(%1)"/>
      <w:numFmt w:val="decimal"/>
      <w:start w:val="1"/>
    </w:lvl>
  </w:abstractNum>
  <w:abstractNum w:abstractNumId="72">
    <w:nsid w:val="488AC1A"/>
    <w:multiLevelType w:val="hybridMultilevel"/>
    <w:lvl w:ilvl="0">
      <w:lvlJc w:val="left"/>
      <w:lvlText w:val="%1."/>
      <w:numFmt w:val="upperLetter"/>
      <w:start w:val="3"/>
    </w:lvl>
  </w:abstractNum>
  <w:abstractNum w:abstractNumId="73">
    <w:nsid w:val="5FB8011C"/>
    <w:multiLevelType w:val="hybridMultilevel"/>
    <w:lvl w:ilvl="0">
      <w:lvlJc w:val="left"/>
      <w:lvlText w:val="%1."/>
      <w:numFmt w:val="upperLetter"/>
      <w:start w:val="2"/>
    </w:lvl>
  </w:abstractNum>
  <w:abstractNum w:abstractNumId="74">
    <w:nsid w:val="6AA78F7F"/>
    <w:multiLevelType w:val="hybridMultilevel"/>
    <w:lvl w:ilvl="0">
      <w:lvlJc w:val="left"/>
      <w:lvlText w:val="%1."/>
      <w:numFmt w:val="upperLetter"/>
      <w:start w:val="4"/>
    </w:lvl>
  </w:abstractNum>
  <w:abstractNum w:abstractNumId="75">
    <w:nsid w:val="7672BD23"/>
    <w:multiLevelType w:val="hybridMultilevel"/>
    <w:lvl w:ilvl="0">
      <w:lvlJc w:val="left"/>
      <w:lvlText w:val="%1."/>
      <w:numFmt w:val="upperLetter"/>
      <w:start w:val="6"/>
    </w:lvl>
  </w:abstractNum>
  <w:abstractNum w:abstractNumId="76">
    <w:nsid w:val="6FC75AF8"/>
    <w:multiLevelType w:val="hybridMultilevel"/>
    <w:lvl w:ilvl="0">
      <w:lvlJc w:val="left"/>
      <w:lvlText w:val="%1."/>
      <w:numFmt w:val="upperLetter"/>
      <w:start w:val="1"/>
    </w:lvl>
  </w:abstractNum>
  <w:abstractNum w:abstractNumId="77">
    <w:nsid w:val="6A5F7029"/>
    <w:multiLevelType w:val="hybridMultilevel"/>
    <w:lvl w:ilvl="0">
      <w:lvlJc w:val="left"/>
      <w:lvlText w:val="•"/>
      <w:numFmt w:val="bullet"/>
      <w:start w:val="1"/>
    </w:lvl>
  </w:abstractNum>
  <w:abstractNum w:abstractNumId="78">
    <w:nsid w:val="7D5E18F8"/>
    <w:multiLevelType w:val="hybridMultilevel"/>
    <w:lvl w:ilvl="0">
      <w:lvlJc w:val="left"/>
      <w:lvlText w:val="•"/>
      <w:numFmt w:val="bullet"/>
      <w:start w:val="1"/>
    </w:lvl>
  </w:abstractNum>
  <w:abstractNum w:abstractNumId="79">
    <w:nsid w:val="5F3534A4"/>
    <w:multiLevelType w:val="hybridMultilevel"/>
    <w:lvl w:ilvl="0">
      <w:lvlJc w:val="left"/>
      <w:lvlText w:val="•"/>
      <w:numFmt w:val="bullet"/>
      <w:start w:val="1"/>
    </w:lvl>
  </w:abstractNum>
  <w:abstractNum w:abstractNumId="80">
    <w:nsid w:val="73A1821B"/>
    <w:multiLevelType w:val="hybridMultilevel"/>
    <w:lvl w:ilvl="0">
      <w:lvlJc w:val="left"/>
      <w:lvlText w:val="•"/>
      <w:numFmt w:val="bullet"/>
      <w:start w:val="1"/>
    </w:lvl>
  </w:abstractNum>
  <w:abstractNum w:abstractNumId="81">
    <w:nsid w:val="7DE67713"/>
    <w:multiLevelType w:val="hybridMultilevel"/>
    <w:lvl w:ilvl="0">
      <w:lvlJc w:val="left"/>
      <w:lvlText w:val="%1."/>
      <w:numFmt w:val="upperLetter"/>
      <w:start w:val="6"/>
    </w:lvl>
  </w:abstractNum>
  <w:abstractNum w:abstractNumId="82">
    <w:nsid w:val="555C55B5"/>
    <w:multiLevelType w:val="hybridMultilevel"/>
    <w:lvl w:ilvl="0">
      <w:lvlJc w:val="left"/>
      <w:lvlText w:val="%1."/>
      <w:numFmt w:val="upperLetter"/>
      <w:start w:val="9"/>
    </w:lvl>
  </w:abstractNum>
  <w:abstractNum w:abstractNumId="83">
    <w:nsid w:val="3FA62ACA"/>
    <w:multiLevelType w:val="hybridMultilevel"/>
    <w:lvl w:ilvl="0">
      <w:lvlJc w:val="left"/>
      <w:lvlText w:val="*"/>
      <w:numFmt w:val="bullet"/>
      <w:start w:val="1"/>
    </w:lvl>
    <w:lvl w:ilvl="1">
      <w:lvlJc w:val="left"/>
      <w:lvlText w:val="%2"/>
      <w:numFmt w:val="decimal"/>
      <w:start w:val="104"/>
    </w:lvl>
  </w:abstractNum>
  <w:abstractNum w:abstractNumId="84">
    <w:nsid w:val="14FCE74E"/>
    <w:multiLevelType w:val="hybridMultilevel"/>
    <w:lvl w:ilvl="0">
      <w:lvlJc w:val="left"/>
      <w:lvlText w:val="**"/>
      <w:numFmt w:val="bullet"/>
      <w:start w:val="1"/>
    </w:lvl>
    <w:lvl w:ilvl="1">
      <w:lvlJc w:val="left"/>
      <w:lvlText w:val="%2"/>
      <w:numFmt w:val="decimal"/>
      <w:start w:val="1"/>
    </w:lvl>
  </w:abstractNum>
  <w:abstractNum w:abstractNumId="85">
    <w:nsid w:val="6A3DD3E8"/>
    <w:multiLevelType w:val="hybridMultilevel"/>
    <w:lvl w:ilvl="0">
      <w:lvlJc w:val="left"/>
      <w:lvlText w:val="†"/>
      <w:numFmt w:val="bullet"/>
      <w:start w:val="1"/>
    </w:lvl>
  </w:abstractNum>
  <w:abstractNum w:abstractNumId="86">
    <w:nsid w:val="71C91298"/>
    <w:multiLevelType w:val="hybridMultilevel"/>
    <w:lvl w:ilvl="0">
      <w:lvlJc w:val="left"/>
      <w:lvlText w:val="%1."/>
      <w:numFmt w:val="lowerLetter"/>
      <w:start w:val="1"/>
    </w:lvl>
  </w:abstractNum>
  <w:abstractNum w:abstractNumId="87">
    <w:nsid w:val="9DAF632"/>
    <w:multiLevelType w:val="hybridMultilevel"/>
    <w:lvl w:ilvl="0">
      <w:lvlJc w:val="left"/>
      <w:lvlText w:val="%1."/>
      <w:numFmt w:val="lowerLetter"/>
      <w:start w:val="4"/>
    </w:lvl>
  </w:abstractNum>
  <w:abstractNum w:abstractNumId="88">
    <w:nsid w:val="53299938"/>
    <w:multiLevelType w:val="hybridMultilevel"/>
    <w:lvl w:ilvl="0">
      <w:lvlJc w:val="left"/>
      <w:lvlText w:val="%1."/>
      <w:numFmt w:val="lowerLetter"/>
      <w:start w:val="9"/>
    </w:lvl>
  </w:abstractNum>
  <w:abstractNum w:abstractNumId="89">
    <w:nsid w:val="1FBFE8E0"/>
    <w:multiLevelType w:val="hybridMultilevel"/>
    <w:lvl w:ilvl="0">
      <w:lvlJc w:val="left"/>
      <w:lvlText w:val="%1."/>
      <w:numFmt w:val="lowerLetter"/>
      <w:start w:val="11"/>
    </w:lvl>
  </w:abstractNum>
  <w:abstractNum w:abstractNumId="90">
    <w:nsid w:val="5092CA79"/>
    <w:multiLevelType w:val="hybridMultilevel"/>
    <w:lvl w:ilvl="0">
      <w:lvlJc w:val="left"/>
      <w:lvlText w:val="%1."/>
      <w:numFmt w:val="lowerLetter"/>
      <w:start w:val="13"/>
    </w:lvl>
  </w:abstractNum>
  <w:abstractNum w:abstractNumId="91">
    <w:nsid w:val="1D545C4D"/>
    <w:multiLevelType w:val="hybridMultilevel"/>
    <w:lvl w:ilvl="0">
      <w:lvlJc w:val="left"/>
      <w:lvlText w:val="%1."/>
      <w:numFmt w:val="lowerLetter"/>
      <w:start w:val="15"/>
    </w:lvl>
  </w:abstractNum>
  <w:abstractNum w:abstractNumId="92">
    <w:nsid w:val="59ADEA3D"/>
    <w:multiLevelType w:val="hybridMultilevel"/>
    <w:lvl w:ilvl="0">
      <w:lvlJc w:val="left"/>
      <w:lvlText w:val="%1."/>
      <w:numFmt w:val="lowerLetter"/>
      <w:start w:val="17"/>
    </w:lvl>
  </w:abstractNum>
  <w:abstractNum w:abstractNumId="93">
    <w:nsid w:val="288F1A34"/>
    <w:multiLevelType w:val="hybridMultilevel"/>
    <w:lvl w:ilvl="0">
      <w:lvlJc w:val="left"/>
      <w:lvlText w:val="%1."/>
      <w:numFmt w:val="lowerLetter"/>
      <w:start w:val="19"/>
    </w:lvl>
    <w:lvl w:ilvl="1">
      <w:lvlJc w:val="left"/>
      <w:lvlText w:val="%2."/>
      <w:numFmt w:val="decimal"/>
      <w:start w:val="1"/>
    </w:lvl>
  </w:abstractNum>
  <w:abstractNum w:abstractNumId="94">
    <w:nsid w:val="2A155DBC"/>
    <w:multiLevelType w:val="hybridMultilevel"/>
    <w:lvl w:ilvl="0">
      <w:lvlJc w:val="left"/>
      <w:lvlText w:val="%1."/>
      <w:numFmt w:val="lowerLetter"/>
      <w:start w:val="21"/>
    </w:lvl>
  </w:abstractNum>
  <w:abstractNum w:abstractNumId="95">
    <w:nsid w:val="1D9F6E5F"/>
    <w:multiLevelType w:val="hybridMultilevel"/>
    <w:lvl w:ilvl="0">
      <w:lvlJc w:val="left"/>
      <w:lvlText w:val="%1."/>
      <w:numFmt w:val="lowerRoman"/>
      <w:start w:val="5"/>
    </w:lvl>
  </w:abstractNum>
  <w:abstractNum w:abstractNumId="96">
    <w:nsid w:val="97E1B4E"/>
    <w:multiLevelType w:val="hybridMultilevel"/>
    <w:lvl w:ilvl="0">
      <w:lvlJc w:val="left"/>
      <w:lvlText w:val="%1."/>
      <w:numFmt w:val="lowerLetter"/>
      <w:start w:val="23"/>
    </w:lvl>
  </w:abstractNum>
  <w:abstractNum w:abstractNumId="97">
    <w:nsid w:val="51088277"/>
    <w:multiLevelType w:val="hybridMultilevel"/>
    <w:lvl w:ilvl="0">
      <w:lvlJc w:val="left"/>
      <w:lvlText w:val="%1."/>
      <w:numFmt w:val="lowerLetter"/>
      <w:start w:val="27"/>
    </w:lvl>
  </w:abstractNum>
  <w:abstractNum w:abstractNumId="98">
    <w:nsid w:val="1CA0C5FA"/>
    <w:multiLevelType w:val="hybridMultilevel"/>
    <w:lvl w:ilvl="0">
      <w:lvlJc w:val="left"/>
      <w:lvlText w:val="%1."/>
      <w:numFmt w:val="lowerLetter"/>
      <w:start w:val="28"/>
    </w:lvl>
  </w:abstractNum>
  <w:abstractNum w:abstractNumId="99">
    <w:nsid w:val="53584BCB"/>
    <w:multiLevelType w:val="hybridMultilevel"/>
    <w:lvl w:ilvl="0">
      <w:lvlJc w:val="left"/>
      <w:lvlText w:val="%1."/>
      <w:numFmt w:val="lowerLetter"/>
      <w:start w:val="30"/>
    </w:lvl>
  </w:abstractNum>
  <w:abstractNum w:abstractNumId="100">
    <w:nsid w:val="415E286C"/>
    <w:multiLevelType w:val="hybridMultilevel"/>
    <w:lvl w:ilvl="0">
      <w:lvlJc w:val="left"/>
      <w:lvlText w:val="%1."/>
      <w:numFmt w:val="lowerLetter"/>
      <w:start w:val="1"/>
    </w:lvl>
  </w:abstractNum>
  <w:abstractNum w:abstractNumId="101">
    <w:nsid w:val="7C58FD05"/>
    <w:multiLevelType w:val="hybridMultilevel"/>
    <w:lvl w:ilvl="0">
      <w:lvlJc w:val="left"/>
      <w:lvlText w:val="%1."/>
      <w:numFmt w:val="lowerLetter"/>
      <w:start w:val="1"/>
    </w:lvl>
  </w:abstractNum>
  <w:abstractNum w:abstractNumId="102">
    <w:nsid w:val="23D86AAC"/>
    <w:multiLevelType w:val="hybridMultilevel"/>
    <w:lvl w:ilvl="0">
      <w:lvlJc w:val="left"/>
      <w:lvlText w:val="%1."/>
      <w:numFmt w:val="lowerLetter"/>
      <w:start w:val="2"/>
    </w:lvl>
  </w:abstractNum>
  <w:abstractNum w:abstractNumId="103">
    <w:nsid w:val="45E6D486"/>
    <w:multiLevelType w:val="hybridMultilevel"/>
    <w:lvl w:ilvl="0">
      <w:lvlJc w:val="left"/>
      <w:lvlText w:val="%1."/>
      <w:numFmt w:val="lowerLetter"/>
      <w:start w:val="4"/>
    </w:lvl>
  </w:abstractNum>
  <w:abstractNum w:abstractNumId="104">
    <w:nsid w:val="5C10FE21"/>
    <w:multiLevelType w:val="hybridMultilevel"/>
    <w:lvl w:ilvl="0">
      <w:lvlJc w:val="left"/>
      <w:lvlText w:val="%1."/>
      <w:numFmt w:val="lowerLetter"/>
      <w:start w:val="5"/>
    </w:lvl>
  </w:abstractNum>
  <w:abstractNum w:abstractNumId="105">
    <w:nsid w:val="E7FFA2B"/>
    <w:multiLevelType w:val="hybridMultilevel"/>
    <w:lvl w:ilvl="0">
      <w:lvlJc w:val="left"/>
      <w:lvlText w:val="%1."/>
      <w:numFmt w:val="lowerLetter"/>
      <w:start w:val="6"/>
    </w:lvl>
  </w:abstractNum>
  <w:abstractNum w:abstractNumId="106">
    <w:nsid w:val="3C5991AA"/>
    <w:multiLevelType w:val="hybridMultilevel"/>
    <w:lvl w:ilvl="0">
      <w:lvlJc w:val="left"/>
      <w:lvlText w:val="%1."/>
      <w:numFmt w:val="lowerLetter"/>
      <w:start w:val="7"/>
    </w:lvl>
  </w:abstractNum>
  <w:abstractNum w:abstractNumId="107">
    <w:nsid w:val="4BD8591A"/>
    <w:multiLevelType w:val="hybridMultilevel"/>
    <w:lvl w:ilvl="0">
      <w:lvlJc w:val="left"/>
      <w:lvlText w:val="%1."/>
      <w:numFmt w:val="lowerLetter"/>
      <w:start w:val="1"/>
    </w:lvl>
  </w:abstractNum>
  <w:abstractNum w:abstractNumId="108">
    <w:nsid w:val="78DF6A55"/>
    <w:multiLevelType w:val="hybridMultilevel"/>
    <w:lvl w:ilvl="0">
      <w:lvlJc w:val="left"/>
      <w:lvlText w:val="•"/>
      <w:numFmt w:val="bullet"/>
      <w:start w:val="1"/>
    </w:lvl>
  </w:abstractNum>
  <w:abstractNum w:abstractNumId="109">
    <w:nsid w:val="39B7AAA2"/>
    <w:multiLevelType w:val="hybridMultilevel"/>
    <w:lvl w:ilvl="0">
      <w:lvlJc w:val="left"/>
      <w:lvlText w:val="•"/>
      <w:numFmt w:val="bullet"/>
      <w:start w:val="1"/>
    </w:lvl>
  </w:abstractNum>
  <w:abstractNum w:abstractNumId="110">
    <w:nsid w:val="2B0D8DBE"/>
    <w:multiLevelType w:val="hybridMultilevel"/>
    <w:lvl w:ilvl="0">
      <w:lvlJc w:val="left"/>
      <w:lvlText w:val="%1."/>
      <w:numFmt w:val="lowerLetter"/>
      <w:start w:val="2"/>
    </w:lvl>
  </w:abstractNum>
  <w:abstractNum w:abstractNumId="111">
    <w:nsid w:val="6C80EC70"/>
    <w:multiLevelType w:val="hybridMultilevel"/>
    <w:lvl w:ilvl="0">
      <w:lvlJc w:val="left"/>
      <w:lvlText w:val="%1."/>
      <w:numFmt w:val="lowerLetter"/>
      <w:start w:val="3"/>
    </w:lvl>
  </w:abstractNum>
  <w:abstractNum w:abstractNumId="112">
    <w:nsid w:val="379E21B5"/>
    <w:multiLevelType w:val="hybridMultilevel"/>
    <w:lvl w:ilvl="0">
      <w:lvlJc w:val="left"/>
      <w:lvlText w:val="%1."/>
      <w:numFmt w:val="lowerLetter"/>
      <w:start w:val="4"/>
    </w:lvl>
  </w:abstractNum>
  <w:abstractNum w:abstractNumId="113">
    <w:nsid w:val="69E373"/>
    <w:multiLevelType w:val="hybridMultilevel"/>
    <w:lvl w:ilvl="0">
      <w:lvlJc w:val="left"/>
      <w:lvlText w:val="%1."/>
      <w:numFmt w:val="lowerLetter"/>
      <w:start w:val="5"/>
    </w:lvl>
  </w:abstractNum>
  <w:abstractNum w:abstractNumId="114">
    <w:nsid w:val="2C27173B"/>
    <w:multiLevelType w:val="hybridMultilevel"/>
    <w:lvl w:ilvl="0">
      <w:lvlJc w:val="left"/>
      <w:lvlText w:val="%1"/>
      <w:numFmt w:val="decimal"/>
      <w:start w:val="914"/>
    </w:lvl>
  </w:abstractNum>
  <w:abstractNum w:abstractNumId="115">
    <w:nsid w:val="4C9B0904"/>
    <w:multiLevelType w:val="hybridMultilevel"/>
    <w:lvl w:ilvl="0">
      <w:lvlJc w:val="left"/>
      <w:lvlText w:val="%1"/>
      <w:numFmt w:val="decimal"/>
      <w:start w:val="805"/>
    </w:lvl>
  </w:abstractNum>
  <w:abstractNum w:abstractNumId="116">
    <w:nsid w:val="6AA7B75C"/>
    <w:multiLevelType w:val="hybridMultilevel"/>
    <w:lvl w:ilvl="0">
      <w:lvlJc w:val="left"/>
      <w:lvlText w:val="%1."/>
      <w:numFmt w:val="lowerLetter"/>
      <w:start w:val="6"/>
    </w:lvl>
  </w:abstractNum>
  <w:abstractNum w:abstractNumId="117">
    <w:nsid w:val="1DF029D3"/>
    <w:multiLevelType w:val="hybridMultilevel"/>
    <w:lvl w:ilvl="0">
      <w:lvlJc w:val="left"/>
      <w:lvlText w:val="%1."/>
      <w:numFmt w:val="lowerLetter"/>
      <w:start w:val="1"/>
    </w:lvl>
  </w:abstractNum>
  <w:abstractNum w:abstractNumId="118">
    <w:nsid w:val="5675FF3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19">
    <w:nsid w:val="3DD1509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20">
    <w:nsid w:val="3DB012B3"/>
    <w:multiLevelType w:val="hybridMultilevel"/>
    <w:lvl w:ilvl="0">
      <w:lvlJc w:val="left"/>
      <w:lvlText w:val="(%1)"/>
      <w:numFmt w:val="decimal"/>
      <w:start w:val="1"/>
    </w:lvl>
  </w:abstractNum>
  <w:abstractNum w:abstractNumId="121">
    <w:nsid w:val="2708C9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60" Type="http://schemas.openxmlformats.org/officeDocument/2006/relationships/image" Target="media/image146.png"/><Relationship Id="rId161" Type="http://schemas.openxmlformats.org/officeDocument/2006/relationships/image" Target="media/image147.png"/><Relationship Id="rId162" Type="http://schemas.openxmlformats.org/officeDocument/2006/relationships/image" Target="media/image148.png"/><Relationship Id="rId163" Type="http://schemas.openxmlformats.org/officeDocument/2006/relationships/image" Target="media/image149.png"/><Relationship Id="rId164" Type="http://schemas.openxmlformats.org/officeDocument/2006/relationships/image" Target="media/image150.png"/><Relationship Id="rId165" Type="http://schemas.openxmlformats.org/officeDocument/2006/relationships/image" Target="media/image151.png"/><Relationship Id="rId166" Type="http://schemas.openxmlformats.org/officeDocument/2006/relationships/image" Target="media/image152.png"/><Relationship Id="rId167" Type="http://schemas.openxmlformats.org/officeDocument/2006/relationships/image" Target="media/image153.png"/><Relationship Id="rId168" Type="http://schemas.openxmlformats.org/officeDocument/2006/relationships/image" Target="media/image154.png"/><Relationship Id="rId169" Type="http://schemas.openxmlformats.org/officeDocument/2006/relationships/image" Target="media/image155.png"/><Relationship Id="rId170" Type="http://schemas.openxmlformats.org/officeDocument/2006/relationships/image" Target="media/image156.png"/><Relationship Id="rId171" Type="http://schemas.openxmlformats.org/officeDocument/2006/relationships/image" Target="media/image157.png"/><Relationship Id="rId172" Type="http://schemas.openxmlformats.org/officeDocument/2006/relationships/image" Target="media/image158.png"/><Relationship Id="rId173" Type="http://schemas.openxmlformats.org/officeDocument/2006/relationships/image" Target="media/image159.png"/><Relationship Id="rId174" Type="http://schemas.openxmlformats.org/officeDocument/2006/relationships/image" Target="media/image160.png"/><Relationship Id="rId175" Type="http://schemas.openxmlformats.org/officeDocument/2006/relationships/image" Target="media/image161.png"/><Relationship Id="rId179" Type="http://schemas.openxmlformats.org/officeDocument/2006/relationships/image" Target="media/image162.png"/><Relationship Id="rId180" Type="http://schemas.openxmlformats.org/officeDocument/2006/relationships/image" Target="media/image163.png"/><Relationship Id="rId181" Type="http://schemas.openxmlformats.org/officeDocument/2006/relationships/image" Target="media/image164.jpeg"/><Relationship Id="rId182" Type="http://schemas.openxmlformats.org/officeDocument/2006/relationships/image" Target="media/image165.png"/><Relationship Id="rId183" Type="http://schemas.openxmlformats.org/officeDocument/2006/relationships/image" Target="media/image166.png"/><Relationship Id="rId184" Type="http://schemas.openxmlformats.org/officeDocument/2006/relationships/image" Target="media/image167.png"/><Relationship Id="rId185" Type="http://schemas.openxmlformats.org/officeDocument/2006/relationships/image" Target="media/image168.png"/><Relationship Id="rId186" Type="http://schemas.openxmlformats.org/officeDocument/2006/relationships/image" Target="media/image169.png"/><Relationship Id="rId187" Type="http://schemas.openxmlformats.org/officeDocument/2006/relationships/image" Target="media/image170.png"/><Relationship Id="rId188" Type="http://schemas.openxmlformats.org/officeDocument/2006/relationships/image" Target="media/image171.png"/><Relationship Id="rId189" Type="http://schemas.openxmlformats.org/officeDocument/2006/relationships/image" Target="media/image172.png"/><Relationship Id="rId190" Type="http://schemas.openxmlformats.org/officeDocument/2006/relationships/image" Target="media/image173.png"/><Relationship Id="rId191" Type="http://schemas.openxmlformats.org/officeDocument/2006/relationships/image" Target="media/image174.png"/><Relationship Id="rId192" Type="http://schemas.openxmlformats.org/officeDocument/2006/relationships/image" Target="media/image175.png"/><Relationship Id="rId193" Type="http://schemas.openxmlformats.org/officeDocument/2006/relationships/image" Target="media/image176.png"/><Relationship Id="rId194" Type="http://schemas.openxmlformats.org/officeDocument/2006/relationships/image" Target="media/image177.png"/><Relationship Id="rId195" Type="http://schemas.openxmlformats.org/officeDocument/2006/relationships/image" Target="media/image178.png"/><Relationship Id="rId196" Type="http://schemas.openxmlformats.org/officeDocument/2006/relationships/image" Target="media/image179.png"/><Relationship Id="rId197" Type="http://schemas.openxmlformats.org/officeDocument/2006/relationships/image" Target="media/image180.png"/><Relationship Id="rId198" Type="http://schemas.openxmlformats.org/officeDocument/2006/relationships/image" Target="media/image181.png"/><Relationship Id="rId199" Type="http://schemas.openxmlformats.org/officeDocument/2006/relationships/image" Target="media/image182.png"/><Relationship Id="rId200" Type="http://schemas.openxmlformats.org/officeDocument/2006/relationships/image" Target="media/image183.png"/><Relationship Id="rId201" Type="http://schemas.openxmlformats.org/officeDocument/2006/relationships/image" Target="media/image184.png"/><Relationship Id="rId202" Type="http://schemas.openxmlformats.org/officeDocument/2006/relationships/image" Target="media/image185.png"/><Relationship Id="rId203" Type="http://schemas.openxmlformats.org/officeDocument/2006/relationships/image" Target="media/image186.png"/><Relationship Id="rId204" Type="http://schemas.openxmlformats.org/officeDocument/2006/relationships/image" Target="media/image187.png"/><Relationship Id="rId205" Type="http://schemas.openxmlformats.org/officeDocument/2006/relationships/image" Target="media/image188.png"/><Relationship Id="rId206" Type="http://schemas.openxmlformats.org/officeDocument/2006/relationships/image" Target="media/image189.png"/><Relationship Id="rId207" Type="http://schemas.openxmlformats.org/officeDocument/2006/relationships/image" Target="media/image190.png"/><Relationship Id="rId208" Type="http://schemas.openxmlformats.org/officeDocument/2006/relationships/image" Target="media/image191.png"/><Relationship Id="rId209" Type="http://schemas.openxmlformats.org/officeDocument/2006/relationships/image" Target="media/image192.png"/><Relationship Id="rId210" Type="http://schemas.openxmlformats.org/officeDocument/2006/relationships/image" Target="media/image193.png"/><Relationship Id="rId211" Type="http://schemas.openxmlformats.org/officeDocument/2006/relationships/image" Target="media/image194.png"/><Relationship Id="rId212" Type="http://schemas.openxmlformats.org/officeDocument/2006/relationships/image" Target="media/image195.png"/><Relationship Id="rId213" Type="http://schemas.openxmlformats.org/officeDocument/2006/relationships/image" Target="media/image196.png"/><Relationship Id="rId214" Type="http://schemas.openxmlformats.org/officeDocument/2006/relationships/image" Target="media/image197.png"/><Relationship Id="rId215" Type="http://schemas.openxmlformats.org/officeDocument/2006/relationships/image" Target="media/image198.png"/><Relationship Id="rId216" Type="http://schemas.openxmlformats.org/officeDocument/2006/relationships/image" Target="media/image199.png"/><Relationship Id="rId217" Type="http://schemas.openxmlformats.org/officeDocument/2006/relationships/image" Target="media/image200.png"/><Relationship Id="rId218" Type="http://schemas.openxmlformats.org/officeDocument/2006/relationships/image" Target="media/image201.png"/><Relationship Id="rId219" Type="http://schemas.openxmlformats.org/officeDocument/2006/relationships/image" Target="media/image202.png"/><Relationship Id="rId220" Type="http://schemas.openxmlformats.org/officeDocument/2006/relationships/image" Target="media/image203.png"/><Relationship Id="rId221" Type="http://schemas.openxmlformats.org/officeDocument/2006/relationships/image" Target="media/image204.png"/><Relationship Id="rId222" Type="http://schemas.openxmlformats.org/officeDocument/2006/relationships/image" Target="media/image205.png"/><Relationship Id="rId223" Type="http://schemas.openxmlformats.org/officeDocument/2006/relationships/image" Target="media/image206.png"/><Relationship Id="rId224" Type="http://schemas.openxmlformats.org/officeDocument/2006/relationships/image" Target="media/image207.png"/><Relationship Id="rId225" Type="http://schemas.openxmlformats.org/officeDocument/2006/relationships/image" Target="media/image208.png"/><Relationship Id="rId226" Type="http://schemas.openxmlformats.org/officeDocument/2006/relationships/image" Target="media/image209.png"/><Relationship Id="rId227" Type="http://schemas.openxmlformats.org/officeDocument/2006/relationships/image" Target="media/image210.png"/><Relationship Id="rId228" Type="http://schemas.openxmlformats.org/officeDocument/2006/relationships/image" Target="media/image211.png"/><Relationship Id="rId229" Type="http://schemas.openxmlformats.org/officeDocument/2006/relationships/image" Target="media/image212.png"/><Relationship Id="rId230" Type="http://schemas.openxmlformats.org/officeDocument/2006/relationships/image" Target="media/image213.png"/><Relationship Id="rId231" Type="http://schemas.openxmlformats.org/officeDocument/2006/relationships/image" Target="media/image214.png"/><Relationship Id="rId232" Type="http://schemas.openxmlformats.org/officeDocument/2006/relationships/image" Target="media/image215.png"/><Relationship Id="rId233" Type="http://schemas.openxmlformats.org/officeDocument/2006/relationships/image" Target="media/image216.png"/><Relationship Id="rId234" Type="http://schemas.openxmlformats.org/officeDocument/2006/relationships/image" Target="media/image217.png"/><Relationship Id="rId235" Type="http://schemas.openxmlformats.org/officeDocument/2006/relationships/image" Target="media/image218.png"/><Relationship Id="rId236" Type="http://schemas.openxmlformats.org/officeDocument/2006/relationships/image" Target="media/image219.png"/><Relationship Id="rId237" Type="http://schemas.openxmlformats.org/officeDocument/2006/relationships/image" Target="media/image220.png"/><Relationship Id="rId238" Type="http://schemas.openxmlformats.org/officeDocument/2006/relationships/image" Target="media/image221.png"/><Relationship Id="rId239" Type="http://schemas.openxmlformats.org/officeDocument/2006/relationships/image" Target="media/image222.png"/><Relationship Id="rId240" Type="http://schemas.openxmlformats.org/officeDocument/2006/relationships/image" Target="media/image223.png"/><Relationship Id="rId241" Type="http://schemas.openxmlformats.org/officeDocument/2006/relationships/image" Target="media/image224.png"/><Relationship Id="rId242" Type="http://schemas.openxmlformats.org/officeDocument/2006/relationships/image" Target="media/image225.png"/><Relationship Id="rId243" Type="http://schemas.openxmlformats.org/officeDocument/2006/relationships/image" Target="media/image226.png"/><Relationship Id="rId244" Type="http://schemas.openxmlformats.org/officeDocument/2006/relationships/image" Target="media/image227.png"/><Relationship Id="rId245" Type="http://schemas.openxmlformats.org/officeDocument/2006/relationships/image" Target="media/image228.png"/><Relationship Id="rId246" Type="http://schemas.openxmlformats.org/officeDocument/2006/relationships/image" Target="media/image229.png"/><Relationship Id="rId247" Type="http://schemas.openxmlformats.org/officeDocument/2006/relationships/image" Target="media/image230.png"/><Relationship Id="rId248" Type="http://schemas.openxmlformats.org/officeDocument/2006/relationships/image" Target="media/image231.png"/><Relationship Id="rId249" Type="http://schemas.openxmlformats.org/officeDocument/2006/relationships/image" Target="media/image232.png"/><Relationship Id="rId250" Type="http://schemas.openxmlformats.org/officeDocument/2006/relationships/image" Target="media/image233.png"/><Relationship Id="rId251" Type="http://schemas.openxmlformats.org/officeDocument/2006/relationships/image" Target="media/image234.png"/><Relationship Id="rId252" Type="http://schemas.openxmlformats.org/officeDocument/2006/relationships/image" Target="media/image235.png"/><Relationship Id="rId253" Type="http://schemas.openxmlformats.org/officeDocument/2006/relationships/image" Target="media/image236.png"/><Relationship Id="rId254" Type="http://schemas.openxmlformats.org/officeDocument/2006/relationships/image" Target="media/image237.png"/><Relationship Id="rId255" Type="http://schemas.openxmlformats.org/officeDocument/2006/relationships/image" Target="media/image238.png"/><Relationship Id="rId256" Type="http://schemas.openxmlformats.org/officeDocument/2006/relationships/image" Target="media/image239.png"/><Relationship Id="rId257" Type="http://schemas.openxmlformats.org/officeDocument/2006/relationships/image" Target="media/image240.png"/><Relationship Id="rId258" Type="http://schemas.openxmlformats.org/officeDocument/2006/relationships/image" Target="media/image241.png"/><Relationship Id="rId259" Type="http://schemas.openxmlformats.org/officeDocument/2006/relationships/image" Target="media/image242.png"/><Relationship Id="rId260" Type="http://schemas.openxmlformats.org/officeDocument/2006/relationships/image" Target="media/image243.png"/><Relationship Id="rId261" Type="http://schemas.openxmlformats.org/officeDocument/2006/relationships/image" Target="media/image244.png"/><Relationship Id="rId262" Type="http://schemas.openxmlformats.org/officeDocument/2006/relationships/image" Target="media/image245.png"/><Relationship Id="rId263" Type="http://schemas.openxmlformats.org/officeDocument/2006/relationships/image" Target="media/image246.png"/><Relationship Id="rId264" Type="http://schemas.openxmlformats.org/officeDocument/2006/relationships/image" Target="media/image247.png"/><Relationship Id="rId265" Type="http://schemas.openxmlformats.org/officeDocument/2006/relationships/image" Target="media/image248.png"/><Relationship Id="rId266" Type="http://schemas.openxmlformats.org/officeDocument/2006/relationships/image" Target="media/image249.png"/><Relationship Id="rId267" Type="http://schemas.openxmlformats.org/officeDocument/2006/relationships/image" Target="media/image250.png"/><Relationship Id="rId268" Type="http://schemas.openxmlformats.org/officeDocument/2006/relationships/image" Target="media/image251.png"/><Relationship Id="rId269" Type="http://schemas.openxmlformats.org/officeDocument/2006/relationships/image" Target="media/image252.png"/><Relationship Id="rId270" Type="http://schemas.openxmlformats.org/officeDocument/2006/relationships/image" Target="media/image253.png"/><Relationship Id="rId271" Type="http://schemas.openxmlformats.org/officeDocument/2006/relationships/image" Target="media/image254.png"/><Relationship Id="rId272" Type="http://schemas.openxmlformats.org/officeDocument/2006/relationships/image" Target="media/image255.png"/><Relationship Id="rId273" Type="http://schemas.openxmlformats.org/officeDocument/2006/relationships/image" Target="media/image256.png"/><Relationship Id="rId274" Type="http://schemas.openxmlformats.org/officeDocument/2006/relationships/image" Target="media/image257.png"/><Relationship Id="rId275" Type="http://schemas.openxmlformats.org/officeDocument/2006/relationships/image" Target="media/image258.png"/><Relationship Id="rId276" Type="http://schemas.openxmlformats.org/officeDocument/2006/relationships/image" Target="media/image259.png"/><Relationship Id="rId277" Type="http://schemas.openxmlformats.org/officeDocument/2006/relationships/image" Target="media/image260.png"/><Relationship Id="rId278" Type="http://schemas.openxmlformats.org/officeDocument/2006/relationships/image" Target="media/image261.png"/><Relationship Id="rId279" Type="http://schemas.openxmlformats.org/officeDocument/2006/relationships/image" Target="media/image262.png"/><Relationship Id="rId280" Type="http://schemas.openxmlformats.org/officeDocument/2006/relationships/image" Target="media/image263.png"/><Relationship Id="rId281" Type="http://schemas.openxmlformats.org/officeDocument/2006/relationships/image" Target="media/image264.png"/><Relationship Id="rId282" Type="http://schemas.openxmlformats.org/officeDocument/2006/relationships/image" Target="media/image265.png"/><Relationship Id="rId283" Type="http://schemas.openxmlformats.org/officeDocument/2006/relationships/image" Target="media/image266.png"/><Relationship Id="rId284" Type="http://schemas.openxmlformats.org/officeDocument/2006/relationships/image" Target="media/image267.png"/><Relationship Id="rId285" Type="http://schemas.openxmlformats.org/officeDocument/2006/relationships/image" Target="media/image268.png"/><Relationship Id="rId286" Type="http://schemas.openxmlformats.org/officeDocument/2006/relationships/image" Target="media/image269.png"/><Relationship Id="rId287" Type="http://schemas.openxmlformats.org/officeDocument/2006/relationships/image" Target="media/image270.png"/><Relationship Id="rId91" Type="http://schemas.openxmlformats.org/officeDocument/2006/relationships/hyperlink" Target="https://www.sec.gov/Archives/edgar/data/1847584/000117891322001250/0001178913-22-001250-index.htm" TargetMode="External"/><Relationship Id="rId154" Type="http://schemas.openxmlformats.org/officeDocument/2006/relationships/hyperlink" Target="https://www.sec.gov/Archives/edgar/data/1847584/000119312521183894/d143770dex105.htm" TargetMode="External"/><Relationship Id="rId155" Type="http://schemas.openxmlformats.org/officeDocument/2006/relationships/hyperlink" Target="https://www.sec.gov/Archives/edgar/data/1847584/000119312521183894/d143770dex101.htm" TargetMode="External"/><Relationship Id="rId156" Type="http://schemas.openxmlformats.org/officeDocument/2006/relationships/hyperlink" Target="https://www.sec.gov/Archives/edgar/data/1847584/000119312521183894/d143770dex102.htm" TargetMode="External"/><Relationship Id="rId157" Type="http://schemas.openxmlformats.org/officeDocument/2006/relationships/hyperlink" Target="https://www.sec.gov/Archives/edgar/data/1847584/000119312521183894/d143770dex103.htm" TargetMode="External"/><Relationship Id="rId158" Type="http://schemas.openxmlformats.org/officeDocument/2006/relationships/hyperlink" Target="https://www.sec.gov/Archives/edgar/data/1847584/000119312521183894/d143770dex104.htm" TargetMode="External"/><Relationship Id="rId159" Type="http://schemas.openxmlformats.org/officeDocument/2006/relationships/hyperlink" Target="https://www.sec.gov/Archives/edgar/data/1847584/000119312521189389/d143770dex42.htm" TargetMode="External"/><Relationship Id="rId176" Type="http://schemas.openxmlformats.org/officeDocument/2006/relationships/hyperlink" Target="https://www.sec.gov/Archives/edgar/data/1847584/000117891322001250/exhibit_1-1.htm" TargetMode="External"/><Relationship Id="rId177" Type="http://schemas.openxmlformats.org/officeDocument/2006/relationships/hyperlink" Target="https://www.sec.gov/Archives/edgar/data/1847584/000117891322001250/exhibit_2-1.htm" TargetMode="External"/><Relationship Id="rId178" Type="http://schemas.openxmlformats.org/officeDocument/2006/relationships/hyperlink" Target="https://www.sec.gov/Archives/edgar/data/1847584/000119312521183894/d143770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2023-03-14T17:52:58Z</dcterms:created>
  <dcterms:modified xsi:type="dcterms:W3CDTF">2023-03-14T17:52:58Z</dcterms:modified>
</cp:coreProperties>
</file>