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2024</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001-40490</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Results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21, 2024, WalkMe Ltd. (the “Company”) issued a press release titled “WalkMe Ltd. Announces Fourth Quarter and Full Year 2023 Financial Results.” A copy of the press release is furnished as Exhibit 99.1 herewith.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GAAP financial information contained in the (i) condensed consolidated statements of operations, (ii) condensed consolidated balance sheets and</w:t>
      </w:r>
    </w:p>
    <w:p>
      <w:pPr>
        <w:spacing w:after="0" w:line="27" w:lineRule="exact"/>
        <w:rPr>
          <w:sz w:val="20"/>
          <w:szCs w:val="20"/>
          <w:color w:val="auto"/>
        </w:rPr>
      </w:pPr>
    </w:p>
    <w:p>
      <w:pPr>
        <w:ind w:firstLine="8"/>
        <w:spacing w:after="0" w:line="276" w:lineRule="auto"/>
        <w:tabs>
          <w:tab w:leader="none" w:pos="3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 included in the press release attached as Exhibit 99.1 to this Report on Form 6-K is hereby incorporated by reference into the Company’s Registration Statements on Form S-8 (File Nos. 333-257354, 333-263823 and 333-270537).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3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21, 2024 titled “WalkMe Ltd. Announces Fourth Quarter and Full Year 2023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56"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February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Hagit Ynon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Hagit Ynon</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Ltd. Announces Fourth Quarter and Full Year 2023 Financial Results</w:t>
      </w:r>
    </w:p>
    <w:p>
      <w:pPr>
        <w:spacing w:after="0" w:line="23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Ended 2023 generating $11.5M and 4% margin in FCF compared to a cash burn of $53.9M and (22%) last year.</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4Q23 Non-GAAP Operating Income of $4.8M or 7% compared to a loss of ($10.5M) or (16%) in 4Q22.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Finished the year for the first time with a Non-GAAP Net Income per share of $0.04 compared to a loss of ($0.66) for 2022.</w:t>
      </w:r>
    </w:p>
    <w:p>
      <w:pPr>
        <w:spacing w:after="0" w:line="216"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SAN FRANCISCO, February 21, 2024 </w:t>
      </w:r>
      <w:r>
        <w:rPr>
          <w:rFonts w:ascii="Times New Roman" w:cs="Times New Roman" w:eastAsia="Times New Roman" w:hAnsi="Times New Roman"/>
          <w:sz w:val="18"/>
          <w:szCs w:val="18"/>
          <w:color w:val="auto"/>
        </w:rPr>
        <w:t>-- WalkMe Ltd. (NASDAQ:WKME), a leading provider of digital adoption solutions, today announced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its fourth quarter ended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4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“2023 was a transformational year for WalkMe. We’ve optimized our foundations and proven that with the right processes in place the WalkMe engine can produce cash at scale. We are now a profitable company and turn our focus with the aim to double our net new ARR in 2024 in order to drive double digit ARR growth in 2024 and accelerate revenue growth in 2025. Large enterprise companies will experience the true value of how Digital Adoption accelerates their most mission critical workflows,” said Dan Adika, CEO of WalkMe.</w:t>
      </w:r>
    </w:p>
    <w:p>
      <w:pPr>
        <w:spacing w:after="0" w:line="199"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“In 2023 WalkMe became a profitable company focused on operational excellence while generating positive free cash flow. We now have a clear path to scaling growth in a profitable way. On the rule of 40 we saw significant improvement and plan to continue to improve in 2024 and beyond,” said Hagit Ynon, CFO of WalkMe.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Financial Highlights</w:t>
      </w:r>
    </w:p>
    <w:p>
      <w:pPr>
        <w:spacing w:after="0" w:line="239" w:lineRule="exact"/>
        <w:rPr>
          <w:sz w:val="20"/>
          <w:szCs w:val="20"/>
          <w:color w:val="auto"/>
        </w:rPr>
      </w:pPr>
    </w:p>
    <w:p>
      <w:pPr>
        <w:ind w:left="660" w:right="300" w:hanging="328"/>
        <w:spacing w:after="0" w:line="26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Subscription revenue was $248 million, an increase of 12% year-over-year. Total revenue was $267 million, an increase of 9% year-over-year.</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color w:val="auto"/>
        </w:rPr>
        <w:t>: GAAP Gross margin was 83% compared to 78% in 2022 and Non-GAAP Gross margin was 85%, compared to 80% in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GAAP Operating Loss</w:t>
      </w:r>
      <w:r>
        <w:rPr>
          <w:rFonts w:ascii="Times New Roman" w:cs="Times New Roman" w:eastAsia="Times New Roman" w:hAnsi="Times New Roman"/>
          <w:sz w:val="18"/>
          <w:szCs w:val="18"/>
          <w:color w:val="auto"/>
        </w:rPr>
        <w:t>: was $64.8 million, or 24% of total revenue, compared to $109.8 million, or 45% of total revenue in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Operating Loss: </w:t>
      </w:r>
      <w:r>
        <w:rPr>
          <w:rFonts w:ascii="Times New Roman" w:cs="Times New Roman" w:eastAsia="Times New Roman" w:hAnsi="Times New Roman"/>
          <w:sz w:val="18"/>
          <w:szCs w:val="18"/>
          <w:color w:val="auto"/>
        </w:rPr>
        <w:t>was $4.7 million or 2% of total revenue, compared to $58.3 million, or 24% of total revenue in 2022.</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Earnings Per Share: </w:t>
      </w:r>
      <w:r>
        <w:rPr>
          <w:rFonts w:ascii="Times New Roman" w:cs="Times New Roman" w:eastAsia="Times New Roman" w:hAnsi="Times New Roman"/>
          <w:sz w:val="18"/>
          <w:szCs w:val="18"/>
          <w:color w:val="auto"/>
        </w:rPr>
        <w:t>Non-GAAP Net Income Per Share of $0.04 and GAAP Net Loss Per Share of ($0.67), compared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($0.66) and ($1.09) in 2022 respectively.</w:t>
      </w:r>
    </w:p>
    <w:p>
      <w:pPr>
        <w:ind w:left="660" w:right="2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Cash Flow</w:t>
      </w:r>
      <w:r>
        <w:rPr>
          <w:rFonts w:ascii="Times New Roman" w:cs="Times New Roman" w:eastAsia="Times New Roman" w:hAnsi="Times New Roman"/>
          <w:sz w:val="18"/>
          <w:szCs w:val="18"/>
          <w:color w:val="auto"/>
        </w:rPr>
        <w:t>: Net cash provided by operating activity was $15.3 million, or 6% of total revenue, compared to ($46.8) million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activity or (19%) in 2022.</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was a positive $11.5 million or 4% of total revenue, compared to negative ($53.9) million, or (22%) in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Remaining Performance Obligations: </w:t>
      </w:r>
      <w:r>
        <w:rPr>
          <w:rFonts w:ascii="Times New Roman" w:cs="Times New Roman" w:eastAsia="Times New Roman" w:hAnsi="Times New Roman"/>
          <w:sz w:val="18"/>
          <w:szCs w:val="18"/>
          <w:color w:val="auto"/>
        </w:rPr>
        <w:t>RPO was $384 million at the end of 2023, compared to $374 million at the end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Fourth Quarter 2023 Financial Highlights:</w:t>
      </w:r>
    </w:p>
    <w:p>
      <w:pPr>
        <w:spacing w:after="0" w:line="200" w:lineRule="exact"/>
        <w:rPr>
          <w:sz w:val="20"/>
          <w:szCs w:val="20"/>
          <w:color w:val="auto"/>
        </w:rPr>
      </w:pPr>
    </w:p>
    <w:p>
      <w:pPr>
        <w:spacing w:after="0" w:line="268" w:lineRule="exact"/>
        <w:rPr>
          <w:sz w:val="20"/>
          <w:szCs w:val="20"/>
          <w:color w:val="auto"/>
        </w:rPr>
      </w:pPr>
    </w:p>
    <w:p>
      <w:pPr>
        <w:ind w:left="660" w:right="280" w:hanging="328"/>
        <w:spacing w:after="0" w:line="26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Subscription revenue was $63.4 million, an increase of 8% year-over-year. Total revenue was $67.9 million, an increase of 5% year-over-year.</w:t>
      </w:r>
    </w:p>
    <w:p>
      <w:pPr>
        <w:ind w:left="660" w:right="1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color w:val="auto"/>
        </w:rPr>
        <w:t>: GAAP Gross margin was 85%, compared to 81% in the fourth quarter of 2022. Non-GAAP Gross margin was 86%,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82% in the fourth quarter of 2022.</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GAAP Operating Loss</w:t>
      </w:r>
      <w:r>
        <w:rPr>
          <w:rFonts w:ascii="Times New Roman" w:cs="Times New Roman" w:eastAsia="Times New Roman" w:hAnsi="Times New Roman"/>
          <w:sz w:val="18"/>
          <w:szCs w:val="18"/>
          <w:color w:val="auto"/>
        </w:rPr>
        <w:t>: was $11.7 million, or 17% of total revenue, compared to $22.6 million, or 35% in the fourth quarter of 2022.</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Operating Income: </w:t>
      </w:r>
      <w:r>
        <w:rPr>
          <w:rFonts w:ascii="Times New Roman" w:cs="Times New Roman" w:eastAsia="Times New Roman" w:hAnsi="Times New Roman"/>
          <w:sz w:val="18"/>
          <w:szCs w:val="18"/>
          <w:color w:val="auto"/>
        </w:rPr>
        <w:t>was $4.8 million or 7% of total revenue, compared to a loss of ($10.5) million, or (16%) in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w:t>
      </w:r>
    </w:p>
    <w:p>
      <w:pPr>
        <w:ind w:left="660" w:right="5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Earnings Per Share: </w:t>
      </w:r>
      <w:r>
        <w:rPr>
          <w:rFonts w:ascii="Times New Roman" w:cs="Times New Roman" w:eastAsia="Times New Roman" w:hAnsi="Times New Roman"/>
          <w:sz w:val="18"/>
          <w:szCs w:val="18"/>
          <w:color w:val="auto"/>
        </w:rPr>
        <w:t>Non-GAAP Net Income Per Share of $0.07 and GAAP Net Loss Per Share of ($0.12), compared to a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($0.10) and ($0.22) in the fourth quarter of 2022 respectively.</w:t>
      </w:r>
    </w:p>
    <w:p>
      <w:pPr>
        <w:ind w:left="660" w:right="3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Cash Flow</w:t>
      </w:r>
      <w:r>
        <w:rPr>
          <w:rFonts w:ascii="Times New Roman" w:cs="Times New Roman" w:eastAsia="Times New Roman" w:hAnsi="Times New Roman"/>
          <w:sz w:val="18"/>
          <w:szCs w:val="18"/>
          <w:color w:val="auto"/>
        </w:rPr>
        <w:t>: Net cash provided by operating activity was $9.2 million, or 13% of total revenue, compared to ($8.8) million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activity or (14%) in the fourth quarter of 2022.</w:t>
      </w:r>
    </w:p>
    <w:p>
      <w:pPr>
        <w:ind w:left="660" w:right="3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was a positive $8.4 million or 12% of total revenue, compared to negative ($10.2) million, or (16%) in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Short-term Deposits and Marketable Securities: </w:t>
      </w:r>
      <w:r>
        <w:rPr>
          <w:rFonts w:ascii="Times New Roman" w:cs="Times New Roman" w:eastAsia="Times New Roman" w:hAnsi="Times New Roman"/>
          <w:sz w:val="18"/>
          <w:szCs w:val="18"/>
          <w:color w:val="auto"/>
        </w:rPr>
        <w:t>were $321.8 million 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56"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2023 ARR of $276M, up 5% year over year with 96% of ARR from customers with more than 500 employees compared to 94% at the end of 2022.</w:t>
      </w:r>
    </w:p>
    <w:p>
      <w:pPr>
        <w:ind w:left="660" w:right="30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DAP customers of 199 as of December 31, 2023, representing DAP customer count growth of 15% year-over-year. ARR from DAP customers represented 53% of total ARR, up from 50% last year.</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Reached a new high of 41 customers with over $1 million in ARR now represent 34% of ARR compared to 32% last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 Customers with over $100,000 in ARR represents 85% of ARR compared to 514 customers and 82% last year.</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Workflow Accelerators - predefined solutions for key enterprise workflows across HR, sales, IT, finance, and customer service that drive measurable business outcomes.</w:t>
      </w: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Named A Leader and A Star Performer in Everest Group Digital Adoption Platform PEAK Matrix® Assessment 2023 for fourth consecutive year.</w:t>
      </w:r>
    </w:p>
    <w:p>
      <w:pPr>
        <w:spacing w:after="0" w:line="20" w:lineRule="exact"/>
        <w:rPr>
          <w:rFonts w:ascii="Times New Roman" w:cs="Times New Roman" w:eastAsia="Times New Roman" w:hAnsi="Times New Roman"/>
          <w:sz w:val="17"/>
          <w:szCs w:val="17"/>
          <w:color w:val="auto"/>
        </w:rPr>
      </w:pPr>
    </w:p>
    <w:p>
      <w:pPr>
        <w:ind w:left="660" w:right="28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the 2024 State of Digital Adoption Report which showed that enterprises on average lose over $1 million per week due to inability to correctly utilize technology and that of those served 70% or organizations list digital adoption as a strategic priority for 2024.</w:t>
      </w:r>
    </w:p>
    <w:p>
      <w:pPr>
        <w:ind w:left="660" w:right="18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WalkMe Discovery and Data AI solutions showed continued momentum with the number of employees covered growing over 50% quarter over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2024, the Company currently expects:</w:t>
      </w:r>
    </w:p>
    <w:p>
      <w:pPr>
        <w:spacing w:after="0" w:line="2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$67.6 to $68.6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of $0.3 to $1.3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year 2024, the Company currently expects:</w:t>
      </w:r>
    </w:p>
    <w:p>
      <w:pPr>
        <w:spacing w:after="0" w:line="23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$279 to $283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of $8 to $11 million</w:t>
      </w:r>
    </w:p>
    <w:p>
      <w:pPr>
        <w:spacing w:after="0" w:line="2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section titled “Non-GAAP Financial Measures and Key Performance Indicators” below contains a description of the non-GAAP financial measures and Key Performance Indicators discussed in this press release and reconciliations between historical GAAP and non-GAAP information are contained in the tables below. The Company is unable to provide a reconciliation of non-GAAP Operating Income (Loss) to Operating Income (Loss), its most directly comparable GAAP financial measure, on a forward-looking basis without unreasonable effort, because items that impact this GAAP financial measure are not within the Company’s control and/or cannot be reasonably predicted. These items may include, but are not limited to, predicting forward-looking share-based compensation. Such information may have a significant, and potentially unpredictable, impact on the Company’s future financial results.</w:t>
      </w:r>
    </w:p>
    <w:p>
      <w:pPr>
        <w:spacing w:after="0" w:line="20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Throughout this press release, we provide a number of key performance indicators used by our management and often used by competitors in our industry. These and other key performance indicators are discussed in more detail in the section entitled “Non-GAAP Financial Measures and Key Performance Indicators” in this press release.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43"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WalkMe will host a conference call and live webcast for analysts and investors at 5:00 a.m. Pacific Time on February 21, 2024. The press release with the financial results as well as the investor presentation materials will be accessible from the Company’s website prior to the conference call.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webcast of the conference call will be accessible on the WalkMe investor relations website at https://ir.walkme.com.</w:t>
      </w:r>
    </w:p>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Approximately one hour after completion of the live call and for at least 30 days thereafter, an archived version of the webcast will be available on the Company’s investor relations website at https://ir.walkme.com.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Supplemental Financial and Other Information:</w:t>
      </w:r>
    </w:p>
    <w:p>
      <w:pPr>
        <w:spacing w:after="0" w:line="24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the WalkMe Investor Relations website at ir.walkme.com,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of our website.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Key Performance Indicators:</w:t>
      </w:r>
    </w:p>
    <w:p>
      <w:pPr>
        <w:spacing w:after="0" w:line="24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In addition to our financial results reported in accordance with GAAP, this press release and the accompanying tables and related presentation materials may contain one or more of the following non-GAAP financial measures: Non-GAAP Gross Profit, Non-GAAP Gross Margin, Non-GAAP Operating Income (Loss), Non-GAAP Operating Margin, Non-GAAP Net Income (Loss) attributable to WalkMe Ltd., Non-GAAP Net Income (Loss) per share attributable to WalkMe Ltd. and Free Cash Flow, all of which are non-GAAP financial measures. We believe that these measures provide useful information about operating results, enhance the overall understanding of past financial performance and future prospects, and allow for greater transparency with respect to key measures used by management in its financial and operational decision making. Non-GAAP financial measures have limitations as analytical tools and may differ from similarly titled measures presented by other companies. The presentation of this financial information is not intended to be considered as a substitute for the financial information prepared and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9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i w:val="1"/>
          <w:iCs w:val="1"/>
          <w:color w:val="auto"/>
        </w:rPr>
        <w:t>Non-GAAP Gross Profit and Non-GAAP Gross Margin</w:t>
      </w:r>
      <w:r>
        <w:rPr>
          <w:rFonts w:ascii="Times New Roman" w:cs="Times New Roman" w:eastAsia="Times New Roman" w:hAnsi="Times New Roman"/>
          <w:sz w:val="18"/>
          <w:szCs w:val="18"/>
          <w:color w:val="auto"/>
        </w:rPr>
        <w:t>. We define Non-GAAP Gross Profit as gross profit excluding share-based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acquired intangibles and restructuring expenses. We exclude these items because they occur for reasons that may be unrelated to our core operating performance during the period, and because we believe that such items may obscure underlying business trends and make comparisons of long-term performance difficult. We use Non-GAAP Gross Profit with traditional GAAP measures to evaluate our financial performance. Non-GAAP Gross Margin is calculated as a percentage of revenues.</w:t>
      </w:r>
    </w:p>
    <w:p>
      <w:pPr>
        <w:spacing w:after="0" w:line="18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i w:val="1"/>
          <w:iCs w:val="1"/>
          <w:color w:val="auto"/>
        </w:rPr>
        <w:t xml:space="preserve">Non-GAAP Operating Income (Loss) and Non-GAAP Operating Margin. </w:t>
      </w:r>
      <w:r>
        <w:rPr>
          <w:rFonts w:ascii="Times New Roman" w:cs="Times New Roman" w:eastAsia="Times New Roman" w:hAnsi="Times New Roman"/>
          <w:sz w:val="17"/>
          <w:szCs w:val="17"/>
          <w:color w:val="auto"/>
        </w:rPr>
        <w:t>We define Non-GAAP Operating Income (Loss) as net income (loss)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operations excluding share-based compensation, amortization and impairment of acquired intangible assets, restructuring expenses and non-recurring legal settlement expenses related to a complex class action lawsuit and related claims which are considered outside of the company’s ordinary course of business.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Non-GAAP Operating Margin is calculated as a percentage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right="80"/>
        <w:spacing w:after="0" w:line="266" w:lineRule="auto"/>
        <w:rPr>
          <w:sz w:val="20"/>
          <w:szCs w:val="20"/>
          <w:color w:val="auto"/>
        </w:rPr>
      </w:pPr>
      <w:r>
        <w:rPr>
          <w:rFonts w:ascii="Times New Roman" w:cs="Times New Roman" w:eastAsia="Times New Roman" w:hAnsi="Times New Roman"/>
          <w:sz w:val="18"/>
          <w:szCs w:val="18"/>
          <w:i w:val="1"/>
          <w:iCs w:val="1"/>
          <w:color w:val="auto"/>
        </w:rPr>
        <w:t>Non-GAAP Net Income (Loss) attributable to WalkMe Ltd</w:t>
      </w:r>
      <w:r>
        <w:rPr>
          <w:rFonts w:ascii="Times New Roman" w:cs="Times New Roman" w:eastAsia="Times New Roman" w:hAnsi="Times New Roman"/>
          <w:sz w:val="18"/>
          <w:szCs w:val="18"/>
          <w:color w:val="auto"/>
        </w:rPr>
        <w:t>. We define Non-GAAP Net Income (Loss) attributable to WalkMe Ltd. as Net Income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WalkMe Ltd. excluding share-based compensation, amortization and impairment of acquired intangible assets, restructuring expenses, non-recurring legal settlement expenses related to a complex class action lawsuit and related claims which are considered outside of the company’s ordinary course of business and adjustment attributable to non-controlling interest. We exclude these items because they occur for reasons that may be unrelated to our core operating performance during the period, and because we believe that such items may obscure underlying business trends and make comparisons of long-term performance difficult. We use Non-GAAP Net Income (Loss) attributable to WalkMe Ltd. with traditional GAAP measures to evaluate our financial performance. Non-GAAP Net Income (Loss) per Share attributable to WalkMe Ltd. is calculated based on the periodic weighted average of ordinary shares basic and diluted.</w:t>
      </w:r>
    </w:p>
    <w:p>
      <w:pPr>
        <w:spacing w:after="0" w:line="19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We define Free Cash Flow as net cash provided by (used in) operating activities, less cash used for purchases of property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capitalized internal-use software development costs. We believe that Free Cash Flow is a useful indicator of liquidity that provides information to management and investors, even if negative, about the amount of cash used in our business. Our Free Cash Flow may vary from period to period and be impacted as we continue to invest for growth in our business.</w:t>
      </w:r>
    </w:p>
    <w:p>
      <w:pPr>
        <w:spacing w:after="0" w:line="18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ARR. </w:t>
      </w:r>
      <w:r>
        <w:rPr>
          <w:rFonts w:ascii="Times New Roman" w:cs="Times New Roman" w:eastAsia="Times New Roman" w:hAnsi="Times New Roman"/>
          <w:sz w:val="18"/>
          <w:szCs w:val="18"/>
          <w:color w:val="auto"/>
        </w:rPr>
        <w:t>We define ARR as the annualized value of customer subscription contracts as of the measurement date, assuming any contract that expires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w:t>
      </w:r>
    </w:p>
    <w:p>
      <w:pPr>
        <w:spacing w:after="0" w:line="190"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Enterprise-Wide DAP Customers: </w:t>
      </w:r>
      <w:r>
        <w:rPr>
          <w:rFonts w:ascii="Times New Roman" w:cs="Times New Roman" w:eastAsia="Times New Roman" w:hAnsi="Times New Roman"/>
          <w:sz w:val="18"/>
          <w:szCs w:val="18"/>
          <w:color w:val="auto"/>
        </w:rPr>
        <w:t>We define Enterprise-Wide DAP Customers as those who have purchased enterprise-wide subscriptions or who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department-wide usage of our Digital Adoption Platform across four or more applications. We believe these customers are an indication of the success of our customer acquisition and expansion strategy and demonstrate the strategic demand for our Digital Adoption Platform, the growth of our business and our potential future business opportunities.</w:t>
      </w:r>
    </w:p>
    <w:p>
      <w:pPr>
        <w:spacing w:after="0" w:line="1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reconciliation tables provided in this press release. The accompanying reconciliation tables have more details on the GAAP financial measures that are most directly comparable to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future financial results, including revenue and non-GAAP operating loss guidance, and expectations regarding the Company’s ARR growth, operations and future profitability; the capabilities of and demand for the Company’s services; the growth and evolution of the digital adoption platform industry; the Company's future financial strategy and competitive market position within the industry are all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risks related to the war in Israel and the related challenges to the political, economic and security conditions in Israel and its impact on our business, financial performance and our actions designed to mitigate such impact; our ability to meet the service-level commitments under our customer agreements and the effects on our business if we are unable to do so; our relationships with, and dependence on, various third-party service providers;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including recent declines in the value of the Israeli shekel following Hamas’ attacks against Israel;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14, 2023,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About WalkMe</w:t>
      </w:r>
    </w:p>
    <w:p>
      <w:pPr>
        <w:spacing w:after="0" w:line="24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WalkMe (WKME) pioneered the world’s leading Digital Adoption Platform (DAP) so companies can effectively navigate the constant change brought on by technology. With WalkMe, organizations drive enterprise productivity and reduce risk by ensuring consistent, responsible, and efficient adoption of software and the workflows it powers. Our AI-driven platform sits on top of an organization’s tech stack, identifies where people experience friction, and delivers the personalized guidance and automation needed to get the job done, right in the flow of work. Customers like IBM, Nestle, ThermoFisher Scientific, and the U.S. Dept. of Defense trust WalkMe to create the people-centric experiences required to boost the effectiveness of their workflows and maximize software ROI.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press@walkme.com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Streppa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2"/>
                <w:szCs w:val="22"/>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247,715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220,972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19,239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64,863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266,954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245,006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Subscription</w:t>
            </w:r>
            <w:r>
              <w:rPr>
                <w:rFonts w:ascii="Times New Roman" w:cs="Times New Roman" w:eastAsia="Times New Roman" w:hAnsi="Times New Roman"/>
                <w:sz w:val="26"/>
                <w:szCs w:val="26"/>
                <w:color w:val="auto"/>
                <w:vertAlign w:val="superscript"/>
              </w:rPr>
              <w:t>(1)(2)(3)</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25,360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25,990</w:t>
            </w:r>
          </w:p>
        </w:tc>
        <w:tc>
          <w:tcPr>
            <w:tcW w:w="0" w:type="dxa"/>
            <w:vAlign w:val="bottom"/>
          </w:tcPr>
          <w:p>
            <w:pPr>
              <w:spacing w:after="0"/>
              <w:rPr>
                <w:sz w:val="1"/>
                <w:szCs w:val="1"/>
                <w:color w:val="auto"/>
              </w:rPr>
            </w:pPr>
          </w:p>
        </w:tc>
      </w:tr>
      <w:tr>
        <w:trPr>
          <w:trHeight w:val="237"/>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Professional services</w:t>
            </w:r>
            <w:r>
              <w:rPr>
                <w:rFonts w:ascii="Times New Roman" w:cs="Times New Roman" w:eastAsia="Times New Roman" w:hAnsi="Times New Roman"/>
                <w:sz w:val="26"/>
                <w:szCs w:val="26"/>
                <w:color w:val="auto"/>
                <w:vertAlign w:val="superscript"/>
              </w:rPr>
              <w:t>(1)(3)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6,511</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19,013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27,894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24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44,373</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52,414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222,581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191,122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6"/>
                <w:szCs w:val="26"/>
                <w:color w:val="auto"/>
                <w:vertAlign w:val="superscript"/>
              </w:rPr>
              <w:t>(1)(3)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13,964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55,107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59,468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6"/>
                <w:szCs w:val="26"/>
                <w:color w:val="auto"/>
                <w:vertAlign w:val="superscript"/>
              </w:rPr>
              <w:t>(1)(3)</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45,314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161,372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176,307</w:t>
            </w:r>
          </w:p>
        </w:tc>
        <w:tc>
          <w:tcPr>
            <w:tcW w:w="0" w:type="dxa"/>
            <w:vAlign w:val="bottom"/>
          </w:tcPr>
          <w:p>
            <w:pPr>
              <w:spacing w:after="0"/>
              <w:rPr>
                <w:sz w:val="1"/>
                <w:szCs w:val="1"/>
                <w:color w:val="auto"/>
              </w:rPr>
            </w:pPr>
          </w:p>
        </w:tc>
      </w:tr>
      <w:tr>
        <w:trPr>
          <w:trHeight w:val="237"/>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6"/>
                <w:szCs w:val="26"/>
                <w:color w:val="auto"/>
                <w:vertAlign w:val="superscript"/>
              </w:rPr>
              <w:t>(1)(2)(3)(4)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15,687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70,983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65,188</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69,598</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300,963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(11,694)</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(22,551)</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(64,881)</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(109,841)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income, net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(8,597)</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(19,597)</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(51,686)</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(104,519)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(9,747)</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(21,328)</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(56,753)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(108,350)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 attributable to non-controlling interest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2,649</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(14,979)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WalkMe Ltd.</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24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(59,136)</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WalkMe Ltd.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90,344,252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86,235,574</w:t>
            </w:r>
          </w:p>
        </w:tc>
        <w:tc>
          <w:tcPr>
            <w:tcW w:w="2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88,912,397</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85,116,424</w:t>
            </w:r>
          </w:p>
        </w:tc>
        <w:tc>
          <w:tcPr>
            <w:tcW w:w="0" w:type="dxa"/>
            <w:vAlign w:val="bottom"/>
          </w:tcPr>
          <w:p>
            <w:pPr>
              <w:spacing w:after="0"/>
              <w:rPr>
                <w:sz w:val="1"/>
                <w:szCs w:val="1"/>
                <w:color w:val="auto"/>
              </w:rPr>
            </w:pPr>
          </w:p>
        </w:tc>
      </w:tr>
      <w:tr>
        <w:trPr>
          <w:trHeight w:val="27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shareholders, basic and diluted</w:t>
            </w:r>
          </w:p>
        </w:tc>
        <w:tc>
          <w:tcPr>
            <w:tcW w:w="200" w:type="dxa"/>
            <w:vAlign w:val="bottom"/>
            <w:shd w:val="clear" w:color="auto" w:fill="CCEEFF"/>
          </w:tcPr>
          <w:p>
            <w:pPr>
              <w:spacing w:after="0"/>
              <w:rPr>
                <w:sz w:val="23"/>
                <w:szCs w:val="23"/>
                <w:color w:val="auto"/>
              </w:rPr>
            </w:pPr>
          </w:p>
        </w:tc>
        <w:tc>
          <w:tcPr>
            <w:tcW w:w="940" w:type="dxa"/>
            <w:vAlign w:val="bottom"/>
            <w:tcBorders>
              <w:right w:val="single" w:sz="8" w:color="CCEEFF"/>
            </w:tcBorders>
            <w:vMerge w:val="continue"/>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75"/>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Includes share-based compensation expense as follows:</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2"/>
                <w:szCs w:val="22"/>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17,671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24,155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19,797</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55,457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50,104</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Includes amortization and impairment of acquired intangibles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2"/>
                <w:szCs w:val="22"/>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and impairment expense</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21"/>
        </w:trPr>
        <w:tc>
          <w:tcPr>
            <w:tcW w:w="5980" w:type="dxa"/>
            <w:vAlign w:val="bottom"/>
          </w:tcPr>
          <w:p>
            <w:pPr>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Includes restructuring expense as follows: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2"/>
                <w:szCs w:val="22"/>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49" w:right="339" w:bottom="0" w:gutter="0" w:footer="0" w:header="0"/>
        </w:sectPr>
      </w:pPr>
    </w:p>
    <w:bookmarkStart w:id="12" w:name="page13"/>
    <w:bookmarkEnd w:id="12"/>
    <w:p>
      <w:pPr>
        <w:spacing w:after="0"/>
        <w:tabs>
          <w:tab w:leader="none" w:pos="5960" w:val="left"/>
          <w:tab w:leader="none" w:pos="7020" w:val="left"/>
          <w:tab w:leader="none" w:pos="7340" w:val="left"/>
          <w:tab w:leader="none" w:pos="8400" w:val="left"/>
          <w:tab w:leader="none" w:pos="8680" w:val="left"/>
          <w:tab w:leader="none" w:pos="9380" w:val="left"/>
          <w:tab w:leader="none" w:pos="10000" w:val="left"/>
          <w:tab w:leader="none" w:pos="11060" w:val="left"/>
        </w:tabs>
        <w:rPr>
          <w:sz w:val="20"/>
          <w:szCs w:val="20"/>
          <w:color w:val="auto"/>
        </w:rPr>
      </w:pPr>
      <w:r>
        <w:rPr>
          <w:rFonts w:ascii="Times New Roman" w:cs="Times New Roman" w:eastAsia="Times New Roman" w:hAnsi="Times New Roman"/>
          <w:sz w:val="18"/>
          <w:szCs w:val="18"/>
          <w:color w:val="auto"/>
        </w:rPr>
        <w:t>Total restructuring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1,473</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27469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34290"/>
                    </a:xfrm>
                    <a:prstGeom prst="rect">
                      <a:avLst/>
                    </a:prstGeom>
                    <a:noFill/>
                  </pic:spPr>
                </pic:pic>
              </a:graphicData>
            </a:graphic>
          </wp:anchor>
        </w:drawing>
      </w:r>
    </w:p>
    <w:p>
      <w:pPr>
        <w:spacing w:after="0" w:line="183"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legal settlement expense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59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2,950</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2,950</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legal settlements expense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3"/>
              </w:rPr>
              <w:t>2,950</w:t>
            </w:r>
          </w:p>
        </w:tc>
        <w:tc>
          <w:tcPr>
            <w:tcW w:w="260" w:type="dxa"/>
            <w:vAlign w:val="bottom"/>
          </w:tcPr>
          <w:p>
            <w:pPr>
              <w:spacing w:after="0"/>
              <w:rPr>
                <w:sz w:val="19"/>
                <w:szCs w:val="19"/>
                <w:color w:val="auto"/>
              </w:rPr>
            </w:pP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2,950</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5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94,105</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28,027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125,231</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60,290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42,187</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40,494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45,024</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26,287</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341,566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339,077</w:t>
            </w:r>
          </w:p>
        </w:tc>
      </w:tr>
      <w:tr>
        <w:trPr>
          <w:trHeight w:val="229"/>
        </w:trPr>
        <w:tc>
          <w:tcPr>
            <w:tcW w:w="86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43,334</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30,267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40,110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13,268</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7,003</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112,491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106,129</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454,057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445,206</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5,957</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47,772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53,414</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110,701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108,097</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12,384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10,038</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15,484</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183,481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and additional paid-in capital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748,801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688,636</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(1,817)</w:t>
            </w: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(489,132)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(432,645)</w:t>
            </w:r>
          </w:p>
        </w:tc>
      </w:tr>
      <w:tr>
        <w:trPr>
          <w:trHeight w:val="23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260,147</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254,174</w:t>
            </w:r>
          </w:p>
        </w:tc>
        <w:tc>
          <w:tcPr>
            <w:tcW w:w="100" w:type="dxa"/>
            <w:vAlign w:val="bottom"/>
            <w:tcBorders>
              <w:top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shareholders’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454,057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445,206</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2"/>
                <w:szCs w:val="22"/>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(9,747)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(56,753)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(108,350)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13,498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55,457</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50,104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6,157</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and liabilities,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(1,318)</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2,125</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(2,245)</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trade receivables, net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(2,252)</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4,530</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(7,417)</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prepaid expenses and other current and non-current assets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(1,459)</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deferred contract acquisition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9,337</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(2,449)</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accrued expenses and other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(2,877)</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deferred revenues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2,429</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22,924</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short-term deposits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(28,000)</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(28,000)</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(170,500)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deposits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123,500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112,257</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(32,323)</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(84,881)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(75,653)</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(84,881)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46,057</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restricted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(3,255)</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(26,531)</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(96,271)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62,109</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(149,956)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1,864</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employees share purchase plan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4,102</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9,717</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5,966</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w:t>
            </w:r>
          </w:p>
        </w:tc>
        <w:tc>
          <w:tcPr>
            <w:tcW w:w="2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(560)</w:t>
            </w:r>
          </w:p>
        </w:tc>
        <w:tc>
          <w:tcPr>
            <w:tcW w:w="3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(15,277)</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(100,792)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82,795</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(182,823)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195,220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94,428</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277,251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177,223</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177,223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94,428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GAAP to Non-GAAP Results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9"/>
        </w:trPr>
        <w:tc>
          <w:tcPr>
            <w:tcW w:w="5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60" w:type="dxa"/>
            <w:vAlign w:val="bottom"/>
            <w:gridSpan w:val="5"/>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2"/>
                <w:szCs w:val="22"/>
                <w:color w:val="auto"/>
              </w:rPr>
            </w:pPr>
          </w:p>
        </w:tc>
        <w:tc>
          <w:tcPr>
            <w:tcW w:w="2540" w:type="dxa"/>
            <w:vAlign w:val="bottom"/>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gross profit and gross margin</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57,904</w:t>
            </w:r>
          </w:p>
        </w:tc>
        <w:tc>
          <w:tcPr>
            <w:tcW w:w="3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52,414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222,581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191,122</w:t>
            </w: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2,590</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3,896</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of acquired intangibles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tcPr>
          <w:p>
            <w:pPr>
              <w:spacing w:after="0"/>
              <w:rPr>
                <w:sz w:val="19"/>
                <w:szCs w:val="19"/>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Restructuring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3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53,492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225,706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195,506</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18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expenses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13,964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55,107</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59,468</w:t>
            </w: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8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(3,093)</w:t>
            </w:r>
          </w:p>
        </w:tc>
        <w:tc>
          <w:tcPr>
            <w:tcW w:w="180" w:type="dxa"/>
            <w:vAlign w:val="bottom"/>
          </w:tcPr>
          <w:p>
            <w:pPr>
              <w:spacing w:after="0"/>
              <w:rPr>
                <w:sz w:val="19"/>
                <w:szCs w:val="19"/>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(1,889)</w:t>
            </w:r>
          </w:p>
        </w:tc>
        <w:tc>
          <w:tcPr>
            <w:tcW w:w="180" w:type="dxa"/>
            <w:vAlign w:val="bottom"/>
          </w:tcPr>
          <w:p>
            <w:pPr>
              <w:spacing w:after="0"/>
              <w:rPr>
                <w:sz w:val="19"/>
                <w:szCs w:val="19"/>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(11,041)</w:t>
            </w:r>
          </w:p>
        </w:tc>
        <w:tc>
          <w:tcPr>
            <w:tcW w:w="280" w:type="dxa"/>
            <w:vAlign w:val="bottom"/>
          </w:tcPr>
          <w:p>
            <w:pPr>
              <w:spacing w:after="0"/>
              <w:rPr>
                <w:sz w:val="19"/>
                <w:szCs w:val="19"/>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(7,285)</w:t>
            </w: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Restructuring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3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12,075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43,980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52,183</w:t>
            </w:r>
          </w:p>
        </w:tc>
      </w:tr>
      <w:tr>
        <w:trPr>
          <w:trHeight w:val="21"/>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GAAP sales and marketing</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38,337</w:t>
            </w:r>
          </w:p>
        </w:tc>
        <w:tc>
          <w:tcPr>
            <w:tcW w:w="3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45,314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161,372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176,307</w:t>
            </w: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(4,538)</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(5,191)</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(17,671)</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(19,126)</w:t>
            </w:r>
          </w:p>
        </w:tc>
      </w:tr>
      <w:tr>
        <w:trPr>
          <w:trHeight w:val="23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Less: Restructuring expense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(964)</w:t>
            </w:r>
          </w:p>
        </w:tc>
        <w:tc>
          <w:tcPr>
            <w:tcW w:w="28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sales and marketing</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w:t>
            </w:r>
          </w:p>
        </w:tc>
        <w:tc>
          <w:tcPr>
            <w:tcW w:w="30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40,123</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142,737</w:t>
            </w:r>
          </w:p>
        </w:tc>
        <w:tc>
          <w:tcPr>
            <w:tcW w:w="340" w:type="dxa"/>
            <w:vAlign w:val="bottom"/>
            <w:tcBorders>
              <w:bottom w:val="single" w:sz="8" w:color="CCEEFF"/>
              <w:right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157,181</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23"/>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general and administrative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15,687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70,983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65,188</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8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(5,338)</w:t>
            </w:r>
          </w:p>
        </w:tc>
        <w:tc>
          <w:tcPr>
            <w:tcW w:w="180" w:type="dxa"/>
            <w:vAlign w:val="bottom"/>
          </w:tcPr>
          <w:p>
            <w:pPr>
              <w:spacing w:after="0"/>
              <w:rPr>
                <w:sz w:val="19"/>
                <w:szCs w:val="19"/>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(3,906)</w:t>
            </w:r>
          </w:p>
        </w:tc>
        <w:tc>
          <w:tcPr>
            <w:tcW w:w="180" w:type="dxa"/>
            <w:vAlign w:val="bottom"/>
          </w:tcPr>
          <w:p>
            <w:pPr>
              <w:spacing w:after="0"/>
              <w:rPr>
                <w:sz w:val="19"/>
                <w:szCs w:val="19"/>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(24,155)</w:t>
            </w:r>
          </w:p>
        </w:tc>
        <w:tc>
          <w:tcPr>
            <w:tcW w:w="280" w:type="dxa"/>
            <w:vAlign w:val="bottom"/>
          </w:tcPr>
          <w:p>
            <w:pPr>
              <w:spacing w:after="0"/>
              <w:rPr>
                <w:sz w:val="19"/>
                <w:szCs w:val="19"/>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(19,797)</w:t>
            </w: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 of acquired intangibles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(979)</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Less: Restructuring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9"/>
                <w:szCs w:val="19"/>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Legal settlement expense</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(2,950)</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(2,950)</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Non-GAAP general and administrative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3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11,781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43,718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44,412</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and operating margin</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(11,694)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(22,551)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(64,881)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(109,841)</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11,996</w:t>
            </w: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55,457</w:t>
            </w:r>
          </w:p>
        </w:tc>
        <w:tc>
          <w:tcPr>
            <w:tcW w:w="280" w:type="dxa"/>
            <w:vAlign w:val="bottom"/>
          </w:tcPr>
          <w:p>
            <w:pPr>
              <w:spacing w:after="0"/>
              <w:rPr>
                <w:sz w:val="19"/>
                <w:szCs w:val="19"/>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50,104</w:t>
            </w: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and impairment of acquired intangibles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1,467</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Plus: Restructuring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1,473</w:t>
            </w:r>
          </w:p>
        </w:tc>
        <w:tc>
          <w:tcPr>
            <w:tcW w:w="280" w:type="dxa"/>
            <w:vAlign w:val="bottom"/>
          </w:tcPr>
          <w:p>
            <w:pPr>
              <w:spacing w:after="0"/>
              <w:rPr>
                <w:sz w:val="19"/>
                <w:szCs w:val="19"/>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Legal settlement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2,950</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3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(10,487)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(4,729)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(58,270)</w:t>
            </w:r>
          </w:p>
        </w:tc>
      </w:tr>
      <w:tr>
        <w:trPr>
          <w:trHeight w:val="21"/>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margin</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18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attributable to WalkMe Ltd.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(10,647)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(18,615)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(59,136)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(92,628)</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11,996</w:t>
            </w: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55,457</w:t>
            </w:r>
          </w:p>
        </w:tc>
        <w:tc>
          <w:tcPr>
            <w:tcW w:w="280" w:type="dxa"/>
            <w:vAlign w:val="bottom"/>
          </w:tcPr>
          <w:p>
            <w:pPr>
              <w:spacing w:after="0"/>
              <w:rPr>
                <w:sz w:val="19"/>
                <w:szCs w:val="19"/>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50,104</w:t>
            </w: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and impairment of acquired intangibles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1,467</w:t>
            </w: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Plus: Restructuring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1,473</w:t>
            </w:r>
          </w:p>
        </w:tc>
        <w:tc>
          <w:tcPr>
            <w:tcW w:w="280" w:type="dxa"/>
            <w:vAlign w:val="bottom"/>
          </w:tcPr>
          <w:p>
            <w:pPr>
              <w:spacing w:after="0"/>
              <w:rPr>
                <w:sz w:val="19"/>
                <w:szCs w:val="19"/>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Legal settlement expense</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2,950</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Plus: Adjustment attributable to non-controlling interest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(2,337)</w:t>
            </w:r>
          </w:p>
        </w:tc>
        <w:tc>
          <w:tcPr>
            <w:tcW w:w="180" w:type="dxa"/>
            <w:vAlign w:val="bottom"/>
          </w:tcPr>
          <w:p>
            <w:pPr>
              <w:spacing w:after="0"/>
              <w:rPr>
                <w:sz w:val="20"/>
                <w:szCs w:val="20"/>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2,649</w:t>
            </w:r>
          </w:p>
        </w:tc>
        <w:tc>
          <w:tcPr>
            <w:tcW w:w="2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(14,979)</w:t>
            </w:r>
          </w:p>
        </w:tc>
      </w:tr>
      <w:tr>
        <w:trPr>
          <w:trHeight w:val="27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 attributable to WalkMe Ltd.</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30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34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340" w:type="dxa"/>
            <w:vAlign w:val="bottom"/>
            <w:tcBorders>
              <w:right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w:t>
            </w:r>
          </w:p>
        </w:tc>
        <w:tc>
          <w:tcPr>
            <w:tcW w:w="220" w:type="dxa"/>
            <w:vAlign w:val="bottom"/>
            <w:shd w:val="clear" w:color="auto" w:fill="CCEEFF"/>
          </w:tcPr>
          <w:p>
            <w:pPr>
              <w:spacing w:after="0"/>
              <w:rPr>
                <w:sz w:val="23"/>
                <w:szCs w:val="23"/>
                <w:color w:val="auto"/>
              </w:rPr>
            </w:pPr>
          </w:p>
        </w:tc>
      </w:tr>
      <w:tr>
        <w:trPr>
          <w:trHeight w:val="223"/>
        </w:trPr>
        <w:tc>
          <w:tcPr>
            <w:tcW w:w="568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 per share attributable to WalkMe Ltd.</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(0.66)</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(0.66)</w:t>
            </w:r>
          </w:p>
        </w:tc>
      </w:tr>
      <w:tr>
        <w:trPr>
          <w:trHeight w:val="223"/>
        </w:trPr>
        <w:tc>
          <w:tcPr>
            <w:tcW w:w="568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non-GAAP per share calculations:</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1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Non-GAAP weighted-average shares used to compute net income (loss) per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90,344,252</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86,235,574</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88,912,397</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85,116,424</w:t>
            </w: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94,240,151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86,235,574</w:t>
            </w:r>
          </w:p>
        </w:tc>
        <w:tc>
          <w:tcPr>
            <w:tcW w:w="180" w:type="dxa"/>
            <w:vAlign w:val="bottom"/>
          </w:tcPr>
          <w:p>
            <w:pPr>
              <w:spacing w:after="0"/>
              <w:rPr>
                <w:sz w:val="20"/>
                <w:szCs w:val="20"/>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92,575,804</w:t>
            </w:r>
          </w:p>
        </w:tc>
        <w:tc>
          <w:tcPr>
            <w:tcW w:w="28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6"/>
              </w:rPr>
              <w:t>85,116,424</w:t>
            </w:r>
          </w:p>
        </w:tc>
      </w:tr>
      <w:tr>
        <w:trPr>
          <w:trHeight w:val="407"/>
        </w:trPr>
        <w:tc>
          <w:tcPr>
            <w:tcW w:w="5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622"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ind w:right="5060"/>
        <w:spacing w:after="0" w:line="292" w:lineRule="auto"/>
        <w:rPr>
          <w:sz w:val="20"/>
          <w:szCs w:val="20"/>
          <w:color w:val="auto"/>
        </w:rPr>
      </w:pPr>
      <w:r>
        <w:rPr>
          <w:rFonts w:ascii="Times New Roman" w:cs="Times New Roman" w:eastAsia="Times New Roman" w:hAnsi="Times New Roman"/>
          <w:sz w:val="18"/>
          <w:szCs w:val="18"/>
          <w:b w:val="1"/>
          <w:bCs w:val="1"/>
          <w:color w:val="auto"/>
        </w:rPr>
        <w:t>Reconciliation of GAAP Cash Flow from Operating Activities to Free Cash Flow (in thousands;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2"/>
                <w:szCs w:val="22"/>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9,156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(46,808)</w:t>
            </w: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(2,867)</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(3,255)</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3"/>
              </w:rPr>
              <w:t>8,355</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(53,935)</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5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3"/>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2024-02-21T06:09:01Z</dcterms:created>
  <dcterms:modified xsi:type="dcterms:W3CDTF">2024-02-21T06:09:01Z</dcterms:modified>
</cp:coreProperties>
</file>