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spacing w:lineRule="auto" w:line="300"/>
        <w:jc w:val="center"/>
        <w:rPr/>
      </w:pPr>
      <w:r>
        <w:rPr/>
      </w:r>
      <w:bookmarkStart w:id="0" w:name="zk2431111.htm"/>
      <w:bookmarkStart w:id="1" w:name="kszk2431111"/>
      <w:bookmarkStart w:id="2" w:name="zk2431111.htm"/>
      <w:bookmarkStart w:id="3" w:name="kszk2431111"/>
      <w:bookmarkEnd w:id="2"/>
      <w:bookmarkEnd w:id="3"/>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UNITED STATES</w:t>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SECURITIES AND EXCHANGE COMMISSION</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FORM 20-F</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(Mark One)</w:t>
      </w:r>
    </w:p>
    <w:p>
      <w:pPr>
        <w:pStyle w:val="TextBody"/>
        <w:bidi w:val="0"/>
        <w:spacing w:lineRule="auto" w:line="300" w:before="0" w:after="0"/>
        <w:jc w:val="left"/>
        <w:rPr/>
      </w:pPr>
      <w:r>
        <w:rPr/>
        <w:t> </w:t>
      </w:r>
    </w:p>
    <w:p>
      <w:pPr>
        <w:pStyle w:val="TextBody"/>
        <w:bidi w:val="0"/>
        <w:spacing w:lineRule="auto" w:line="300" w:before="0" w:after="0"/>
        <w:jc w:val="both"/>
        <w:rPr/>
      </w:pPr>
      <w:r>
        <w:rPr/>
        <w:t>☐ </w:t>
      </w:r>
      <w:r>
        <w:rPr>
          <w:rFonts w:ascii="Times New Roman;Times;serif" w:hAnsi="Times New Roman;Times;serif"/>
          <w:b/>
          <w:sz w:val="20"/>
        </w:rPr>
        <w:t>REGISTRATION STATEMENT PURSUANT TO SECTION 12(b) OR SECTION 12(g) OF THE SECURITIES EXCHANGE ACT OF 1934</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lineRule="auto" w:line="300" w:before="0" w:after="0"/>
        <w:jc w:val="left"/>
        <w:rPr/>
      </w:pPr>
      <w:r>
        <w:rPr/>
        <w:t> </w:t>
      </w:r>
    </w:p>
    <w:p>
      <w:pPr>
        <w:pStyle w:val="TextBody"/>
        <w:bidi w:val="0"/>
        <w:spacing w:lineRule="auto" w:line="300" w:before="0" w:after="0"/>
        <w:jc w:val="left"/>
        <w:rPr/>
      </w:pPr>
      <w:r>
        <w:rPr/>
        <w:t>☒ </w:t>
      </w:r>
      <w:r>
        <w:rPr>
          <w:rFonts w:ascii="Times New Roman;Times;serif" w:hAnsi="Times New Roman;Times;serif"/>
          <w:b/>
          <w:sz w:val="20"/>
        </w:rPr>
        <w:t>ANNUAL REPORT PURSUANT TO SECTION 13 OR 15(d) OF THE SECURITIES EXCHANGE ACT OF 1934  </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For the fiscal year ended December 31, 2023</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lineRule="auto" w:line="300" w:before="0" w:after="0"/>
        <w:jc w:val="center"/>
        <w:rPr/>
      </w:pPr>
      <w:r>
        <w:rPr/>
        <w:t> </w:t>
      </w:r>
    </w:p>
    <w:p>
      <w:pPr>
        <w:pStyle w:val="TextBody"/>
        <w:bidi w:val="0"/>
        <w:spacing w:lineRule="auto" w:line="300" w:before="0" w:after="0"/>
        <w:jc w:val="both"/>
        <w:rPr/>
      </w:pPr>
      <w:r>
        <w:rPr/>
        <w:t>☐ </w:t>
      </w:r>
      <w:r>
        <w:rPr>
          <w:rFonts w:ascii="Times New Roman;Times;serif" w:hAnsi="Times New Roman;Times;serif"/>
          <w:b/>
          <w:sz w:val="20"/>
        </w:rPr>
        <w:t>TRANSITION REPORT PURSUANT TO SECTION 13 OR 15(d) OF THE SECURITIES EXCHANGE ACT OF 1934</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For the transition period from      to</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lineRule="auto" w:line="300" w:before="0" w:after="0"/>
        <w:jc w:val="center"/>
        <w:rPr/>
      </w:pPr>
      <w:r>
        <w:rPr/>
        <w:t> </w:t>
      </w:r>
    </w:p>
    <w:p>
      <w:pPr>
        <w:pStyle w:val="TextBody"/>
        <w:bidi w:val="0"/>
        <w:spacing w:lineRule="auto" w:line="300" w:before="0" w:after="0"/>
        <w:jc w:val="both"/>
        <w:rPr/>
      </w:pPr>
      <w:r>
        <w:rPr/>
        <w:t>☐ </w:t>
      </w:r>
      <w:r>
        <w:rPr>
          <w:rFonts w:ascii="Times New Roman;Times;serif" w:hAnsi="Times New Roman;Times;serif"/>
          <w:b/>
          <w:sz w:val="20"/>
        </w:rPr>
        <w:t>SHELL COMPANY REPORT PURSUANT TO SECTION 13 OR 15(d) OF THE SECURITIES EXCHANGE ACT OF 1934</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Date of event requiring this shell company report</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Commission File Number 001-40490</w:t>
      </w:r>
    </w:p>
    <w:p>
      <w:pPr>
        <w:pStyle w:val="TextBody"/>
        <w:bidi w:val="0"/>
        <w:spacing w:lineRule="auto" w:line="300" w:before="0" w:after="0"/>
        <w:jc w:val="left"/>
        <w:rPr/>
      </w:pPr>
      <w:r>
        <w:rPr/>
        <w:t> </w:t>
      </w:r>
    </w:p>
    <w:p>
      <w:pPr>
        <w:pStyle w:val="TextBody"/>
        <w:bidi w:val="0"/>
        <w:spacing w:lineRule="auto" w:line="300" w:before="0" w:after="0"/>
        <w:jc w:val="center"/>
        <w:rPr/>
      </w:pPr>
      <w:r>
        <w:rPr/>
        <w:drawing>
          <wp:inline distT="0" distB="0" distL="0" distR="0">
            <wp:extent cx="2371725"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71725" cy="781050"/>
                    </a:xfrm>
                    <a:prstGeom prst="rect">
                      <a:avLst/>
                    </a:prstGeom>
                  </pic:spPr>
                </pic:pic>
              </a:graphicData>
            </a:graphic>
          </wp:inline>
        </w:drawing>
      </w:r>
    </w:p>
    <w:p>
      <w:pPr>
        <w:pStyle w:val="TextBody"/>
        <w:bidi w:val="0"/>
        <w:spacing w:lineRule="auto" w:line="300" w:before="0" w:after="0"/>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z w:val="32"/>
          <w:shd w:fill="FFFFFF" w:val="clear"/>
        </w:rPr>
        <w:t>WalkMe Ltd.</w:t>
      </w:r>
    </w:p>
    <w:p>
      <w:pPr>
        <w:pStyle w:val="TextBody"/>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(Exact name of Registrant as specified in its charter)</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(Translation of Registrant’s name into English)</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State of Israel</w:t>
      </w:r>
    </w:p>
    <w:p>
      <w:pPr>
        <w:pStyle w:val="TextBody"/>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(Jurisdiction of incorporation or organization)</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1 Walter Moses St.</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Tel Aviv 6789903, Israel</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+972 (3) 763-0333</w:t>
      </w:r>
    </w:p>
    <w:p>
      <w:pPr>
        <w:pStyle w:val="TextBody"/>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(Address of principal executive offices)</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Paul Bradley Shinn, Esq.</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General Counsel</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71 Stevenson Street, Floor 20</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San Francisco, CA 94105</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Telephone: (855) 492-5563</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Email: investors@walkme.com</w:t>
      </w:r>
    </w:p>
    <w:p>
      <w:pPr>
        <w:pStyle w:val="TextBody"/>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(Name, Telephone, E-mail and/or Facsimile number and Address of Company Contact Person)</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val="false"/>
          <w:sz w:val="20"/>
        </w:rPr>
      </w:pPr>
      <w:r>
        <w:rPr>
          <w:rFonts w:ascii="Times New Roman;Times;serif" w:hAnsi="Times New Roman;Times;serif"/>
          <w:b w:val="false"/>
          <w:sz w:val="20"/>
        </w:rPr>
        <w:t>Securities registered or to be registered, pursuant to Section 12(b) of the Act</w:t>
      </w:r>
    </w:p>
    <w:p>
      <w:pPr>
        <w:pStyle w:val="TextBody"/>
        <w:bidi w:val="0"/>
        <w:spacing w:lineRule="auto" w:line="300" w:before="0" w:after="0"/>
        <w:jc w:val="both"/>
        <w:rPr/>
      </w:pPr>
      <w:r>
        <w:rPr/>
        <w:t> </w:t>
      </w:r>
    </w:p>
    <w:tbl>
      <w:tblPr>
        <w:tblW w:w="7830" w:type="dxa"/>
        <w:jc w:val="left"/>
        <w:tblInd w:w="0" w:type="dxa"/>
        <w:tblLayout w:type="fixed"/>
        <w:tblCellMar>
          <w:top w:w="0" w:type="dxa"/>
          <w:left w:w="0" w:type="dxa"/>
          <w:bottom w:w="28" w:type="dxa"/>
          <w:right w:w="0" w:type="dxa"/>
        </w:tblCellMar>
      </w:tblPr>
      <w:tblGrid>
        <w:gridCol w:w="2390"/>
        <w:gridCol w:w="60"/>
        <w:gridCol w:w="1610"/>
        <w:gridCol w:w="60"/>
        <w:gridCol w:w="3710"/>
      </w:tblGrid>
      <w:tr>
        <w:trPr/>
        <w:tc>
          <w:tcPr>
            <w:tcW w:w="239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390"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Ordinary shares, no par value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WKME</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Securities registered or to be registered pursuant to Section 12(g) of the Act: None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Securities for which there is a reporting obligation pursuant to Section 15(d) of the Act: None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val="false"/>
          <w:sz w:val="20"/>
        </w:rPr>
      </w:pPr>
      <w:r>
        <w:rPr>
          <w:rFonts w:ascii="Times New Roman;Times;serif" w:hAnsi="Times New Roman;Times;serif"/>
          <w:b w:val="false"/>
          <w:sz w:val="20"/>
        </w:rPr>
        <w:t>Indicate the number of outstanding shares of each of the issuer’s classes of capital stock or common stock as of the close of the period covered by the annual report. As of December 31, 2023, the registrant had outstanding 90,864,662 ordinary shares, no par value.</w:t>
      </w:r>
    </w:p>
    <w:p>
      <w:pPr>
        <w:pStyle w:val="TextBody"/>
        <w:bidi w:val="0"/>
        <w:spacing w:lineRule="auto" w:line="300" w:before="0" w:after="0"/>
        <w:jc w:val="both"/>
        <w:rPr/>
      </w:pPr>
      <w:r>
        <w:rPr/>
        <w:t> </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val="false"/>
          <w:sz w:val="20"/>
        </w:rPr>
      </w:pPr>
      <w:r>
        <w:rPr>
          <w:rFonts w:ascii="Times New Roman;Times;serif" w:hAnsi="Times New Roman;Times;serif"/>
          <w:b w:val="false"/>
          <w:sz w:val="20"/>
        </w:rPr>
        <w:t>Indicate by check mark if the registrant is a well-known seasoned issuer, as defined in Rule 405 of the Securities Act.</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Yes ☐     No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val="false"/>
          <w:sz w:val="20"/>
        </w:rPr>
      </w:pPr>
      <w:r>
        <w:rPr>
          <w:rFonts w:ascii="Times New Roman;Times;serif" w:hAnsi="Times New Roman;Times;serif"/>
          <w:b w:val="false"/>
          <w:sz w:val="20"/>
        </w:rPr>
        <w:t>If this report is an annual or transition report, indicate by check mark if the registrant is not required to file reports pursuant to Section 13 or 15(d) of the Securities Exchange Act of 1934.</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Yes ☐     No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val="false"/>
          <w:sz w:val="20"/>
        </w:rPr>
      </w:pPr>
      <w:r>
        <w:rPr>
          <w:rFonts w:ascii="Times New Roman;Times;serif" w:hAnsi="Times New Roman;Times;serif"/>
          <w:b w:val="false"/>
          <w:sz w:val="20"/>
        </w:rPr>
        <w:t>Note-Checking the box above will not relieve any registrant required to file reports pursuant to Section 13 or 15(d) of the Securities Exchange Act of 1934 from their obligations under those Sections.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val="false"/>
          <w:sz w:val="20"/>
        </w:rPr>
      </w:pPr>
      <w:r>
        <w:rPr>
          <w:rFonts w:ascii="Times New Roman;Times;serif" w:hAnsi="Times New Roman;Times;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Yes ☒     No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val="false"/>
          <w:sz w:val="20"/>
        </w:rPr>
      </w:pPr>
      <w:r>
        <w:rPr>
          <w:rFonts w:ascii="Times New Roman;Times;serif" w:hAnsi="Times New Roman;Times;serif"/>
          <w:b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Yes ☒     No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val="false"/>
          <w:sz w:val="20"/>
        </w:rPr>
      </w:pPr>
      <w:r>
        <w:rPr>
          <w:rFonts w:ascii="Times New Roman;Times;serif" w:hAnsi="Times New Roman;Times;serif"/>
          <w:b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lineRule="auto" w:line="300" w:before="0" w:after="0"/>
        <w:jc w:val="both"/>
        <w:rPr/>
      </w:pPr>
      <w:r>
        <w:rPr/>
        <w:t> </w:t>
      </w:r>
    </w:p>
    <w:tbl>
      <w:tblPr>
        <w:tblW w:w="8660" w:type="dxa"/>
        <w:jc w:val="left"/>
        <w:tblInd w:w="0" w:type="dxa"/>
        <w:tblLayout w:type="fixed"/>
        <w:tblCellMar>
          <w:top w:w="0" w:type="dxa"/>
          <w:left w:w="0" w:type="dxa"/>
          <w:bottom w:w="0" w:type="dxa"/>
          <w:right w:w="0" w:type="dxa"/>
        </w:tblCellMar>
      </w:tblPr>
      <w:tblGrid>
        <w:gridCol w:w="2255"/>
        <w:gridCol w:w="1700"/>
        <w:gridCol w:w="2075"/>
        <w:gridCol w:w="2630"/>
      </w:tblGrid>
      <w:tr>
        <w:trPr/>
        <w:tc>
          <w:tcPr>
            <w:tcW w:w="2255" w:type="dxa"/>
            <w:tcBorders/>
            <w:vAlign w:val="center"/>
          </w:tcPr>
          <w:p>
            <w:pPr>
              <w:pStyle w:val="TableContents"/>
              <w:bidi w:val="0"/>
              <w:spacing w:lineRule="auto" w:line="300" w:before="0" w:after="0"/>
              <w:jc w:val="center"/>
              <w:rPr/>
            </w:pPr>
            <w:r>
              <w:rPr/>
              <w:t xml:space="preserve">☐ </w:t>
            </w:r>
            <w:r>
              <w:rPr>
                <w:rFonts w:ascii="Times New Roman;Times;serif" w:hAnsi="Times New Roman;Times;serif"/>
                <w:b/>
                <w:sz w:val="20"/>
              </w:rPr>
              <w:t>Large accelerated filer</w:t>
            </w:r>
          </w:p>
        </w:tc>
        <w:tc>
          <w:tcPr>
            <w:tcW w:w="1700" w:type="dxa"/>
            <w:tcBorders/>
            <w:vAlign w:val="center"/>
          </w:tcPr>
          <w:p>
            <w:pPr>
              <w:pStyle w:val="TableContents"/>
              <w:bidi w:val="0"/>
              <w:spacing w:lineRule="auto" w:line="300" w:before="0" w:after="0"/>
              <w:jc w:val="center"/>
              <w:rPr/>
            </w:pPr>
            <w:r>
              <w:rPr/>
              <w:t xml:space="preserve">☒ </w:t>
            </w:r>
            <w:r>
              <w:rPr>
                <w:rFonts w:ascii="Times New Roman;Times;serif" w:hAnsi="Times New Roman;Times;serif"/>
                <w:b/>
                <w:sz w:val="20"/>
              </w:rPr>
              <w:t>Accelerated filer</w:t>
            </w:r>
          </w:p>
        </w:tc>
        <w:tc>
          <w:tcPr>
            <w:tcW w:w="2075" w:type="dxa"/>
            <w:tcBorders/>
            <w:vAlign w:val="center"/>
          </w:tcPr>
          <w:p>
            <w:pPr>
              <w:pStyle w:val="TableContents"/>
              <w:bidi w:val="0"/>
              <w:spacing w:lineRule="auto" w:line="300" w:before="0" w:after="0"/>
              <w:jc w:val="center"/>
              <w:rPr/>
            </w:pPr>
            <w:r>
              <w:rPr/>
              <w:t xml:space="preserve">☐ </w:t>
            </w:r>
            <w:r>
              <w:rPr>
                <w:rFonts w:ascii="Times New Roman;Times;serif" w:hAnsi="Times New Roman;Times;serif"/>
                <w:b/>
                <w:sz w:val="20"/>
              </w:rPr>
              <w:t>Non-accelerated filer</w:t>
            </w:r>
          </w:p>
        </w:tc>
        <w:tc>
          <w:tcPr>
            <w:tcW w:w="2630" w:type="dxa"/>
            <w:tcBorders/>
            <w:vAlign w:val="center"/>
          </w:tcPr>
          <w:p>
            <w:pPr>
              <w:pStyle w:val="TableContents"/>
              <w:bidi w:val="0"/>
              <w:spacing w:lineRule="auto" w:line="300" w:before="0" w:after="0"/>
              <w:jc w:val="left"/>
              <w:rPr/>
            </w:pPr>
            <w:r>
              <w:rPr/>
              <w:t xml:space="preserve">☒ </w:t>
            </w:r>
            <w:r>
              <w:rPr>
                <w:rFonts w:ascii="Times New Roman;Times;serif" w:hAnsi="Times New Roman;Times;serif"/>
                <w:b/>
                <w:sz w:val="20"/>
              </w:rPr>
              <w:t>Emerging growth company</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val="false"/>
          <w:sz w:val="20"/>
        </w:rPr>
      </w:pPr>
      <w:r>
        <w:rPr>
          <w:rFonts w:ascii="Times New Roman;Times;serif" w:hAnsi="Times New Roman;Times;serif"/>
          <w:b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val="false"/>
          <w:sz w:val="20"/>
        </w:rPr>
      </w:pPr>
      <w:r>
        <w:rPr>
          <w:rFonts w:ascii="Times New Roman;Times;serif" w:hAnsi="Times New Roman;Times;serif"/>
          <w:b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val="false"/>
          <w:sz w:val="20"/>
        </w:rPr>
      </w:pPr>
      <w:r>
        <w:rPr>
          <w:rFonts w:ascii="Times New Roman;Times;serif" w:hAnsi="Times New Roman;Times;serif"/>
          <w:b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val="false"/>
          <w:sz w:val="20"/>
        </w:rPr>
      </w:pPr>
      <w:r>
        <w:rPr>
          <w:rFonts w:ascii="Times New Roman;Times;serif" w:hAnsi="Times New Roman;Times;serif"/>
          <w:b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val="false"/>
          <w:sz w:val="20"/>
        </w:rPr>
      </w:pPr>
      <w:r>
        <w:rPr>
          <w:rFonts w:ascii="Times New Roman;Times;serif" w:hAnsi="Times New Roman;Times;serif"/>
          <w:b w:val="false"/>
          <w:sz w:val="20"/>
        </w:rPr>
        <w:t>Indicate by check mark which basis of accounting the registrant has used to prepare the financial statements included in this filing:</w:t>
      </w:r>
    </w:p>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1142"/>
        <w:gridCol w:w="8303"/>
        <w:gridCol w:w="760"/>
      </w:tblGrid>
      <w:tr>
        <w:trPr/>
        <w:tc>
          <w:tcPr>
            <w:tcW w:w="1142" w:type="dxa"/>
            <w:tcBorders/>
            <w:vAlign w:val="center"/>
          </w:tcPr>
          <w:p>
            <w:pPr>
              <w:pStyle w:val="TableContents"/>
              <w:bidi w:val="0"/>
              <w:spacing w:lineRule="auto" w:line="300" w:before="0" w:after="0"/>
              <w:jc w:val="center"/>
              <w:rPr/>
            </w:pPr>
            <w:r>
              <w:rPr/>
              <w:t xml:space="preserve">☒ </w:t>
            </w:r>
            <w:r>
              <w:rPr>
                <w:rFonts w:ascii="Times New Roman;Times;serif" w:hAnsi="Times New Roman;Times;serif"/>
                <w:b/>
                <w:sz w:val="20"/>
              </w:rPr>
              <w:t>U.S. GAAP</w:t>
            </w:r>
          </w:p>
        </w:tc>
        <w:tc>
          <w:tcPr>
            <w:tcW w:w="8303" w:type="dxa"/>
            <w:tcBorders/>
            <w:vAlign w:val="center"/>
          </w:tcPr>
          <w:p>
            <w:pPr>
              <w:pStyle w:val="TableContents"/>
              <w:bidi w:val="0"/>
              <w:spacing w:lineRule="auto" w:line="300" w:before="0" w:after="0"/>
              <w:jc w:val="center"/>
              <w:rPr/>
            </w:pPr>
            <w:r>
              <w:rPr/>
              <w:t xml:space="preserve">☐ </w:t>
            </w:r>
            <w:r>
              <w:rPr>
                <w:rFonts w:ascii="Times New Roman;Times;serif" w:hAnsi="Times New Roman;Times;serif"/>
                <w:b/>
                <w:sz w:val="20"/>
              </w:rPr>
              <w:t>International Financial Reporting Standards as issued by the International Accounting Standards Board</w:t>
            </w:r>
          </w:p>
        </w:tc>
        <w:tc>
          <w:tcPr>
            <w:tcW w:w="760" w:type="dxa"/>
            <w:tcBorders/>
            <w:vAlign w:val="center"/>
          </w:tcPr>
          <w:p>
            <w:pPr>
              <w:pStyle w:val="TableContents"/>
              <w:bidi w:val="0"/>
              <w:spacing w:lineRule="auto" w:line="300" w:before="0" w:after="0"/>
              <w:jc w:val="center"/>
              <w:rPr/>
            </w:pPr>
            <w:r>
              <w:rPr/>
              <w:t xml:space="preserve">☐ </w:t>
            </w:r>
            <w:r>
              <w:rPr>
                <w:rFonts w:ascii="Times New Roman;Times;serif" w:hAnsi="Times New Roman;Times;serif"/>
                <w:b/>
                <w:sz w:val="20"/>
              </w:rPr>
              <w:t>Other</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val="false"/>
          <w:sz w:val="20"/>
        </w:rPr>
      </w:pPr>
      <w:r>
        <w:rPr>
          <w:rFonts w:ascii="Times New Roman;Times;serif" w:hAnsi="Times New Roman;Times;serif"/>
          <w:b w:val="false"/>
          <w:sz w:val="20"/>
        </w:rPr>
        <w:t>If “Other” has been checked in response to the previous question indicate by check mark which financial statement item the registrant has elected to follow.</w:t>
      </w:r>
    </w:p>
    <w:p>
      <w:pPr>
        <w:pStyle w:val="TextBody"/>
        <w:bidi w:val="0"/>
        <w:spacing w:lineRule="auto" w:line="300" w:before="0" w:after="0"/>
        <w:jc w:val="both"/>
        <w:rPr/>
      </w:pPr>
      <w:r>
        <w:rPr/>
        <w:t> </w:t>
      </w:r>
    </w:p>
    <w:p>
      <w:pPr>
        <w:pStyle w:val="TextBody"/>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Item 17 ☐     Item 18 ☐</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val="false"/>
          <w:sz w:val="20"/>
        </w:rPr>
      </w:pPr>
      <w:r>
        <w:rPr>
          <w:rFonts w:ascii="Times New Roman;Times;serif" w:hAnsi="Times New Roman;Times;serif"/>
          <w:b w:val="false"/>
          <w:sz w:val="20"/>
        </w:rPr>
        <w:t>If this is an annual report, indicate by check mark whether the registrant is a shell company (as defined in Rule 12b-2 of the Exchange Act).</w:t>
      </w:r>
    </w:p>
    <w:p>
      <w:pPr>
        <w:pStyle w:val="TextBody"/>
        <w:bidi w:val="0"/>
        <w:spacing w:lineRule="auto" w:line="300" w:before="0" w:after="0"/>
        <w:jc w:val="both"/>
        <w:rPr/>
      </w:pPr>
      <w:r>
        <w:rPr/>
        <w:t> </w:t>
      </w:r>
    </w:p>
    <w:p>
      <w:pPr>
        <w:pStyle w:val="TextBody"/>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Yes ☐     No ☒</w:t>
      </w:r>
    </w:p>
    <w:p>
      <w:pPr>
        <w:pStyle w:val="TextBody"/>
        <w:bidi w:val="0"/>
        <w:spacing w:lineRule="auto" w:line="300" w:before="0" w:after="0"/>
        <w:jc w:val="center"/>
        <w:rPr/>
      </w:pPr>
      <w:r>
        <w:rPr/>
        <w:t> </w:t>
      </w:r>
    </w:p>
    <w:p>
      <w:pPr>
        <w:pStyle w:val="HorizontalLine"/>
        <w:bidi w:val="0"/>
        <w:spacing w:lineRule="auto" w:line="300" w:before="200" w:after="200"/>
        <w:jc w:val="left"/>
        <w:rPr/>
      </w:pPr>
      <w:r>
        <w:rPr/>
      </w:r>
    </w:p>
    <w:p>
      <w:pPr>
        <w:pStyle w:val="TextBody"/>
        <w:bidi w:val="0"/>
        <w:spacing w:lineRule="auto" w:line="300" w:before="0" w:after="0"/>
        <w:ind w:left="6" w:right="0" w:hanging="0"/>
        <w:jc w:val="center"/>
        <w:rPr/>
      </w:pPr>
      <w:r>
        <w:rPr/>
        <w:t> </w:t>
      </w:r>
    </w:p>
    <w:p>
      <w:pPr>
        <w:pStyle w:val="TextBody"/>
        <w:bidi w:val="0"/>
        <w:spacing w:lineRule="auto" w:line="300" w:before="0" w:after="0"/>
        <w:ind w:left="6" w:right="0" w:hanging="0"/>
        <w:jc w:val="center"/>
        <w:rPr/>
      </w:pPr>
      <w:r>
        <w:rPr/>
        <w:t> </w:t>
      </w:r>
    </w:p>
    <w:p>
      <w:pPr>
        <w:pStyle w:val="TextBody"/>
        <w:bidi w:val="0"/>
        <w:spacing w:lineRule="auto" w:line="300" w:before="0" w:after="0"/>
        <w:jc w:val="left"/>
        <w:rPr/>
      </w:pPr>
      <w:r>
        <w:rPr/>
      </w:r>
    </w:p>
    <w:p>
      <w:pPr>
        <w:pStyle w:val="TextBody"/>
        <w:bidi w:val="0"/>
        <w:spacing w:lineRule="auto" w:line="300" w:before="0" w:after="0"/>
        <w:jc w:val="center"/>
        <w:rPr/>
      </w:pPr>
      <w:r>
        <w:rPr/>
        <w:drawing>
          <wp:inline distT="0" distB="0" distL="0" distR="0">
            <wp:extent cx="8486775" cy="12087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486775" cy="12087225"/>
                    </a:xfrm>
                    <a:prstGeom prst="rect">
                      <a:avLst/>
                    </a:prstGeom>
                  </pic:spPr>
                </pic:pic>
              </a:graphicData>
            </a:graphic>
          </wp:inline>
        </w:drawing>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pPr>
      <w:r>
        <w:rPr/>
        <w:drawing>
          <wp:inline distT="0" distB="0" distL="0" distR="0">
            <wp:extent cx="8562975" cy="12163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562975" cy="12163425"/>
                    </a:xfrm>
                    <a:prstGeom prst="rect">
                      <a:avLst/>
                    </a:prstGeom>
                  </pic:spPr>
                </pic:pic>
              </a:graphicData>
            </a:graphic>
          </wp:inline>
        </w:drawing>
      </w:r>
      <w:r>
        <w:rPr/>
        <w:t xml:space="preserve"> </w:t>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center"/>
        <w:rPr/>
      </w:pPr>
      <w:r>
        <w:rPr/>
        <w:drawing>
          <wp:inline distT="0" distB="0" distL="0" distR="0">
            <wp:extent cx="8562975" cy="12115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62975" cy="12115800"/>
                    </a:xfrm>
                    <a:prstGeom prst="rect">
                      <a:avLst/>
                    </a:prstGeom>
                  </pic:spPr>
                </pic:pic>
              </a:graphicData>
            </a:graphic>
          </wp:inline>
        </w:drawing>
      </w:r>
      <w:r>
        <w:rPr/>
        <w:t xml:space="preserve"> </w:t>
      </w:r>
    </w:p>
    <w:p>
      <w:pPr>
        <w:pStyle w:val="TextBody"/>
        <w:bidi w:val="0"/>
        <w:spacing w:lineRule="auto" w:line="300" w:before="0" w:after="0"/>
        <w:jc w:val="left"/>
        <w:rPr/>
      </w:pPr>
      <w:r>
        <w:rPr/>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pPr>
      <w:r>
        <w:rPr/>
        <w:drawing>
          <wp:inline distT="0" distB="0" distL="0" distR="0">
            <wp:extent cx="8553450" cy="12125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553450" cy="12125325"/>
                    </a:xfrm>
                    <a:prstGeom prst="rect">
                      <a:avLst/>
                    </a:prstGeom>
                  </pic:spPr>
                </pic:pic>
              </a:graphicData>
            </a:graphic>
          </wp:inline>
        </w:drawing>
      </w:r>
    </w:p>
    <w:p>
      <w:pPr>
        <w:pStyle w:val="TextBody"/>
        <w:bidi w:val="0"/>
        <w:spacing w:lineRule="auto" w:line="300" w:before="0" w:after="0"/>
        <w:jc w:val="left"/>
        <w:rPr/>
      </w:pPr>
      <w:r>
        <w:rPr/>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pPr>
      <w:r>
        <w:rPr/>
        <w:drawing>
          <wp:inline distT="0" distB="0" distL="0" distR="0">
            <wp:extent cx="8524875" cy="12115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524875" cy="12115800"/>
                    </a:xfrm>
                    <a:prstGeom prst="rect">
                      <a:avLst/>
                    </a:prstGeom>
                  </pic:spPr>
                </pic:pic>
              </a:graphicData>
            </a:graphic>
          </wp:inline>
        </w:drawing>
      </w:r>
    </w:p>
    <w:p>
      <w:pPr>
        <w:pStyle w:val="TextBody"/>
        <w:bidi w:val="0"/>
        <w:spacing w:lineRule="auto" w:line="300" w:before="0" w:after="0"/>
        <w:jc w:val="left"/>
        <w:rPr/>
      </w:pPr>
      <w:r>
        <w:rPr/>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center"/>
        <w:rPr/>
      </w:pPr>
      <w:r>
        <w:rPr/>
        <w:drawing>
          <wp:inline distT="0" distB="0" distL="0" distR="0">
            <wp:extent cx="8524875" cy="121348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524875" cy="12134850"/>
                    </a:xfrm>
                    <a:prstGeom prst="rect">
                      <a:avLst/>
                    </a:prstGeom>
                  </pic:spPr>
                </pic:pic>
              </a:graphicData>
            </a:graphic>
          </wp:inline>
        </w:drawing>
      </w:r>
    </w:p>
    <w:p>
      <w:pPr>
        <w:pStyle w:val="TextBody"/>
        <w:bidi w:val="0"/>
        <w:spacing w:lineRule="auto" w:line="300"/>
        <w:jc w:val="left"/>
        <w:rPr/>
      </w:pPr>
      <w:r>
        <w:rPr/>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center"/>
        <w:rPr/>
      </w:pPr>
      <w:r>
        <w:rPr/>
        <w:drawing>
          <wp:inline distT="0" distB="0" distL="0" distR="0">
            <wp:extent cx="8524875" cy="12115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524875" cy="12115800"/>
                    </a:xfrm>
                    <a:prstGeom prst="rect">
                      <a:avLst/>
                    </a:prstGeom>
                  </pic:spPr>
                </pic:pic>
              </a:graphicData>
            </a:graphic>
          </wp:inline>
        </w:drawing>
      </w:r>
    </w:p>
    <w:p>
      <w:pPr>
        <w:pStyle w:val="TextBody"/>
        <w:bidi w:val="0"/>
        <w:spacing w:lineRule="auto" w:line="300" w:before="0" w:after="0"/>
        <w:jc w:val="left"/>
        <w:rPr/>
      </w:pPr>
      <w:r>
        <w:rPr/>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pPr>
      <w:r>
        <w:rPr/>
        <w:drawing>
          <wp:inline distT="0" distB="0" distL="0" distR="0">
            <wp:extent cx="8467725" cy="120967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467725" cy="12096750"/>
                    </a:xfrm>
                    <a:prstGeom prst="rect">
                      <a:avLst/>
                    </a:prstGeom>
                  </pic:spPr>
                </pic:pic>
              </a:graphicData>
            </a:graphic>
          </wp:inline>
        </w:drawing>
      </w:r>
    </w:p>
    <w:p>
      <w:pPr>
        <w:pStyle w:val="TextBody"/>
        <w:bidi w:val="0"/>
        <w:spacing w:lineRule="auto" w:line="300" w:before="0" w:after="0"/>
        <w:jc w:val="left"/>
        <w:rPr/>
      </w:pPr>
      <w:r>
        <w:rPr/>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pPr>
      <w:r>
        <w:rPr/>
        <w:drawing>
          <wp:inline distT="0" distB="0" distL="0" distR="0">
            <wp:extent cx="8410575" cy="12039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410575" cy="12039600"/>
                    </a:xfrm>
                    <a:prstGeom prst="rect">
                      <a:avLst/>
                    </a:prstGeom>
                  </pic:spPr>
                </pic:pic>
              </a:graphicData>
            </a:graphic>
          </wp:inline>
        </w:drawing>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HorizontalLine"/>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pPr>
      <w:r>
        <w:rPr/>
        <w:drawing>
          <wp:inline distT="0" distB="0" distL="0" distR="0">
            <wp:extent cx="8439150" cy="119348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439150" cy="11934825"/>
                    </a:xfrm>
                    <a:prstGeom prst="rect">
                      <a:avLst/>
                    </a:prstGeom>
                  </pic:spPr>
                </pic:pic>
              </a:graphicData>
            </a:graphic>
          </wp:inline>
        </w:drawing>
      </w:r>
    </w:p>
    <w:p>
      <w:pPr>
        <w:pStyle w:val="TextBody"/>
        <w:bidi w:val="0"/>
        <w:spacing w:lineRule="auto" w:line="300" w:before="0" w:after="0"/>
        <w:jc w:val="left"/>
        <w:rPr/>
      </w:pPr>
      <w:r>
        <w:rPr/>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4" w:name="z467712bc32314086a0eb0b27eb377f19"/>
      <w:bookmarkStart w:id="5" w:name="z467712bc32314086a0eb0b27eb377f19"/>
      <w:bookmarkEnd w:id="5"/>
    </w:p>
    <w:tbl>
      <w:tblPr>
        <w:tblW w:w="9594" w:type="dxa"/>
        <w:jc w:val="left"/>
        <w:tblInd w:w="0" w:type="dxa"/>
        <w:tblLayout w:type="fixed"/>
        <w:tblCellMar>
          <w:top w:w="30" w:type="dxa"/>
          <w:left w:w="30" w:type="dxa"/>
          <w:bottom w:w="30" w:type="dxa"/>
          <w:right w:w="30" w:type="dxa"/>
        </w:tblCellMar>
      </w:tblPr>
      <w:tblGrid>
        <w:gridCol w:w="332"/>
        <w:gridCol w:w="8942"/>
        <w:gridCol w:w="320"/>
      </w:tblGrid>
      <w:tr>
        <w:trPr/>
        <w:tc>
          <w:tcPr>
            <w:tcW w:w="9274" w:type="dxa"/>
            <w:gridSpan w:val="2"/>
            <w:tcBorders/>
            <w:vAlign w:val="center"/>
          </w:tcPr>
          <w:p>
            <w:pPr>
              <w:pStyle w:val="TableContents"/>
              <w:bidi w:val="0"/>
              <w:spacing w:lineRule="auto" w:line="300" w:before="0" w:after="0"/>
              <w:jc w:val="left"/>
              <w:rPr/>
            </w:pPr>
            <w:hyperlink w:anchor="INTRODUCTION">
              <w:r>
                <w:rPr>
                  <w:rStyle w:val="InternetLink"/>
                  <w:b/>
                </w:rPr>
                <w:t>INTRODUCTION</w:t>
              </w:r>
            </w:hyperlink>
          </w:p>
        </w:tc>
        <w:tc>
          <w:tcPr>
            <w:tcW w:w="320" w:type="dxa"/>
            <w:tcBorders/>
            <w:vAlign w:val="center"/>
          </w:tcPr>
          <w:p>
            <w:pPr>
              <w:pStyle w:val="TableContents"/>
              <w:bidi w:val="0"/>
              <w:spacing w:lineRule="auto" w:line="300" w:before="0" w:after="0"/>
              <w:jc w:val="left"/>
              <w:rPr/>
            </w:pPr>
            <w:r>
              <w:rPr/>
              <w:t>1</w:t>
            </w:r>
          </w:p>
        </w:tc>
      </w:tr>
      <w:tr>
        <w:trPr/>
        <w:tc>
          <w:tcPr>
            <w:tcW w:w="9274" w:type="dxa"/>
            <w:gridSpan w:val="2"/>
            <w:tcBorders/>
            <w:vAlign w:val="center"/>
          </w:tcPr>
          <w:p>
            <w:pPr>
              <w:pStyle w:val="TableContents"/>
              <w:bidi w:val="0"/>
              <w:spacing w:lineRule="auto" w:line="300" w:before="0" w:after="0"/>
              <w:jc w:val="left"/>
              <w:rPr/>
            </w:pPr>
            <w:hyperlink w:anchor="CAUTIONARY">
              <w:r>
                <w:rPr>
                  <w:rStyle w:val="InternetLink"/>
                  <w:b/>
                </w:rPr>
                <w:t>CAUTIONARY STATEMENT REGARDING FORWARD-LOOKING STATEMENTS</w:t>
              </w:r>
            </w:hyperlink>
          </w:p>
        </w:tc>
        <w:tc>
          <w:tcPr>
            <w:tcW w:w="320" w:type="dxa"/>
            <w:tcBorders/>
            <w:vAlign w:val="center"/>
          </w:tcPr>
          <w:p>
            <w:pPr>
              <w:pStyle w:val="TableContents"/>
              <w:bidi w:val="0"/>
              <w:spacing w:lineRule="auto" w:line="300" w:before="0" w:after="0"/>
              <w:jc w:val="left"/>
              <w:rPr/>
            </w:pPr>
            <w:r>
              <w:rPr/>
              <w:t>1</w:t>
            </w:r>
          </w:p>
        </w:tc>
      </w:tr>
      <w:tr>
        <w:trPr/>
        <w:tc>
          <w:tcPr>
            <w:tcW w:w="9274" w:type="dxa"/>
            <w:gridSpan w:val="2"/>
            <w:tcBorders/>
            <w:vAlign w:val="center"/>
          </w:tcPr>
          <w:p>
            <w:pPr>
              <w:pStyle w:val="TableContents"/>
              <w:bidi w:val="0"/>
              <w:spacing w:lineRule="auto" w:line="300" w:before="0" w:after="0"/>
              <w:jc w:val="left"/>
              <w:rPr/>
            </w:pPr>
            <w:hyperlink w:anchor="PRESENTATION">
              <w:r>
                <w:rPr>
                  <w:rStyle w:val="InternetLink"/>
                  <w:b/>
                </w:rPr>
                <w:t>PRESENTATION OF FINANCIAL AND OTHER INFORMATION</w:t>
              </w:r>
            </w:hyperlink>
          </w:p>
        </w:tc>
        <w:tc>
          <w:tcPr>
            <w:tcW w:w="320" w:type="dxa"/>
            <w:tcBorders/>
            <w:vAlign w:val="center"/>
          </w:tcPr>
          <w:p>
            <w:pPr>
              <w:pStyle w:val="TableContents"/>
              <w:bidi w:val="0"/>
              <w:spacing w:before="0" w:after="283"/>
              <w:jc w:val="left"/>
              <w:rPr/>
            </w:pPr>
            <w:r>
              <w:rPr/>
              <w:t>3</w:t>
            </w:r>
          </w:p>
        </w:tc>
      </w:tr>
      <w:tr>
        <w:trPr/>
        <w:tc>
          <w:tcPr>
            <w:tcW w:w="9274" w:type="dxa"/>
            <w:gridSpan w:val="2"/>
            <w:tcBorders/>
            <w:vAlign w:val="center"/>
          </w:tcPr>
          <w:p>
            <w:pPr>
              <w:pStyle w:val="TableContents"/>
              <w:bidi w:val="0"/>
              <w:spacing w:lineRule="auto" w:line="300" w:before="0" w:after="0"/>
              <w:jc w:val="left"/>
              <w:rPr/>
            </w:pPr>
            <w:hyperlink w:anchor="PARTI">
              <w:r>
                <w:rPr>
                  <w:rStyle w:val="InternetLink"/>
                  <w:b/>
                </w:rPr>
                <w:t>PART I</w:t>
              </w:r>
            </w:hyperlink>
          </w:p>
        </w:tc>
        <w:tc>
          <w:tcPr>
            <w:tcW w:w="320" w:type="dxa"/>
            <w:tcBorders/>
            <w:vAlign w:val="center"/>
          </w:tcPr>
          <w:p>
            <w:pPr>
              <w:pStyle w:val="TableContents"/>
              <w:bidi w:val="0"/>
              <w:spacing w:lineRule="auto" w:line="300" w:before="0" w:after="0"/>
              <w:jc w:val="left"/>
              <w:rPr/>
            </w:pPr>
            <w:r>
              <w:rPr/>
              <w:t>3</w:t>
            </w:r>
          </w:p>
        </w:tc>
      </w:tr>
      <w:tr>
        <w:trPr/>
        <w:tc>
          <w:tcPr>
            <w:tcW w:w="9274" w:type="dxa"/>
            <w:gridSpan w:val="2"/>
            <w:tcBorders/>
            <w:vAlign w:val="center"/>
          </w:tcPr>
          <w:p>
            <w:pPr>
              <w:pStyle w:val="TableContents"/>
              <w:bidi w:val="0"/>
              <w:spacing w:lineRule="auto" w:line="300" w:before="0" w:after="0"/>
              <w:jc w:val="left"/>
              <w:rPr/>
            </w:pPr>
            <w:hyperlink w:anchor="Item1">
              <w:r>
                <w:rPr>
                  <w:rStyle w:val="InternetLink"/>
                  <w:b/>
                </w:rPr>
                <w:t>ITEM 1. IDENTITY OF DIRECTORS, SENIOR MANAGEMENT AND ADVISERS</w:t>
              </w:r>
            </w:hyperlink>
          </w:p>
        </w:tc>
        <w:tc>
          <w:tcPr>
            <w:tcW w:w="320" w:type="dxa"/>
            <w:tcBorders/>
            <w:vAlign w:val="center"/>
          </w:tcPr>
          <w:p>
            <w:pPr>
              <w:pStyle w:val="TableContents"/>
              <w:bidi w:val="0"/>
              <w:spacing w:lineRule="auto" w:line="300" w:before="0" w:after="0"/>
              <w:jc w:val="left"/>
              <w:rPr/>
            </w:pPr>
            <w:r>
              <w:rPr/>
              <w:t>3</w:t>
            </w:r>
          </w:p>
        </w:tc>
      </w:tr>
      <w:tr>
        <w:trPr/>
        <w:tc>
          <w:tcPr>
            <w:tcW w:w="9274" w:type="dxa"/>
            <w:gridSpan w:val="2"/>
            <w:tcBorders/>
            <w:vAlign w:val="center"/>
          </w:tcPr>
          <w:p>
            <w:pPr>
              <w:pStyle w:val="TableContents"/>
              <w:bidi w:val="0"/>
              <w:spacing w:lineRule="auto" w:line="300" w:before="0" w:after="0"/>
              <w:jc w:val="left"/>
              <w:rPr/>
            </w:pPr>
            <w:hyperlink w:anchor="Item2">
              <w:r>
                <w:rPr>
                  <w:rStyle w:val="InternetLink"/>
                  <w:b/>
                </w:rPr>
                <w:t>ITEM 2. OFFER STATISTICS AND EXPECTED TIMETABLE</w:t>
              </w:r>
            </w:hyperlink>
          </w:p>
        </w:tc>
        <w:tc>
          <w:tcPr>
            <w:tcW w:w="320" w:type="dxa"/>
            <w:tcBorders/>
            <w:vAlign w:val="center"/>
          </w:tcPr>
          <w:p>
            <w:pPr>
              <w:pStyle w:val="TableContents"/>
              <w:bidi w:val="0"/>
              <w:spacing w:lineRule="auto" w:line="300" w:before="0" w:after="0"/>
              <w:jc w:val="left"/>
              <w:rPr/>
            </w:pPr>
            <w:r>
              <w:rPr/>
              <w:t>3</w:t>
            </w:r>
          </w:p>
        </w:tc>
      </w:tr>
      <w:tr>
        <w:trPr/>
        <w:tc>
          <w:tcPr>
            <w:tcW w:w="9274" w:type="dxa"/>
            <w:gridSpan w:val="2"/>
            <w:tcBorders/>
            <w:vAlign w:val="center"/>
          </w:tcPr>
          <w:p>
            <w:pPr>
              <w:pStyle w:val="TableContents"/>
              <w:bidi w:val="0"/>
              <w:spacing w:lineRule="auto" w:line="300" w:before="0" w:after="0"/>
              <w:jc w:val="left"/>
              <w:rPr/>
            </w:pPr>
            <w:hyperlink w:anchor="Item3">
              <w:r>
                <w:rPr>
                  <w:rStyle w:val="InternetLink"/>
                  <w:b/>
                </w:rPr>
                <w:t>ITEM 3. KEY INFORMATION</w:t>
              </w:r>
            </w:hyperlink>
          </w:p>
        </w:tc>
        <w:tc>
          <w:tcPr>
            <w:tcW w:w="320" w:type="dxa"/>
            <w:tcBorders/>
            <w:vAlign w:val="center"/>
          </w:tcPr>
          <w:p>
            <w:pPr>
              <w:pStyle w:val="TableContents"/>
              <w:bidi w:val="0"/>
              <w:spacing w:lineRule="auto" w:line="300" w:before="0" w:after="0"/>
              <w:jc w:val="left"/>
              <w:rPr/>
            </w:pPr>
            <w:r>
              <w:rPr/>
              <w:t>3</w:t>
            </w:r>
          </w:p>
        </w:tc>
      </w:tr>
      <w:tr>
        <w:trPr/>
        <w:tc>
          <w:tcPr>
            <w:tcW w:w="332" w:type="dxa"/>
            <w:tcBorders/>
            <w:vAlign w:val="center"/>
          </w:tcPr>
          <w:p>
            <w:pPr>
              <w:pStyle w:val="TableContents"/>
              <w:bidi w:val="0"/>
              <w:spacing w:lineRule="auto" w:line="300" w:before="0" w:after="0"/>
              <w:jc w:val="left"/>
              <w:rPr>
                <w:b/>
              </w:rPr>
            </w:pPr>
            <w:r>
              <w:rPr>
                <w:b/>
              </w:rPr>
              <w:t>A.</w:t>
            </w:r>
          </w:p>
        </w:tc>
        <w:tc>
          <w:tcPr>
            <w:tcW w:w="8942" w:type="dxa"/>
            <w:tcBorders/>
            <w:vAlign w:val="center"/>
          </w:tcPr>
          <w:p>
            <w:pPr>
              <w:pStyle w:val="TableContents"/>
              <w:bidi w:val="0"/>
              <w:spacing w:lineRule="auto" w:line="300" w:before="0" w:after="0"/>
              <w:jc w:val="left"/>
              <w:rPr>
                <w:b/>
              </w:rPr>
            </w:pPr>
            <w:r>
              <w:rPr>
                <w:b/>
              </w:rPr>
              <w:t>[Reserved.]</w:t>
            </w:r>
          </w:p>
        </w:tc>
        <w:tc>
          <w:tcPr>
            <w:tcW w:w="320" w:type="dxa"/>
            <w:tcBorders/>
            <w:vAlign w:val="center"/>
          </w:tcPr>
          <w:p>
            <w:pPr>
              <w:pStyle w:val="TableContents"/>
              <w:bidi w:val="0"/>
              <w:spacing w:lineRule="auto" w:line="300" w:before="0" w:after="0"/>
              <w:jc w:val="left"/>
              <w:rPr/>
            </w:pPr>
            <w:r>
              <w:rPr/>
              <w:t>3</w:t>
            </w:r>
          </w:p>
        </w:tc>
      </w:tr>
      <w:tr>
        <w:trPr/>
        <w:tc>
          <w:tcPr>
            <w:tcW w:w="332" w:type="dxa"/>
            <w:tcBorders/>
            <w:vAlign w:val="center"/>
          </w:tcPr>
          <w:p>
            <w:pPr>
              <w:pStyle w:val="TableContents"/>
              <w:bidi w:val="0"/>
              <w:spacing w:lineRule="auto" w:line="300" w:before="0" w:after="0"/>
              <w:jc w:val="left"/>
              <w:rPr>
                <w:b/>
              </w:rPr>
            </w:pPr>
            <w:r>
              <w:rPr>
                <w:b/>
              </w:rPr>
              <w:t>B.</w:t>
            </w:r>
          </w:p>
        </w:tc>
        <w:tc>
          <w:tcPr>
            <w:tcW w:w="8942" w:type="dxa"/>
            <w:tcBorders/>
            <w:vAlign w:val="center"/>
          </w:tcPr>
          <w:p>
            <w:pPr>
              <w:pStyle w:val="TableContents"/>
              <w:bidi w:val="0"/>
              <w:spacing w:lineRule="auto" w:line="300" w:before="0" w:after="0"/>
              <w:jc w:val="left"/>
              <w:rPr>
                <w:b/>
              </w:rPr>
            </w:pPr>
            <w:r>
              <w:rPr>
                <w:b/>
              </w:rPr>
              <w:t>Capitalization and Indebtedness</w:t>
            </w:r>
          </w:p>
        </w:tc>
        <w:tc>
          <w:tcPr>
            <w:tcW w:w="320" w:type="dxa"/>
            <w:tcBorders/>
            <w:vAlign w:val="center"/>
          </w:tcPr>
          <w:p>
            <w:pPr>
              <w:pStyle w:val="TableContents"/>
              <w:bidi w:val="0"/>
              <w:spacing w:lineRule="auto" w:line="300" w:before="0" w:after="0"/>
              <w:jc w:val="left"/>
              <w:rPr/>
            </w:pPr>
            <w:r>
              <w:rPr/>
              <w:t>3</w:t>
            </w:r>
          </w:p>
        </w:tc>
      </w:tr>
      <w:tr>
        <w:trPr/>
        <w:tc>
          <w:tcPr>
            <w:tcW w:w="332" w:type="dxa"/>
            <w:tcBorders/>
            <w:vAlign w:val="center"/>
          </w:tcPr>
          <w:p>
            <w:pPr>
              <w:pStyle w:val="TableContents"/>
              <w:bidi w:val="0"/>
              <w:spacing w:lineRule="auto" w:line="300" w:before="0" w:after="0"/>
              <w:jc w:val="left"/>
              <w:rPr>
                <w:b/>
              </w:rPr>
            </w:pPr>
            <w:r>
              <w:rPr>
                <w:b/>
              </w:rPr>
              <w:t>C.</w:t>
            </w:r>
          </w:p>
        </w:tc>
        <w:tc>
          <w:tcPr>
            <w:tcW w:w="8942" w:type="dxa"/>
            <w:tcBorders/>
            <w:vAlign w:val="center"/>
          </w:tcPr>
          <w:p>
            <w:pPr>
              <w:pStyle w:val="TableContents"/>
              <w:bidi w:val="0"/>
              <w:spacing w:lineRule="auto" w:line="300" w:before="0" w:after="0"/>
              <w:jc w:val="left"/>
              <w:rPr>
                <w:b/>
              </w:rPr>
            </w:pPr>
            <w:r>
              <w:rPr>
                <w:b/>
              </w:rPr>
              <w:t>Reasons for the Offer and Use of Proceeds</w:t>
            </w:r>
          </w:p>
        </w:tc>
        <w:tc>
          <w:tcPr>
            <w:tcW w:w="320" w:type="dxa"/>
            <w:tcBorders/>
            <w:vAlign w:val="center"/>
          </w:tcPr>
          <w:p>
            <w:pPr>
              <w:pStyle w:val="TableContents"/>
              <w:bidi w:val="0"/>
              <w:spacing w:lineRule="auto" w:line="300" w:before="0" w:after="0"/>
              <w:jc w:val="left"/>
              <w:rPr/>
            </w:pPr>
            <w:r>
              <w:rPr/>
              <w:t>3</w:t>
            </w:r>
          </w:p>
        </w:tc>
      </w:tr>
      <w:tr>
        <w:trPr/>
        <w:tc>
          <w:tcPr>
            <w:tcW w:w="332" w:type="dxa"/>
            <w:tcBorders/>
            <w:vAlign w:val="center"/>
          </w:tcPr>
          <w:p>
            <w:pPr>
              <w:pStyle w:val="TableContents"/>
              <w:bidi w:val="0"/>
              <w:spacing w:lineRule="auto" w:line="300" w:before="0" w:after="0"/>
              <w:jc w:val="left"/>
              <w:rPr>
                <w:b/>
              </w:rPr>
            </w:pPr>
            <w:r>
              <w:rPr>
                <w:b/>
              </w:rPr>
              <w:t>D.</w:t>
            </w:r>
          </w:p>
        </w:tc>
        <w:tc>
          <w:tcPr>
            <w:tcW w:w="8942" w:type="dxa"/>
            <w:tcBorders/>
            <w:vAlign w:val="center"/>
          </w:tcPr>
          <w:p>
            <w:pPr>
              <w:pStyle w:val="TableContents"/>
              <w:bidi w:val="0"/>
              <w:spacing w:lineRule="auto" w:line="300" w:before="0" w:after="0"/>
              <w:jc w:val="left"/>
              <w:rPr>
                <w:b/>
              </w:rPr>
            </w:pPr>
            <w:r>
              <w:rPr>
                <w:b/>
              </w:rPr>
              <w:t>Risk Factors</w:t>
            </w:r>
          </w:p>
        </w:tc>
        <w:tc>
          <w:tcPr>
            <w:tcW w:w="320" w:type="dxa"/>
            <w:tcBorders/>
            <w:vAlign w:val="center"/>
          </w:tcPr>
          <w:p>
            <w:pPr>
              <w:pStyle w:val="TableContents"/>
              <w:bidi w:val="0"/>
              <w:spacing w:before="0" w:after="283"/>
              <w:jc w:val="left"/>
              <w:rPr/>
            </w:pPr>
            <w:r>
              <w:rPr/>
              <w:t>4</w:t>
            </w:r>
          </w:p>
        </w:tc>
      </w:tr>
      <w:tr>
        <w:trPr/>
        <w:tc>
          <w:tcPr>
            <w:tcW w:w="9274" w:type="dxa"/>
            <w:gridSpan w:val="2"/>
            <w:tcBorders/>
            <w:vAlign w:val="center"/>
          </w:tcPr>
          <w:p>
            <w:pPr>
              <w:pStyle w:val="TableContents"/>
              <w:bidi w:val="0"/>
              <w:spacing w:lineRule="auto" w:line="300" w:before="0" w:after="0"/>
              <w:jc w:val="left"/>
              <w:rPr/>
            </w:pPr>
            <w:hyperlink w:anchor="Item4">
              <w:r>
                <w:rPr>
                  <w:rStyle w:val="InternetLink"/>
                  <w:b/>
                </w:rPr>
                <w:t>ITEM 4. INFORMATION ON THE COMPANY</w:t>
              </w:r>
            </w:hyperlink>
          </w:p>
        </w:tc>
        <w:tc>
          <w:tcPr>
            <w:tcW w:w="320" w:type="dxa"/>
            <w:tcBorders/>
            <w:vAlign w:val="center"/>
          </w:tcPr>
          <w:p>
            <w:pPr>
              <w:pStyle w:val="TableContents"/>
              <w:bidi w:val="0"/>
              <w:spacing w:before="0" w:after="283"/>
              <w:jc w:val="left"/>
              <w:rPr/>
            </w:pPr>
            <w:r>
              <w:rPr/>
              <w:t>40</w:t>
            </w:r>
          </w:p>
        </w:tc>
      </w:tr>
      <w:tr>
        <w:trPr/>
        <w:tc>
          <w:tcPr>
            <w:tcW w:w="332" w:type="dxa"/>
            <w:tcBorders/>
            <w:vAlign w:val="center"/>
          </w:tcPr>
          <w:p>
            <w:pPr>
              <w:pStyle w:val="TableContents"/>
              <w:bidi w:val="0"/>
              <w:spacing w:lineRule="auto" w:line="300" w:before="0" w:after="0"/>
              <w:jc w:val="left"/>
              <w:rPr>
                <w:b/>
              </w:rPr>
            </w:pPr>
            <w:r>
              <w:rPr>
                <w:b/>
              </w:rPr>
              <w:t>A.</w:t>
            </w:r>
          </w:p>
        </w:tc>
        <w:tc>
          <w:tcPr>
            <w:tcW w:w="8942" w:type="dxa"/>
            <w:tcBorders/>
            <w:vAlign w:val="center"/>
          </w:tcPr>
          <w:p>
            <w:pPr>
              <w:pStyle w:val="TableContents"/>
              <w:bidi w:val="0"/>
              <w:spacing w:lineRule="auto" w:line="300" w:before="0" w:after="0"/>
              <w:jc w:val="left"/>
              <w:rPr>
                <w:b/>
              </w:rPr>
            </w:pPr>
            <w:r>
              <w:rPr>
                <w:b/>
              </w:rPr>
              <w:t>History and Development of the Company</w:t>
            </w:r>
          </w:p>
        </w:tc>
        <w:tc>
          <w:tcPr>
            <w:tcW w:w="320" w:type="dxa"/>
            <w:tcBorders/>
            <w:vAlign w:val="center"/>
          </w:tcPr>
          <w:p>
            <w:pPr>
              <w:pStyle w:val="TableContents"/>
              <w:bidi w:val="0"/>
              <w:spacing w:lineRule="auto" w:line="300" w:before="0" w:after="0"/>
              <w:jc w:val="left"/>
              <w:rPr/>
            </w:pPr>
            <w:r>
              <w:rPr/>
              <w:t>40</w:t>
            </w:r>
          </w:p>
        </w:tc>
      </w:tr>
      <w:tr>
        <w:trPr/>
        <w:tc>
          <w:tcPr>
            <w:tcW w:w="332" w:type="dxa"/>
            <w:tcBorders/>
            <w:vAlign w:val="center"/>
          </w:tcPr>
          <w:p>
            <w:pPr>
              <w:pStyle w:val="TableContents"/>
              <w:bidi w:val="0"/>
              <w:spacing w:lineRule="auto" w:line="300" w:before="0" w:after="0"/>
              <w:jc w:val="left"/>
              <w:rPr>
                <w:b/>
              </w:rPr>
            </w:pPr>
            <w:r>
              <w:rPr>
                <w:b/>
              </w:rPr>
              <w:t>B.</w:t>
            </w:r>
          </w:p>
        </w:tc>
        <w:tc>
          <w:tcPr>
            <w:tcW w:w="8942" w:type="dxa"/>
            <w:tcBorders/>
            <w:vAlign w:val="center"/>
          </w:tcPr>
          <w:p>
            <w:pPr>
              <w:pStyle w:val="TableContents"/>
              <w:bidi w:val="0"/>
              <w:spacing w:lineRule="auto" w:line="300" w:before="0" w:after="0"/>
              <w:jc w:val="left"/>
              <w:rPr>
                <w:b/>
              </w:rPr>
            </w:pPr>
            <w:r>
              <w:rPr>
                <w:b/>
              </w:rPr>
              <w:t>Business Overview</w:t>
            </w:r>
          </w:p>
        </w:tc>
        <w:tc>
          <w:tcPr>
            <w:tcW w:w="320" w:type="dxa"/>
            <w:tcBorders/>
            <w:vAlign w:val="center"/>
          </w:tcPr>
          <w:p>
            <w:pPr>
              <w:pStyle w:val="TableContents"/>
              <w:bidi w:val="0"/>
              <w:spacing w:lineRule="auto" w:line="300" w:before="0" w:after="0"/>
              <w:jc w:val="left"/>
              <w:rPr/>
            </w:pPr>
            <w:r>
              <w:rPr/>
              <w:t>41</w:t>
            </w:r>
          </w:p>
        </w:tc>
      </w:tr>
      <w:tr>
        <w:trPr/>
        <w:tc>
          <w:tcPr>
            <w:tcW w:w="332" w:type="dxa"/>
            <w:tcBorders/>
            <w:vAlign w:val="center"/>
          </w:tcPr>
          <w:p>
            <w:pPr>
              <w:pStyle w:val="TableContents"/>
              <w:bidi w:val="0"/>
              <w:spacing w:lineRule="auto" w:line="300" w:before="0" w:after="0"/>
              <w:jc w:val="left"/>
              <w:rPr>
                <w:b/>
              </w:rPr>
            </w:pPr>
            <w:r>
              <w:rPr>
                <w:b/>
              </w:rPr>
              <w:t>C.</w:t>
            </w:r>
          </w:p>
        </w:tc>
        <w:tc>
          <w:tcPr>
            <w:tcW w:w="8942" w:type="dxa"/>
            <w:tcBorders/>
            <w:vAlign w:val="center"/>
          </w:tcPr>
          <w:p>
            <w:pPr>
              <w:pStyle w:val="TableContents"/>
              <w:bidi w:val="0"/>
              <w:spacing w:lineRule="auto" w:line="300" w:before="0" w:after="0"/>
              <w:jc w:val="left"/>
              <w:rPr>
                <w:b/>
              </w:rPr>
            </w:pPr>
            <w:r>
              <w:rPr>
                <w:b/>
              </w:rPr>
              <w:t>Organizational Structure</w:t>
            </w:r>
          </w:p>
        </w:tc>
        <w:tc>
          <w:tcPr>
            <w:tcW w:w="320" w:type="dxa"/>
            <w:tcBorders/>
            <w:vAlign w:val="center"/>
          </w:tcPr>
          <w:p>
            <w:pPr>
              <w:pStyle w:val="TableContents"/>
              <w:bidi w:val="0"/>
              <w:spacing w:lineRule="auto" w:line="300" w:before="0" w:after="0"/>
              <w:jc w:val="left"/>
              <w:rPr/>
            </w:pPr>
            <w:r>
              <w:rPr/>
              <w:t>57</w:t>
            </w:r>
          </w:p>
        </w:tc>
      </w:tr>
      <w:tr>
        <w:trPr/>
        <w:tc>
          <w:tcPr>
            <w:tcW w:w="332" w:type="dxa"/>
            <w:tcBorders/>
            <w:vAlign w:val="center"/>
          </w:tcPr>
          <w:p>
            <w:pPr>
              <w:pStyle w:val="TableContents"/>
              <w:bidi w:val="0"/>
              <w:spacing w:lineRule="auto" w:line="300" w:before="0" w:after="0"/>
              <w:jc w:val="left"/>
              <w:rPr>
                <w:b/>
              </w:rPr>
            </w:pPr>
            <w:r>
              <w:rPr>
                <w:b/>
              </w:rPr>
              <w:t>D.</w:t>
            </w:r>
          </w:p>
        </w:tc>
        <w:tc>
          <w:tcPr>
            <w:tcW w:w="8942" w:type="dxa"/>
            <w:tcBorders/>
            <w:vAlign w:val="center"/>
          </w:tcPr>
          <w:p>
            <w:pPr>
              <w:pStyle w:val="TableContents"/>
              <w:bidi w:val="0"/>
              <w:spacing w:lineRule="auto" w:line="300" w:before="0" w:after="0"/>
              <w:jc w:val="left"/>
              <w:rPr>
                <w:b/>
              </w:rPr>
            </w:pPr>
            <w:r>
              <w:rPr>
                <w:b/>
              </w:rPr>
              <w:t>Property, Plants and Equipment</w:t>
            </w:r>
          </w:p>
        </w:tc>
        <w:tc>
          <w:tcPr>
            <w:tcW w:w="320" w:type="dxa"/>
            <w:tcBorders/>
            <w:vAlign w:val="center"/>
          </w:tcPr>
          <w:p>
            <w:pPr>
              <w:pStyle w:val="TableContents"/>
              <w:bidi w:val="0"/>
              <w:spacing w:before="0" w:after="283"/>
              <w:jc w:val="left"/>
              <w:rPr/>
            </w:pPr>
            <w:r>
              <w:rPr/>
              <w:t>58</w:t>
            </w:r>
          </w:p>
        </w:tc>
      </w:tr>
      <w:tr>
        <w:trPr/>
        <w:tc>
          <w:tcPr>
            <w:tcW w:w="9274" w:type="dxa"/>
            <w:gridSpan w:val="2"/>
            <w:tcBorders/>
            <w:vAlign w:val="center"/>
          </w:tcPr>
          <w:p>
            <w:pPr>
              <w:pStyle w:val="TableContents"/>
              <w:bidi w:val="0"/>
              <w:spacing w:lineRule="auto" w:line="300" w:before="0" w:after="0"/>
              <w:jc w:val="left"/>
              <w:rPr/>
            </w:pPr>
            <w:hyperlink w:anchor="Item4A">
              <w:r>
                <w:rPr>
                  <w:rStyle w:val="InternetLink"/>
                  <w:b/>
                </w:rPr>
                <w:t>ITEM 4A. UNRESOLVED STAFF COMMENTS</w:t>
              </w:r>
            </w:hyperlink>
          </w:p>
        </w:tc>
        <w:tc>
          <w:tcPr>
            <w:tcW w:w="320" w:type="dxa"/>
            <w:tcBorders/>
            <w:vAlign w:val="center"/>
          </w:tcPr>
          <w:p>
            <w:pPr>
              <w:pStyle w:val="TableContents"/>
              <w:bidi w:val="0"/>
              <w:spacing w:lineRule="auto" w:line="300" w:before="0" w:after="0"/>
              <w:jc w:val="left"/>
              <w:rPr/>
            </w:pPr>
            <w:r>
              <w:rPr/>
              <w:t>58</w:t>
            </w:r>
          </w:p>
        </w:tc>
      </w:tr>
      <w:tr>
        <w:trPr/>
        <w:tc>
          <w:tcPr>
            <w:tcW w:w="9274" w:type="dxa"/>
            <w:gridSpan w:val="2"/>
            <w:tcBorders/>
            <w:vAlign w:val="center"/>
          </w:tcPr>
          <w:p>
            <w:pPr>
              <w:pStyle w:val="TableContents"/>
              <w:bidi w:val="0"/>
              <w:spacing w:lineRule="auto" w:line="300" w:before="0" w:after="0"/>
              <w:jc w:val="left"/>
              <w:rPr/>
            </w:pPr>
            <w:hyperlink w:anchor="Item5">
              <w:r>
                <w:rPr>
                  <w:rStyle w:val="InternetLink"/>
                  <w:b/>
                </w:rPr>
                <w:t>ITEM 5. OPERATING AND FINANCIAL REVIEW AND PROSPECTS</w:t>
              </w:r>
            </w:hyperlink>
          </w:p>
        </w:tc>
        <w:tc>
          <w:tcPr>
            <w:tcW w:w="320" w:type="dxa"/>
            <w:tcBorders/>
            <w:vAlign w:val="center"/>
          </w:tcPr>
          <w:p>
            <w:pPr>
              <w:pStyle w:val="TableContents"/>
              <w:bidi w:val="0"/>
              <w:spacing w:before="0" w:after="283"/>
              <w:jc w:val="left"/>
              <w:rPr/>
            </w:pPr>
            <w:r>
              <w:rPr/>
              <w:t>58</w:t>
            </w:r>
          </w:p>
        </w:tc>
      </w:tr>
      <w:tr>
        <w:trPr/>
        <w:tc>
          <w:tcPr>
            <w:tcW w:w="332" w:type="dxa"/>
            <w:tcBorders/>
            <w:vAlign w:val="center"/>
          </w:tcPr>
          <w:p>
            <w:pPr>
              <w:pStyle w:val="TableContents"/>
              <w:bidi w:val="0"/>
              <w:spacing w:lineRule="auto" w:line="300" w:before="0" w:after="0"/>
              <w:jc w:val="left"/>
              <w:rPr>
                <w:b/>
              </w:rPr>
            </w:pPr>
            <w:r>
              <w:rPr>
                <w:b/>
              </w:rPr>
              <w:t>A.</w:t>
            </w:r>
          </w:p>
        </w:tc>
        <w:tc>
          <w:tcPr>
            <w:tcW w:w="8942" w:type="dxa"/>
            <w:tcBorders/>
            <w:vAlign w:val="center"/>
          </w:tcPr>
          <w:p>
            <w:pPr>
              <w:pStyle w:val="TableContents"/>
              <w:bidi w:val="0"/>
              <w:spacing w:lineRule="auto" w:line="300" w:before="0" w:after="0"/>
              <w:jc w:val="left"/>
              <w:rPr>
                <w:b/>
              </w:rPr>
            </w:pPr>
            <w:r>
              <w:rPr>
                <w:b/>
              </w:rPr>
              <w:t>Operating Results</w:t>
            </w:r>
          </w:p>
        </w:tc>
        <w:tc>
          <w:tcPr>
            <w:tcW w:w="320" w:type="dxa"/>
            <w:tcBorders/>
            <w:vAlign w:val="center"/>
          </w:tcPr>
          <w:p>
            <w:pPr>
              <w:pStyle w:val="TableContents"/>
              <w:bidi w:val="0"/>
              <w:spacing w:before="0" w:after="283"/>
              <w:jc w:val="left"/>
              <w:rPr/>
            </w:pPr>
            <w:r>
              <w:rPr/>
              <w:t>64</w:t>
            </w:r>
          </w:p>
        </w:tc>
      </w:tr>
      <w:tr>
        <w:trPr/>
        <w:tc>
          <w:tcPr>
            <w:tcW w:w="332" w:type="dxa"/>
            <w:tcBorders/>
            <w:vAlign w:val="center"/>
          </w:tcPr>
          <w:p>
            <w:pPr>
              <w:pStyle w:val="TableContents"/>
              <w:bidi w:val="0"/>
              <w:spacing w:lineRule="auto" w:line="300" w:before="0" w:after="0"/>
              <w:jc w:val="left"/>
              <w:rPr>
                <w:b/>
              </w:rPr>
            </w:pPr>
            <w:r>
              <w:rPr>
                <w:b/>
              </w:rPr>
              <w:t>B.</w:t>
            </w:r>
          </w:p>
        </w:tc>
        <w:tc>
          <w:tcPr>
            <w:tcW w:w="8942" w:type="dxa"/>
            <w:tcBorders/>
            <w:vAlign w:val="center"/>
          </w:tcPr>
          <w:p>
            <w:pPr>
              <w:pStyle w:val="TableContents"/>
              <w:bidi w:val="0"/>
              <w:spacing w:lineRule="auto" w:line="300" w:before="0" w:after="0"/>
              <w:jc w:val="left"/>
              <w:rPr>
                <w:b/>
              </w:rPr>
            </w:pPr>
            <w:r>
              <w:rPr>
                <w:b/>
              </w:rPr>
              <w:t>Liquidity and Capital Resources</w:t>
            </w:r>
          </w:p>
        </w:tc>
        <w:tc>
          <w:tcPr>
            <w:tcW w:w="320" w:type="dxa"/>
            <w:tcBorders/>
            <w:vAlign w:val="center"/>
          </w:tcPr>
          <w:p>
            <w:pPr>
              <w:pStyle w:val="TableContents"/>
              <w:bidi w:val="0"/>
              <w:spacing w:before="0" w:after="283"/>
              <w:jc w:val="left"/>
              <w:rPr/>
            </w:pPr>
            <w:r>
              <w:rPr/>
              <w:t>68</w:t>
            </w:r>
          </w:p>
        </w:tc>
      </w:tr>
      <w:tr>
        <w:trPr/>
        <w:tc>
          <w:tcPr>
            <w:tcW w:w="332" w:type="dxa"/>
            <w:tcBorders/>
            <w:vAlign w:val="center"/>
          </w:tcPr>
          <w:p>
            <w:pPr>
              <w:pStyle w:val="TableContents"/>
              <w:bidi w:val="0"/>
              <w:spacing w:lineRule="auto" w:line="300" w:before="0" w:after="0"/>
              <w:jc w:val="left"/>
              <w:rPr>
                <w:b/>
              </w:rPr>
            </w:pPr>
            <w:r>
              <w:rPr>
                <w:b/>
              </w:rPr>
              <w:t>C.</w:t>
            </w:r>
          </w:p>
        </w:tc>
        <w:tc>
          <w:tcPr>
            <w:tcW w:w="8942" w:type="dxa"/>
            <w:tcBorders/>
            <w:vAlign w:val="center"/>
          </w:tcPr>
          <w:p>
            <w:pPr>
              <w:pStyle w:val="TableContents"/>
              <w:bidi w:val="0"/>
              <w:spacing w:lineRule="auto" w:line="300" w:before="0" w:after="0"/>
              <w:jc w:val="left"/>
              <w:rPr>
                <w:b/>
              </w:rPr>
            </w:pPr>
            <w:r>
              <w:rPr>
                <w:b/>
              </w:rPr>
              <w:t>Research and Development, Patents and Licenses, Etc.</w:t>
            </w:r>
          </w:p>
        </w:tc>
        <w:tc>
          <w:tcPr>
            <w:tcW w:w="320" w:type="dxa"/>
            <w:tcBorders/>
            <w:vAlign w:val="center"/>
          </w:tcPr>
          <w:p>
            <w:pPr>
              <w:pStyle w:val="TableContents"/>
              <w:bidi w:val="0"/>
              <w:spacing w:before="0" w:after="283"/>
              <w:jc w:val="left"/>
              <w:rPr/>
            </w:pPr>
            <w:r>
              <w:rPr/>
              <w:t>70</w:t>
            </w:r>
          </w:p>
        </w:tc>
      </w:tr>
      <w:tr>
        <w:trPr/>
        <w:tc>
          <w:tcPr>
            <w:tcW w:w="332" w:type="dxa"/>
            <w:tcBorders/>
            <w:vAlign w:val="center"/>
          </w:tcPr>
          <w:p>
            <w:pPr>
              <w:pStyle w:val="TableContents"/>
              <w:bidi w:val="0"/>
              <w:spacing w:lineRule="auto" w:line="300" w:before="0" w:after="0"/>
              <w:jc w:val="left"/>
              <w:rPr>
                <w:b/>
              </w:rPr>
            </w:pPr>
            <w:r>
              <w:rPr>
                <w:b/>
              </w:rPr>
              <w:t>D.</w:t>
            </w:r>
          </w:p>
        </w:tc>
        <w:tc>
          <w:tcPr>
            <w:tcW w:w="8942" w:type="dxa"/>
            <w:tcBorders/>
            <w:vAlign w:val="center"/>
          </w:tcPr>
          <w:p>
            <w:pPr>
              <w:pStyle w:val="TableContents"/>
              <w:bidi w:val="0"/>
              <w:spacing w:lineRule="auto" w:line="300" w:before="0" w:after="0"/>
              <w:jc w:val="left"/>
              <w:rPr>
                <w:b/>
              </w:rPr>
            </w:pPr>
            <w:r>
              <w:rPr>
                <w:b/>
              </w:rPr>
              <w:t>Trend Information</w:t>
            </w:r>
          </w:p>
        </w:tc>
        <w:tc>
          <w:tcPr>
            <w:tcW w:w="320" w:type="dxa"/>
            <w:tcBorders/>
            <w:vAlign w:val="center"/>
          </w:tcPr>
          <w:p>
            <w:pPr>
              <w:pStyle w:val="TableContents"/>
              <w:bidi w:val="0"/>
              <w:spacing w:before="0" w:after="283"/>
              <w:jc w:val="left"/>
              <w:rPr/>
            </w:pPr>
            <w:r>
              <w:rPr/>
              <w:t>70</w:t>
            </w:r>
          </w:p>
        </w:tc>
      </w:tr>
      <w:tr>
        <w:trPr/>
        <w:tc>
          <w:tcPr>
            <w:tcW w:w="332" w:type="dxa"/>
            <w:tcBorders/>
            <w:vAlign w:val="center"/>
          </w:tcPr>
          <w:p>
            <w:pPr>
              <w:pStyle w:val="TableContents"/>
              <w:bidi w:val="0"/>
              <w:spacing w:lineRule="auto" w:line="300" w:before="0" w:after="0"/>
              <w:jc w:val="left"/>
              <w:rPr>
                <w:b/>
              </w:rPr>
            </w:pPr>
            <w:r>
              <w:rPr>
                <w:b/>
              </w:rPr>
              <w:t>E.</w:t>
            </w:r>
          </w:p>
        </w:tc>
        <w:tc>
          <w:tcPr>
            <w:tcW w:w="8942" w:type="dxa"/>
            <w:tcBorders/>
            <w:vAlign w:val="center"/>
          </w:tcPr>
          <w:p>
            <w:pPr>
              <w:pStyle w:val="TableContents"/>
              <w:bidi w:val="0"/>
              <w:spacing w:lineRule="auto" w:line="300" w:before="0" w:after="0"/>
              <w:jc w:val="left"/>
              <w:rPr>
                <w:b/>
              </w:rPr>
            </w:pPr>
            <w:r>
              <w:rPr>
                <w:b/>
              </w:rPr>
              <w:t>Critical Accounting Estimates</w:t>
            </w:r>
          </w:p>
        </w:tc>
        <w:tc>
          <w:tcPr>
            <w:tcW w:w="320" w:type="dxa"/>
            <w:tcBorders/>
            <w:vAlign w:val="center"/>
          </w:tcPr>
          <w:p>
            <w:pPr>
              <w:pStyle w:val="TableContents"/>
              <w:bidi w:val="0"/>
              <w:spacing w:before="0" w:after="283"/>
              <w:jc w:val="left"/>
              <w:rPr/>
            </w:pPr>
            <w:r>
              <w:rPr/>
              <w:t>70</w:t>
            </w:r>
          </w:p>
        </w:tc>
      </w:tr>
      <w:tr>
        <w:trPr/>
        <w:tc>
          <w:tcPr>
            <w:tcW w:w="9274" w:type="dxa"/>
            <w:gridSpan w:val="2"/>
            <w:tcBorders/>
            <w:vAlign w:val="center"/>
          </w:tcPr>
          <w:p>
            <w:pPr>
              <w:pStyle w:val="TableContents"/>
              <w:bidi w:val="0"/>
              <w:spacing w:lineRule="auto" w:line="300" w:before="0" w:after="0"/>
              <w:jc w:val="left"/>
              <w:rPr/>
            </w:pPr>
            <w:hyperlink w:anchor="Item6">
              <w:r>
                <w:rPr>
                  <w:rStyle w:val="InternetLink"/>
                  <w:b/>
                </w:rPr>
                <w:t>ITEM 6. DIRECTORS, SENIOR MANAGEMENT AND EMPLOYEES</w:t>
              </w:r>
            </w:hyperlink>
          </w:p>
        </w:tc>
        <w:tc>
          <w:tcPr>
            <w:tcW w:w="320" w:type="dxa"/>
            <w:tcBorders/>
            <w:vAlign w:val="center"/>
          </w:tcPr>
          <w:p>
            <w:pPr>
              <w:pStyle w:val="TableContents"/>
              <w:bidi w:val="0"/>
              <w:spacing w:before="0" w:after="283"/>
              <w:jc w:val="left"/>
              <w:rPr/>
            </w:pPr>
            <w:r>
              <w:rPr/>
              <w:t>73</w:t>
            </w:r>
          </w:p>
        </w:tc>
      </w:tr>
      <w:tr>
        <w:trPr/>
        <w:tc>
          <w:tcPr>
            <w:tcW w:w="332" w:type="dxa"/>
            <w:tcBorders/>
            <w:vAlign w:val="center"/>
          </w:tcPr>
          <w:p>
            <w:pPr>
              <w:pStyle w:val="TableContents"/>
              <w:bidi w:val="0"/>
              <w:spacing w:lineRule="auto" w:line="300" w:before="0" w:after="0"/>
              <w:jc w:val="left"/>
              <w:rPr>
                <w:b/>
              </w:rPr>
            </w:pPr>
            <w:r>
              <w:rPr>
                <w:b/>
              </w:rPr>
              <w:t>A.</w:t>
            </w:r>
          </w:p>
        </w:tc>
        <w:tc>
          <w:tcPr>
            <w:tcW w:w="8942" w:type="dxa"/>
            <w:tcBorders/>
            <w:vAlign w:val="center"/>
          </w:tcPr>
          <w:p>
            <w:pPr>
              <w:pStyle w:val="TableContents"/>
              <w:bidi w:val="0"/>
              <w:spacing w:lineRule="auto" w:line="300" w:before="0" w:after="0"/>
              <w:jc w:val="left"/>
              <w:rPr>
                <w:b/>
              </w:rPr>
            </w:pPr>
            <w:r>
              <w:rPr>
                <w:b/>
              </w:rPr>
              <w:t>Directors and Senior Management</w:t>
            </w:r>
          </w:p>
        </w:tc>
        <w:tc>
          <w:tcPr>
            <w:tcW w:w="320" w:type="dxa"/>
            <w:tcBorders/>
            <w:vAlign w:val="center"/>
          </w:tcPr>
          <w:p>
            <w:pPr>
              <w:pStyle w:val="TableContents"/>
              <w:bidi w:val="0"/>
              <w:spacing w:before="0" w:after="0"/>
              <w:jc w:val="left"/>
              <w:rPr/>
            </w:pPr>
            <w:r>
              <w:rPr/>
              <w:t>73</w:t>
            </w:r>
          </w:p>
        </w:tc>
      </w:tr>
      <w:tr>
        <w:trPr/>
        <w:tc>
          <w:tcPr>
            <w:tcW w:w="332" w:type="dxa"/>
            <w:tcBorders/>
            <w:vAlign w:val="center"/>
          </w:tcPr>
          <w:p>
            <w:pPr>
              <w:pStyle w:val="TableContents"/>
              <w:bidi w:val="0"/>
              <w:spacing w:lineRule="auto" w:line="300" w:before="0" w:after="0"/>
              <w:jc w:val="left"/>
              <w:rPr>
                <w:b/>
              </w:rPr>
            </w:pPr>
            <w:r>
              <w:rPr>
                <w:b/>
              </w:rPr>
              <w:t>B.</w:t>
            </w:r>
          </w:p>
        </w:tc>
        <w:tc>
          <w:tcPr>
            <w:tcW w:w="8942" w:type="dxa"/>
            <w:tcBorders/>
            <w:vAlign w:val="center"/>
          </w:tcPr>
          <w:p>
            <w:pPr>
              <w:pStyle w:val="TableContents"/>
              <w:bidi w:val="0"/>
              <w:spacing w:lineRule="auto" w:line="300" w:before="0" w:after="0"/>
              <w:jc w:val="left"/>
              <w:rPr>
                <w:b/>
              </w:rPr>
            </w:pPr>
            <w:r>
              <w:rPr>
                <w:b/>
              </w:rPr>
              <w:t>Compensation</w:t>
            </w:r>
          </w:p>
        </w:tc>
        <w:tc>
          <w:tcPr>
            <w:tcW w:w="320" w:type="dxa"/>
            <w:tcBorders/>
            <w:vAlign w:val="center"/>
          </w:tcPr>
          <w:p>
            <w:pPr>
              <w:pStyle w:val="TableContents"/>
              <w:bidi w:val="0"/>
              <w:spacing w:lineRule="auto" w:line="300" w:before="0" w:after="0"/>
              <w:jc w:val="left"/>
              <w:rPr/>
            </w:pPr>
            <w:r>
              <w:rPr/>
              <w:t>76</w:t>
            </w:r>
          </w:p>
        </w:tc>
      </w:tr>
      <w:tr>
        <w:trPr/>
        <w:tc>
          <w:tcPr>
            <w:tcW w:w="332" w:type="dxa"/>
            <w:tcBorders/>
            <w:vAlign w:val="center"/>
          </w:tcPr>
          <w:p>
            <w:pPr>
              <w:pStyle w:val="TableContents"/>
              <w:bidi w:val="0"/>
              <w:spacing w:lineRule="auto" w:line="300" w:before="0" w:after="0"/>
              <w:jc w:val="left"/>
              <w:rPr>
                <w:b/>
              </w:rPr>
            </w:pPr>
            <w:r>
              <w:rPr>
                <w:b/>
              </w:rPr>
              <w:t>C.</w:t>
            </w:r>
          </w:p>
        </w:tc>
        <w:tc>
          <w:tcPr>
            <w:tcW w:w="8942" w:type="dxa"/>
            <w:tcBorders/>
            <w:vAlign w:val="center"/>
          </w:tcPr>
          <w:p>
            <w:pPr>
              <w:pStyle w:val="TableContents"/>
              <w:bidi w:val="0"/>
              <w:spacing w:lineRule="auto" w:line="300" w:before="0" w:after="0"/>
              <w:jc w:val="left"/>
              <w:rPr>
                <w:b/>
              </w:rPr>
            </w:pPr>
            <w:r>
              <w:rPr>
                <w:b/>
              </w:rPr>
              <w:t>Board Practices</w:t>
            </w:r>
          </w:p>
        </w:tc>
        <w:tc>
          <w:tcPr>
            <w:tcW w:w="320" w:type="dxa"/>
            <w:tcBorders/>
            <w:vAlign w:val="center"/>
          </w:tcPr>
          <w:p>
            <w:pPr>
              <w:pStyle w:val="TableContents"/>
              <w:bidi w:val="0"/>
              <w:spacing w:before="0" w:after="283"/>
              <w:jc w:val="left"/>
              <w:rPr/>
            </w:pPr>
            <w:r>
              <w:rPr/>
              <w:t>80</w:t>
            </w:r>
          </w:p>
        </w:tc>
      </w:tr>
      <w:tr>
        <w:trPr/>
        <w:tc>
          <w:tcPr>
            <w:tcW w:w="332" w:type="dxa"/>
            <w:tcBorders/>
            <w:vAlign w:val="center"/>
          </w:tcPr>
          <w:p>
            <w:pPr>
              <w:pStyle w:val="TableContents"/>
              <w:bidi w:val="0"/>
              <w:spacing w:lineRule="auto" w:line="300" w:before="0" w:after="0"/>
              <w:jc w:val="left"/>
              <w:rPr>
                <w:b/>
              </w:rPr>
            </w:pPr>
            <w:r>
              <w:rPr>
                <w:b/>
              </w:rPr>
              <w:t>D.</w:t>
            </w:r>
          </w:p>
        </w:tc>
        <w:tc>
          <w:tcPr>
            <w:tcW w:w="8942" w:type="dxa"/>
            <w:tcBorders/>
            <w:vAlign w:val="center"/>
          </w:tcPr>
          <w:p>
            <w:pPr>
              <w:pStyle w:val="TableContents"/>
              <w:bidi w:val="0"/>
              <w:spacing w:lineRule="auto" w:line="300" w:before="0" w:after="0"/>
              <w:jc w:val="left"/>
              <w:rPr>
                <w:b/>
              </w:rPr>
            </w:pPr>
            <w:r>
              <w:rPr>
                <w:b/>
              </w:rPr>
              <w:t>Employees</w:t>
            </w:r>
          </w:p>
        </w:tc>
        <w:tc>
          <w:tcPr>
            <w:tcW w:w="320" w:type="dxa"/>
            <w:tcBorders/>
            <w:vAlign w:val="center"/>
          </w:tcPr>
          <w:p>
            <w:pPr>
              <w:pStyle w:val="TableContents"/>
              <w:bidi w:val="0"/>
              <w:spacing w:before="0" w:after="283"/>
              <w:jc w:val="left"/>
              <w:rPr/>
            </w:pPr>
            <w:r>
              <w:rPr/>
              <w:t>89</w:t>
            </w:r>
          </w:p>
        </w:tc>
      </w:tr>
      <w:tr>
        <w:trPr/>
        <w:tc>
          <w:tcPr>
            <w:tcW w:w="332" w:type="dxa"/>
            <w:tcBorders/>
            <w:vAlign w:val="center"/>
          </w:tcPr>
          <w:p>
            <w:pPr>
              <w:pStyle w:val="TableContents"/>
              <w:bidi w:val="0"/>
              <w:spacing w:lineRule="auto" w:line="300" w:before="0" w:after="0"/>
              <w:jc w:val="left"/>
              <w:rPr>
                <w:b/>
              </w:rPr>
            </w:pPr>
            <w:r>
              <w:rPr>
                <w:b/>
              </w:rPr>
              <w:t>E.</w:t>
            </w:r>
          </w:p>
        </w:tc>
        <w:tc>
          <w:tcPr>
            <w:tcW w:w="8942" w:type="dxa"/>
            <w:tcBorders/>
            <w:vAlign w:val="center"/>
          </w:tcPr>
          <w:p>
            <w:pPr>
              <w:pStyle w:val="TableContents"/>
              <w:bidi w:val="0"/>
              <w:spacing w:lineRule="auto" w:line="300" w:before="0" w:after="0"/>
              <w:jc w:val="left"/>
              <w:rPr>
                <w:b/>
              </w:rPr>
            </w:pPr>
            <w:r>
              <w:rPr>
                <w:b/>
              </w:rPr>
              <w:t>Share Ownership</w:t>
            </w:r>
          </w:p>
        </w:tc>
        <w:tc>
          <w:tcPr>
            <w:tcW w:w="320" w:type="dxa"/>
            <w:tcBorders/>
            <w:vAlign w:val="center"/>
          </w:tcPr>
          <w:p>
            <w:pPr>
              <w:pStyle w:val="TableContents"/>
              <w:bidi w:val="0"/>
              <w:spacing w:lineRule="auto" w:line="300" w:before="0" w:after="0"/>
              <w:jc w:val="left"/>
              <w:rPr/>
            </w:pPr>
            <w:r>
              <w:rPr/>
              <w:t>89</w:t>
            </w:r>
          </w:p>
        </w:tc>
      </w:tr>
      <w:tr>
        <w:trPr/>
        <w:tc>
          <w:tcPr>
            <w:tcW w:w="332" w:type="dxa"/>
            <w:tcBorders/>
            <w:vAlign w:val="center"/>
          </w:tcPr>
          <w:p>
            <w:pPr>
              <w:pStyle w:val="TableContents"/>
              <w:bidi w:val="0"/>
              <w:spacing w:lineRule="auto" w:line="300" w:before="0" w:after="0"/>
              <w:jc w:val="left"/>
              <w:rPr>
                <w:b/>
              </w:rPr>
            </w:pPr>
            <w:r>
              <w:rPr>
                <w:b/>
              </w:rPr>
              <w:t>F.</w:t>
            </w:r>
          </w:p>
        </w:tc>
        <w:tc>
          <w:tcPr>
            <w:tcW w:w="8942" w:type="dxa"/>
            <w:tcBorders/>
            <w:vAlign w:val="center"/>
          </w:tcPr>
          <w:p>
            <w:pPr>
              <w:pStyle w:val="TableContents"/>
              <w:bidi w:val="0"/>
              <w:spacing w:lineRule="auto" w:line="300" w:before="0" w:after="0"/>
              <w:jc w:val="left"/>
              <w:rPr>
                <w:b/>
              </w:rPr>
            </w:pPr>
            <w:r>
              <w:rPr>
                <w:b/>
              </w:rPr>
              <w:t>Disclosure of a Registrant’s Action to Recover Erroneously Awarded Compensation</w:t>
            </w:r>
          </w:p>
        </w:tc>
        <w:tc>
          <w:tcPr>
            <w:tcW w:w="320" w:type="dxa"/>
            <w:tcBorders/>
            <w:vAlign w:val="center"/>
          </w:tcPr>
          <w:p>
            <w:pPr>
              <w:pStyle w:val="TableContents"/>
              <w:bidi w:val="0"/>
              <w:spacing w:lineRule="auto" w:line="300" w:before="0" w:after="0"/>
              <w:jc w:val="left"/>
              <w:rPr/>
            </w:pPr>
            <w:r>
              <w:rPr/>
              <w:t>89</w:t>
            </w:r>
          </w:p>
        </w:tc>
      </w:tr>
    </w:tbl>
    <w:p>
      <w:pPr>
        <w:pStyle w:val="Normal"/>
        <w:bidi w:val="0"/>
        <w:spacing w:before="0" w:after="0"/>
        <w:jc w:val="left"/>
        <w:rPr>
          <w:sz w:val="4"/>
          <w:szCs w:val="4"/>
        </w:rPr>
      </w:pPr>
      <w:r>
        <w:rPr>
          <w:sz w:val="4"/>
          <w:szCs w:val="4"/>
        </w:rPr>
      </w:r>
      <w:bookmarkStart w:id="6" w:name="z9179c8f382f3426db125f437b59c6fbc"/>
      <w:bookmarkStart w:id="7" w:name="z9179c8f382f3426db125f437b59c6fbc"/>
      <w:bookmarkEnd w:id="7"/>
    </w:p>
    <w:tbl>
      <w:tblPr>
        <w:tblW w:w="9219" w:type="dxa"/>
        <w:jc w:val="left"/>
        <w:tblInd w:w="0" w:type="dxa"/>
        <w:tblLayout w:type="fixed"/>
        <w:tblCellMar>
          <w:top w:w="30" w:type="dxa"/>
          <w:left w:w="30" w:type="dxa"/>
          <w:bottom w:w="30" w:type="dxa"/>
          <w:right w:w="30" w:type="dxa"/>
        </w:tblCellMar>
      </w:tblPr>
      <w:tblGrid>
        <w:gridCol w:w="445"/>
        <w:gridCol w:w="8334"/>
        <w:gridCol w:w="440"/>
      </w:tblGrid>
      <w:tr>
        <w:trPr/>
        <w:tc>
          <w:tcPr>
            <w:tcW w:w="8779" w:type="dxa"/>
            <w:gridSpan w:val="2"/>
            <w:tcBorders/>
            <w:vAlign w:val="center"/>
          </w:tcPr>
          <w:p>
            <w:pPr>
              <w:pStyle w:val="TableContents"/>
              <w:bidi w:val="0"/>
              <w:spacing w:lineRule="auto" w:line="300" w:before="0" w:after="0"/>
              <w:jc w:val="left"/>
              <w:rPr/>
            </w:pPr>
            <w:hyperlink w:anchor="Item7">
              <w:r>
                <w:rPr>
                  <w:rStyle w:val="InternetLink"/>
                  <w:b/>
                </w:rPr>
                <w:t>ITEM 7. MAJOR SHAREHOLDERS AND RELATED PARTY TRANSACTIONS</w:t>
              </w:r>
            </w:hyperlink>
          </w:p>
        </w:tc>
        <w:tc>
          <w:tcPr>
            <w:tcW w:w="440" w:type="dxa"/>
            <w:tcBorders/>
            <w:vAlign w:val="center"/>
          </w:tcPr>
          <w:p>
            <w:pPr>
              <w:pStyle w:val="TableContents"/>
              <w:bidi w:val="0"/>
              <w:spacing w:lineRule="auto" w:line="300" w:before="0" w:after="0"/>
              <w:jc w:val="left"/>
              <w:rPr/>
            </w:pPr>
            <w:r>
              <w:rPr/>
              <w:t>89</w:t>
            </w:r>
          </w:p>
        </w:tc>
      </w:tr>
      <w:tr>
        <w:trPr/>
        <w:tc>
          <w:tcPr>
            <w:tcW w:w="445" w:type="dxa"/>
            <w:tcBorders/>
            <w:vAlign w:val="center"/>
          </w:tcPr>
          <w:p>
            <w:pPr>
              <w:pStyle w:val="TableContents"/>
              <w:bidi w:val="0"/>
              <w:spacing w:lineRule="auto" w:line="300" w:before="0" w:after="0"/>
              <w:jc w:val="left"/>
              <w:rPr>
                <w:b/>
              </w:rPr>
            </w:pPr>
            <w:r>
              <w:rPr>
                <w:b/>
              </w:rPr>
              <w:t>A.</w:t>
            </w:r>
          </w:p>
        </w:tc>
        <w:tc>
          <w:tcPr>
            <w:tcW w:w="8334" w:type="dxa"/>
            <w:tcBorders/>
            <w:vAlign w:val="center"/>
          </w:tcPr>
          <w:p>
            <w:pPr>
              <w:pStyle w:val="TableContents"/>
              <w:bidi w:val="0"/>
              <w:spacing w:lineRule="auto" w:line="300" w:before="0" w:after="0"/>
              <w:jc w:val="left"/>
              <w:rPr>
                <w:b/>
              </w:rPr>
            </w:pPr>
            <w:r>
              <w:rPr>
                <w:b/>
              </w:rPr>
              <w:t>Major Shareholders</w:t>
            </w:r>
          </w:p>
        </w:tc>
        <w:tc>
          <w:tcPr>
            <w:tcW w:w="440" w:type="dxa"/>
            <w:tcBorders/>
            <w:vAlign w:val="center"/>
          </w:tcPr>
          <w:p>
            <w:pPr>
              <w:pStyle w:val="TableContents"/>
              <w:bidi w:val="0"/>
              <w:spacing w:lineRule="auto" w:line="300" w:before="0" w:after="0"/>
              <w:jc w:val="left"/>
              <w:rPr/>
            </w:pPr>
            <w:r>
              <w:rPr/>
              <w:t>89</w:t>
            </w:r>
          </w:p>
        </w:tc>
      </w:tr>
      <w:tr>
        <w:trPr/>
        <w:tc>
          <w:tcPr>
            <w:tcW w:w="445" w:type="dxa"/>
            <w:tcBorders/>
            <w:vAlign w:val="center"/>
          </w:tcPr>
          <w:p>
            <w:pPr>
              <w:pStyle w:val="TableContents"/>
              <w:bidi w:val="0"/>
              <w:spacing w:lineRule="auto" w:line="300" w:before="0" w:after="0"/>
              <w:jc w:val="left"/>
              <w:rPr>
                <w:b/>
              </w:rPr>
            </w:pPr>
            <w:r>
              <w:rPr>
                <w:b/>
              </w:rPr>
              <w:t>B.</w:t>
            </w:r>
          </w:p>
        </w:tc>
        <w:tc>
          <w:tcPr>
            <w:tcW w:w="8334" w:type="dxa"/>
            <w:tcBorders/>
            <w:vAlign w:val="center"/>
          </w:tcPr>
          <w:p>
            <w:pPr>
              <w:pStyle w:val="TableContents"/>
              <w:bidi w:val="0"/>
              <w:spacing w:lineRule="auto" w:line="300" w:before="0" w:after="0"/>
              <w:jc w:val="left"/>
              <w:rPr>
                <w:b/>
              </w:rPr>
            </w:pPr>
            <w:r>
              <w:rPr>
                <w:b/>
              </w:rPr>
              <w:t>Related Party Transactions</w:t>
            </w:r>
          </w:p>
        </w:tc>
        <w:tc>
          <w:tcPr>
            <w:tcW w:w="440" w:type="dxa"/>
            <w:tcBorders/>
            <w:vAlign w:val="center"/>
          </w:tcPr>
          <w:p>
            <w:pPr>
              <w:pStyle w:val="TableContents"/>
              <w:bidi w:val="0"/>
              <w:spacing w:lineRule="auto" w:line="300" w:before="0" w:after="0"/>
              <w:jc w:val="left"/>
              <w:rPr/>
            </w:pPr>
            <w:r>
              <w:rPr/>
              <w:t>92</w:t>
            </w:r>
          </w:p>
        </w:tc>
      </w:tr>
      <w:tr>
        <w:trPr/>
        <w:tc>
          <w:tcPr>
            <w:tcW w:w="445" w:type="dxa"/>
            <w:tcBorders/>
            <w:vAlign w:val="center"/>
          </w:tcPr>
          <w:p>
            <w:pPr>
              <w:pStyle w:val="TableContents"/>
              <w:bidi w:val="0"/>
              <w:spacing w:lineRule="auto" w:line="300" w:before="0" w:after="0"/>
              <w:jc w:val="left"/>
              <w:rPr>
                <w:b/>
              </w:rPr>
            </w:pPr>
            <w:r>
              <w:rPr>
                <w:b/>
              </w:rPr>
              <w:t>C.</w:t>
            </w:r>
          </w:p>
        </w:tc>
        <w:tc>
          <w:tcPr>
            <w:tcW w:w="8334" w:type="dxa"/>
            <w:tcBorders/>
            <w:vAlign w:val="center"/>
          </w:tcPr>
          <w:p>
            <w:pPr>
              <w:pStyle w:val="TableContents"/>
              <w:bidi w:val="0"/>
              <w:spacing w:lineRule="auto" w:line="300" w:before="0" w:after="0"/>
              <w:jc w:val="left"/>
              <w:rPr>
                <w:b/>
              </w:rPr>
            </w:pPr>
            <w:r>
              <w:rPr>
                <w:b/>
              </w:rPr>
              <w:t>Interests of Experts and Counsel</w:t>
            </w:r>
          </w:p>
        </w:tc>
        <w:tc>
          <w:tcPr>
            <w:tcW w:w="440" w:type="dxa"/>
            <w:tcBorders/>
            <w:vAlign w:val="center"/>
          </w:tcPr>
          <w:p>
            <w:pPr>
              <w:pStyle w:val="TableContents"/>
              <w:bidi w:val="0"/>
              <w:spacing w:before="0" w:after="283"/>
              <w:jc w:val="left"/>
              <w:rPr/>
            </w:pPr>
            <w:r>
              <w:rPr/>
              <w:t>93</w:t>
            </w:r>
          </w:p>
        </w:tc>
      </w:tr>
      <w:tr>
        <w:trPr/>
        <w:tc>
          <w:tcPr>
            <w:tcW w:w="8779" w:type="dxa"/>
            <w:gridSpan w:val="2"/>
            <w:tcBorders/>
            <w:vAlign w:val="center"/>
          </w:tcPr>
          <w:p>
            <w:pPr>
              <w:pStyle w:val="TableContents"/>
              <w:bidi w:val="0"/>
              <w:spacing w:lineRule="auto" w:line="300" w:before="0" w:after="0"/>
              <w:jc w:val="left"/>
              <w:rPr/>
            </w:pPr>
            <w:hyperlink w:anchor="Item8">
              <w:r>
                <w:rPr>
                  <w:rStyle w:val="InternetLink"/>
                  <w:b/>
                </w:rPr>
                <w:t>ITEM 8. FINANCIAL INFORMATION</w:t>
              </w:r>
            </w:hyperlink>
          </w:p>
        </w:tc>
        <w:tc>
          <w:tcPr>
            <w:tcW w:w="440" w:type="dxa"/>
            <w:tcBorders/>
            <w:vAlign w:val="center"/>
          </w:tcPr>
          <w:p>
            <w:pPr>
              <w:pStyle w:val="TableContents"/>
              <w:bidi w:val="0"/>
              <w:spacing w:lineRule="auto" w:line="300" w:before="0" w:after="0"/>
              <w:jc w:val="left"/>
              <w:rPr/>
            </w:pPr>
            <w:r>
              <w:rPr/>
              <w:t>93</w:t>
            </w:r>
          </w:p>
        </w:tc>
      </w:tr>
      <w:tr>
        <w:trPr/>
        <w:tc>
          <w:tcPr>
            <w:tcW w:w="445" w:type="dxa"/>
            <w:tcBorders/>
            <w:vAlign w:val="center"/>
          </w:tcPr>
          <w:p>
            <w:pPr>
              <w:pStyle w:val="TableContents"/>
              <w:bidi w:val="0"/>
              <w:spacing w:lineRule="auto" w:line="300" w:before="0" w:after="0"/>
              <w:jc w:val="left"/>
              <w:rPr>
                <w:b/>
              </w:rPr>
            </w:pPr>
            <w:r>
              <w:rPr>
                <w:b/>
              </w:rPr>
              <w:t>A.</w:t>
            </w:r>
          </w:p>
        </w:tc>
        <w:tc>
          <w:tcPr>
            <w:tcW w:w="8334" w:type="dxa"/>
            <w:tcBorders/>
            <w:vAlign w:val="center"/>
          </w:tcPr>
          <w:p>
            <w:pPr>
              <w:pStyle w:val="TableContents"/>
              <w:bidi w:val="0"/>
              <w:spacing w:lineRule="auto" w:line="300" w:before="0" w:after="0"/>
              <w:jc w:val="left"/>
              <w:rPr>
                <w:b/>
              </w:rPr>
            </w:pPr>
            <w:r>
              <w:rPr>
                <w:b/>
              </w:rPr>
              <w:t>Consolidated Statements and Other Financial Information</w:t>
            </w:r>
          </w:p>
        </w:tc>
        <w:tc>
          <w:tcPr>
            <w:tcW w:w="440" w:type="dxa"/>
            <w:tcBorders/>
            <w:vAlign w:val="center"/>
          </w:tcPr>
          <w:p>
            <w:pPr>
              <w:pStyle w:val="TableContents"/>
              <w:bidi w:val="0"/>
              <w:spacing w:before="0" w:after="283"/>
              <w:jc w:val="left"/>
              <w:rPr/>
            </w:pPr>
            <w:r>
              <w:rPr/>
              <w:t>93</w:t>
            </w:r>
          </w:p>
        </w:tc>
      </w:tr>
      <w:tr>
        <w:trPr/>
        <w:tc>
          <w:tcPr>
            <w:tcW w:w="445" w:type="dxa"/>
            <w:tcBorders/>
            <w:vAlign w:val="center"/>
          </w:tcPr>
          <w:p>
            <w:pPr>
              <w:pStyle w:val="TableContents"/>
              <w:bidi w:val="0"/>
              <w:spacing w:lineRule="auto" w:line="300" w:before="0" w:after="0"/>
              <w:jc w:val="left"/>
              <w:rPr>
                <w:b/>
              </w:rPr>
            </w:pPr>
            <w:r>
              <w:rPr>
                <w:b/>
              </w:rPr>
              <w:t>B.</w:t>
            </w:r>
          </w:p>
        </w:tc>
        <w:tc>
          <w:tcPr>
            <w:tcW w:w="8334" w:type="dxa"/>
            <w:tcBorders/>
            <w:vAlign w:val="center"/>
          </w:tcPr>
          <w:p>
            <w:pPr>
              <w:pStyle w:val="TableContents"/>
              <w:bidi w:val="0"/>
              <w:spacing w:lineRule="auto" w:line="300" w:before="0" w:after="0"/>
              <w:jc w:val="left"/>
              <w:rPr>
                <w:b/>
              </w:rPr>
            </w:pPr>
            <w:r>
              <w:rPr>
                <w:b/>
              </w:rPr>
              <w:t>Significant Changes</w:t>
            </w:r>
          </w:p>
        </w:tc>
        <w:tc>
          <w:tcPr>
            <w:tcW w:w="440" w:type="dxa"/>
            <w:tcBorders/>
            <w:vAlign w:val="center"/>
          </w:tcPr>
          <w:p>
            <w:pPr>
              <w:pStyle w:val="TableContents"/>
              <w:bidi w:val="0"/>
              <w:spacing w:before="0" w:after="283"/>
              <w:jc w:val="left"/>
              <w:rPr/>
            </w:pPr>
            <w:r>
              <w:rPr/>
              <w:t>94</w:t>
            </w:r>
          </w:p>
        </w:tc>
      </w:tr>
      <w:tr>
        <w:trPr/>
        <w:tc>
          <w:tcPr>
            <w:tcW w:w="8779" w:type="dxa"/>
            <w:gridSpan w:val="2"/>
            <w:tcBorders/>
            <w:vAlign w:val="center"/>
          </w:tcPr>
          <w:p>
            <w:pPr>
              <w:pStyle w:val="TableContents"/>
              <w:bidi w:val="0"/>
              <w:spacing w:lineRule="auto" w:line="300" w:before="0" w:after="0"/>
              <w:jc w:val="left"/>
              <w:rPr/>
            </w:pPr>
            <w:hyperlink w:anchor="Item9">
              <w:r>
                <w:rPr>
                  <w:rStyle w:val="InternetLink"/>
                  <w:b/>
                </w:rPr>
                <w:t>ITEM 9. THE OFFER AND LISTING</w:t>
              </w:r>
            </w:hyperlink>
          </w:p>
        </w:tc>
        <w:tc>
          <w:tcPr>
            <w:tcW w:w="440" w:type="dxa"/>
            <w:tcBorders/>
            <w:vAlign w:val="center"/>
          </w:tcPr>
          <w:p>
            <w:pPr>
              <w:pStyle w:val="TableContents"/>
              <w:bidi w:val="0"/>
              <w:spacing w:lineRule="auto" w:line="300" w:before="0" w:after="0"/>
              <w:jc w:val="left"/>
              <w:rPr/>
            </w:pPr>
            <w:r>
              <w:rPr/>
              <w:t>94</w:t>
            </w:r>
          </w:p>
        </w:tc>
      </w:tr>
      <w:tr>
        <w:trPr/>
        <w:tc>
          <w:tcPr>
            <w:tcW w:w="445" w:type="dxa"/>
            <w:tcBorders/>
            <w:vAlign w:val="center"/>
          </w:tcPr>
          <w:p>
            <w:pPr>
              <w:pStyle w:val="TableContents"/>
              <w:bidi w:val="0"/>
              <w:spacing w:lineRule="auto" w:line="300" w:before="0" w:after="0"/>
              <w:jc w:val="left"/>
              <w:rPr>
                <w:b/>
              </w:rPr>
            </w:pPr>
            <w:r>
              <w:rPr>
                <w:b/>
              </w:rPr>
              <w:t>A.</w:t>
            </w:r>
          </w:p>
        </w:tc>
        <w:tc>
          <w:tcPr>
            <w:tcW w:w="8334" w:type="dxa"/>
            <w:tcBorders/>
            <w:vAlign w:val="center"/>
          </w:tcPr>
          <w:p>
            <w:pPr>
              <w:pStyle w:val="TableContents"/>
              <w:bidi w:val="0"/>
              <w:spacing w:lineRule="auto" w:line="300" w:before="0" w:after="0"/>
              <w:jc w:val="left"/>
              <w:rPr>
                <w:b/>
              </w:rPr>
            </w:pPr>
            <w:r>
              <w:rPr>
                <w:b/>
              </w:rPr>
              <w:t>Offer and Listing Details</w:t>
            </w:r>
          </w:p>
        </w:tc>
        <w:tc>
          <w:tcPr>
            <w:tcW w:w="440" w:type="dxa"/>
            <w:tcBorders/>
            <w:vAlign w:val="center"/>
          </w:tcPr>
          <w:p>
            <w:pPr>
              <w:pStyle w:val="TableContents"/>
              <w:bidi w:val="0"/>
              <w:spacing w:lineRule="auto" w:line="300" w:before="0" w:after="0"/>
              <w:jc w:val="left"/>
              <w:rPr/>
            </w:pPr>
            <w:r>
              <w:rPr/>
              <w:t>94</w:t>
            </w:r>
          </w:p>
        </w:tc>
      </w:tr>
      <w:tr>
        <w:trPr/>
        <w:tc>
          <w:tcPr>
            <w:tcW w:w="445" w:type="dxa"/>
            <w:tcBorders/>
            <w:vAlign w:val="center"/>
          </w:tcPr>
          <w:p>
            <w:pPr>
              <w:pStyle w:val="TableContents"/>
              <w:bidi w:val="0"/>
              <w:spacing w:lineRule="auto" w:line="300" w:before="0" w:after="0"/>
              <w:jc w:val="left"/>
              <w:rPr>
                <w:b/>
              </w:rPr>
            </w:pPr>
            <w:r>
              <w:rPr>
                <w:b/>
              </w:rPr>
              <w:t>B.</w:t>
            </w:r>
          </w:p>
        </w:tc>
        <w:tc>
          <w:tcPr>
            <w:tcW w:w="8334" w:type="dxa"/>
            <w:tcBorders/>
            <w:vAlign w:val="center"/>
          </w:tcPr>
          <w:p>
            <w:pPr>
              <w:pStyle w:val="TableContents"/>
              <w:bidi w:val="0"/>
              <w:spacing w:lineRule="auto" w:line="300" w:before="0" w:after="0"/>
              <w:jc w:val="left"/>
              <w:rPr>
                <w:b/>
              </w:rPr>
            </w:pPr>
            <w:r>
              <w:rPr>
                <w:b/>
              </w:rPr>
              <w:t>Plan of Distribution</w:t>
            </w:r>
          </w:p>
        </w:tc>
        <w:tc>
          <w:tcPr>
            <w:tcW w:w="440" w:type="dxa"/>
            <w:tcBorders/>
            <w:vAlign w:val="center"/>
          </w:tcPr>
          <w:p>
            <w:pPr>
              <w:pStyle w:val="TableContents"/>
              <w:bidi w:val="0"/>
              <w:spacing w:lineRule="auto" w:line="300" w:before="0" w:after="0"/>
              <w:jc w:val="left"/>
              <w:rPr/>
            </w:pPr>
            <w:r>
              <w:rPr/>
              <w:t>94</w:t>
            </w:r>
          </w:p>
        </w:tc>
      </w:tr>
      <w:tr>
        <w:trPr/>
        <w:tc>
          <w:tcPr>
            <w:tcW w:w="445" w:type="dxa"/>
            <w:tcBorders/>
            <w:vAlign w:val="center"/>
          </w:tcPr>
          <w:p>
            <w:pPr>
              <w:pStyle w:val="TableContents"/>
              <w:bidi w:val="0"/>
              <w:spacing w:lineRule="auto" w:line="300" w:before="0" w:after="0"/>
              <w:jc w:val="left"/>
              <w:rPr>
                <w:b/>
              </w:rPr>
            </w:pPr>
            <w:r>
              <w:rPr>
                <w:b/>
              </w:rPr>
              <w:t>C.</w:t>
            </w:r>
          </w:p>
        </w:tc>
        <w:tc>
          <w:tcPr>
            <w:tcW w:w="8334" w:type="dxa"/>
            <w:tcBorders/>
            <w:vAlign w:val="center"/>
          </w:tcPr>
          <w:p>
            <w:pPr>
              <w:pStyle w:val="TableContents"/>
              <w:bidi w:val="0"/>
              <w:spacing w:lineRule="auto" w:line="300" w:before="0" w:after="0"/>
              <w:jc w:val="left"/>
              <w:rPr>
                <w:b/>
              </w:rPr>
            </w:pPr>
            <w:r>
              <w:rPr>
                <w:b/>
              </w:rPr>
              <w:t>Markets</w:t>
            </w:r>
          </w:p>
        </w:tc>
        <w:tc>
          <w:tcPr>
            <w:tcW w:w="440" w:type="dxa"/>
            <w:tcBorders/>
            <w:vAlign w:val="center"/>
          </w:tcPr>
          <w:p>
            <w:pPr>
              <w:pStyle w:val="TableContents"/>
              <w:bidi w:val="0"/>
              <w:spacing w:lineRule="auto" w:line="300" w:before="0" w:after="0"/>
              <w:jc w:val="left"/>
              <w:rPr/>
            </w:pPr>
            <w:r>
              <w:rPr/>
              <w:t>94</w:t>
            </w:r>
          </w:p>
        </w:tc>
      </w:tr>
      <w:tr>
        <w:trPr/>
        <w:tc>
          <w:tcPr>
            <w:tcW w:w="445" w:type="dxa"/>
            <w:tcBorders/>
            <w:vAlign w:val="center"/>
          </w:tcPr>
          <w:p>
            <w:pPr>
              <w:pStyle w:val="TableContents"/>
              <w:bidi w:val="0"/>
              <w:spacing w:lineRule="auto" w:line="300" w:before="0" w:after="0"/>
              <w:jc w:val="left"/>
              <w:rPr>
                <w:b/>
              </w:rPr>
            </w:pPr>
            <w:r>
              <w:rPr>
                <w:b/>
              </w:rPr>
              <w:t>D.</w:t>
            </w:r>
          </w:p>
        </w:tc>
        <w:tc>
          <w:tcPr>
            <w:tcW w:w="8334" w:type="dxa"/>
            <w:tcBorders/>
            <w:vAlign w:val="center"/>
          </w:tcPr>
          <w:p>
            <w:pPr>
              <w:pStyle w:val="TableContents"/>
              <w:bidi w:val="0"/>
              <w:spacing w:lineRule="auto" w:line="300" w:before="0" w:after="0"/>
              <w:jc w:val="left"/>
              <w:rPr>
                <w:b/>
              </w:rPr>
            </w:pPr>
            <w:r>
              <w:rPr>
                <w:b/>
              </w:rPr>
              <w:t>Selling Shareholders</w:t>
            </w:r>
          </w:p>
        </w:tc>
        <w:tc>
          <w:tcPr>
            <w:tcW w:w="440" w:type="dxa"/>
            <w:tcBorders/>
            <w:vAlign w:val="center"/>
          </w:tcPr>
          <w:p>
            <w:pPr>
              <w:pStyle w:val="TableContents"/>
              <w:bidi w:val="0"/>
              <w:spacing w:lineRule="auto" w:line="300" w:before="0" w:after="0"/>
              <w:jc w:val="left"/>
              <w:rPr/>
            </w:pPr>
            <w:r>
              <w:rPr/>
              <w:t>94</w:t>
            </w:r>
          </w:p>
        </w:tc>
      </w:tr>
      <w:tr>
        <w:trPr/>
        <w:tc>
          <w:tcPr>
            <w:tcW w:w="445" w:type="dxa"/>
            <w:tcBorders/>
            <w:vAlign w:val="center"/>
          </w:tcPr>
          <w:p>
            <w:pPr>
              <w:pStyle w:val="TableContents"/>
              <w:bidi w:val="0"/>
              <w:spacing w:lineRule="auto" w:line="300" w:before="0" w:after="0"/>
              <w:jc w:val="left"/>
              <w:rPr>
                <w:b/>
              </w:rPr>
            </w:pPr>
            <w:r>
              <w:rPr>
                <w:b/>
              </w:rPr>
              <w:t>E.</w:t>
            </w:r>
          </w:p>
        </w:tc>
        <w:tc>
          <w:tcPr>
            <w:tcW w:w="8334" w:type="dxa"/>
            <w:tcBorders/>
            <w:vAlign w:val="center"/>
          </w:tcPr>
          <w:p>
            <w:pPr>
              <w:pStyle w:val="TableContents"/>
              <w:bidi w:val="0"/>
              <w:spacing w:lineRule="auto" w:line="300" w:before="0" w:after="0"/>
              <w:jc w:val="left"/>
              <w:rPr>
                <w:b/>
              </w:rPr>
            </w:pPr>
            <w:r>
              <w:rPr>
                <w:b/>
              </w:rPr>
              <w:t>Dilution</w:t>
            </w:r>
          </w:p>
        </w:tc>
        <w:tc>
          <w:tcPr>
            <w:tcW w:w="440" w:type="dxa"/>
            <w:tcBorders/>
            <w:vAlign w:val="center"/>
          </w:tcPr>
          <w:p>
            <w:pPr>
              <w:pStyle w:val="TableContents"/>
              <w:bidi w:val="0"/>
              <w:spacing w:lineRule="auto" w:line="300" w:before="0" w:after="0"/>
              <w:jc w:val="left"/>
              <w:rPr/>
            </w:pPr>
            <w:r>
              <w:rPr/>
              <w:t>94</w:t>
            </w:r>
          </w:p>
        </w:tc>
      </w:tr>
      <w:tr>
        <w:trPr/>
        <w:tc>
          <w:tcPr>
            <w:tcW w:w="445" w:type="dxa"/>
            <w:tcBorders/>
            <w:vAlign w:val="center"/>
          </w:tcPr>
          <w:p>
            <w:pPr>
              <w:pStyle w:val="TableContents"/>
              <w:bidi w:val="0"/>
              <w:spacing w:lineRule="auto" w:line="300" w:before="0" w:after="0"/>
              <w:jc w:val="left"/>
              <w:rPr>
                <w:b/>
              </w:rPr>
            </w:pPr>
            <w:r>
              <w:rPr>
                <w:b/>
              </w:rPr>
              <w:t>F.</w:t>
            </w:r>
          </w:p>
        </w:tc>
        <w:tc>
          <w:tcPr>
            <w:tcW w:w="8334" w:type="dxa"/>
            <w:tcBorders/>
            <w:vAlign w:val="center"/>
          </w:tcPr>
          <w:p>
            <w:pPr>
              <w:pStyle w:val="TableContents"/>
              <w:bidi w:val="0"/>
              <w:spacing w:lineRule="auto" w:line="300" w:before="0" w:after="0"/>
              <w:jc w:val="left"/>
              <w:rPr>
                <w:b/>
              </w:rPr>
            </w:pPr>
            <w:r>
              <w:rPr>
                <w:b/>
              </w:rPr>
              <w:t>Expenses of the Issue</w:t>
            </w:r>
          </w:p>
        </w:tc>
        <w:tc>
          <w:tcPr>
            <w:tcW w:w="440" w:type="dxa"/>
            <w:tcBorders/>
            <w:vAlign w:val="center"/>
          </w:tcPr>
          <w:p>
            <w:pPr>
              <w:pStyle w:val="TableContents"/>
              <w:bidi w:val="0"/>
              <w:spacing w:lineRule="auto" w:line="300" w:before="0" w:after="0"/>
              <w:jc w:val="left"/>
              <w:rPr/>
            </w:pPr>
            <w:r>
              <w:rPr/>
              <w:t>94</w:t>
            </w:r>
          </w:p>
        </w:tc>
      </w:tr>
      <w:tr>
        <w:trPr/>
        <w:tc>
          <w:tcPr>
            <w:tcW w:w="8779" w:type="dxa"/>
            <w:gridSpan w:val="2"/>
            <w:tcBorders/>
            <w:vAlign w:val="center"/>
          </w:tcPr>
          <w:p>
            <w:pPr>
              <w:pStyle w:val="TableContents"/>
              <w:bidi w:val="0"/>
              <w:spacing w:lineRule="auto" w:line="300" w:before="0" w:after="0"/>
              <w:jc w:val="left"/>
              <w:rPr/>
            </w:pPr>
            <w:hyperlink w:anchor="Item10">
              <w:r>
                <w:rPr>
                  <w:rStyle w:val="InternetLink"/>
                  <w:b/>
                </w:rPr>
                <w:t>ITEM 10. ADDITIONAL INFORMATION</w:t>
              </w:r>
            </w:hyperlink>
          </w:p>
        </w:tc>
        <w:tc>
          <w:tcPr>
            <w:tcW w:w="440" w:type="dxa"/>
            <w:tcBorders/>
            <w:vAlign w:val="center"/>
          </w:tcPr>
          <w:p>
            <w:pPr>
              <w:pStyle w:val="TableContents"/>
              <w:bidi w:val="0"/>
              <w:spacing w:lineRule="auto" w:line="300" w:before="0" w:after="0"/>
              <w:jc w:val="left"/>
              <w:rPr/>
            </w:pPr>
            <w:r>
              <w:rPr/>
              <w:t>95</w:t>
            </w:r>
          </w:p>
        </w:tc>
      </w:tr>
      <w:tr>
        <w:trPr/>
        <w:tc>
          <w:tcPr>
            <w:tcW w:w="445" w:type="dxa"/>
            <w:tcBorders/>
            <w:vAlign w:val="center"/>
          </w:tcPr>
          <w:p>
            <w:pPr>
              <w:pStyle w:val="TableContents"/>
              <w:bidi w:val="0"/>
              <w:spacing w:lineRule="auto" w:line="300" w:before="0" w:after="0"/>
              <w:jc w:val="left"/>
              <w:rPr>
                <w:b/>
              </w:rPr>
            </w:pPr>
            <w:r>
              <w:rPr>
                <w:b/>
              </w:rPr>
              <w:t>A.</w:t>
            </w:r>
          </w:p>
        </w:tc>
        <w:tc>
          <w:tcPr>
            <w:tcW w:w="8334" w:type="dxa"/>
            <w:tcBorders/>
            <w:vAlign w:val="center"/>
          </w:tcPr>
          <w:p>
            <w:pPr>
              <w:pStyle w:val="TableContents"/>
              <w:bidi w:val="0"/>
              <w:spacing w:lineRule="auto" w:line="300" w:before="0" w:after="0"/>
              <w:jc w:val="left"/>
              <w:rPr>
                <w:b/>
              </w:rPr>
            </w:pPr>
            <w:r>
              <w:rPr>
                <w:b/>
              </w:rPr>
              <w:t>Share Capital</w:t>
            </w:r>
          </w:p>
        </w:tc>
        <w:tc>
          <w:tcPr>
            <w:tcW w:w="440" w:type="dxa"/>
            <w:tcBorders/>
            <w:vAlign w:val="center"/>
          </w:tcPr>
          <w:p>
            <w:pPr>
              <w:pStyle w:val="TableContents"/>
              <w:bidi w:val="0"/>
              <w:spacing w:lineRule="auto" w:line="300" w:before="0" w:after="0"/>
              <w:jc w:val="left"/>
              <w:rPr/>
            </w:pPr>
            <w:r>
              <w:rPr/>
              <w:t>95</w:t>
            </w:r>
          </w:p>
        </w:tc>
      </w:tr>
      <w:tr>
        <w:trPr/>
        <w:tc>
          <w:tcPr>
            <w:tcW w:w="445" w:type="dxa"/>
            <w:tcBorders/>
            <w:vAlign w:val="center"/>
          </w:tcPr>
          <w:p>
            <w:pPr>
              <w:pStyle w:val="TableContents"/>
              <w:bidi w:val="0"/>
              <w:spacing w:lineRule="auto" w:line="300" w:before="0" w:after="0"/>
              <w:jc w:val="left"/>
              <w:rPr>
                <w:b/>
              </w:rPr>
            </w:pPr>
            <w:r>
              <w:rPr>
                <w:b/>
              </w:rPr>
              <w:t>B.</w:t>
            </w:r>
          </w:p>
        </w:tc>
        <w:tc>
          <w:tcPr>
            <w:tcW w:w="8334" w:type="dxa"/>
            <w:tcBorders/>
            <w:vAlign w:val="center"/>
          </w:tcPr>
          <w:p>
            <w:pPr>
              <w:pStyle w:val="TableContents"/>
              <w:bidi w:val="0"/>
              <w:spacing w:lineRule="auto" w:line="300" w:before="0" w:after="0"/>
              <w:jc w:val="left"/>
              <w:rPr>
                <w:b/>
              </w:rPr>
            </w:pPr>
            <w:r>
              <w:rPr>
                <w:b/>
              </w:rPr>
              <w:t>Memorandum and Articles of Association</w:t>
            </w:r>
          </w:p>
        </w:tc>
        <w:tc>
          <w:tcPr>
            <w:tcW w:w="440" w:type="dxa"/>
            <w:tcBorders/>
            <w:vAlign w:val="center"/>
          </w:tcPr>
          <w:p>
            <w:pPr>
              <w:pStyle w:val="TableContents"/>
              <w:bidi w:val="0"/>
              <w:spacing w:lineRule="auto" w:line="300" w:before="0" w:after="0"/>
              <w:jc w:val="left"/>
              <w:rPr/>
            </w:pPr>
            <w:r>
              <w:rPr/>
              <w:t>95</w:t>
            </w:r>
          </w:p>
        </w:tc>
      </w:tr>
      <w:tr>
        <w:trPr/>
        <w:tc>
          <w:tcPr>
            <w:tcW w:w="445" w:type="dxa"/>
            <w:tcBorders/>
            <w:vAlign w:val="center"/>
          </w:tcPr>
          <w:p>
            <w:pPr>
              <w:pStyle w:val="TableContents"/>
              <w:bidi w:val="0"/>
              <w:spacing w:lineRule="auto" w:line="300" w:before="0" w:after="0"/>
              <w:jc w:val="left"/>
              <w:rPr>
                <w:b/>
              </w:rPr>
            </w:pPr>
            <w:r>
              <w:rPr>
                <w:b/>
              </w:rPr>
              <w:t>C.</w:t>
            </w:r>
          </w:p>
        </w:tc>
        <w:tc>
          <w:tcPr>
            <w:tcW w:w="8334" w:type="dxa"/>
            <w:tcBorders/>
            <w:vAlign w:val="center"/>
          </w:tcPr>
          <w:p>
            <w:pPr>
              <w:pStyle w:val="TableContents"/>
              <w:bidi w:val="0"/>
              <w:spacing w:lineRule="auto" w:line="300" w:before="0" w:after="0"/>
              <w:jc w:val="left"/>
              <w:rPr>
                <w:b/>
              </w:rPr>
            </w:pPr>
            <w:r>
              <w:rPr>
                <w:b/>
              </w:rPr>
              <w:t>Material Contracts</w:t>
            </w:r>
          </w:p>
        </w:tc>
        <w:tc>
          <w:tcPr>
            <w:tcW w:w="440" w:type="dxa"/>
            <w:tcBorders/>
            <w:vAlign w:val="center"/>
          </w:tcPr>
          <w:p>
            <w:pPr>
              <w:pStyle w:val="TableContents"/>
              <w:bidi w:val="0"/>
              <w:spacing w:lineRule="auto" w:line="300" w:before="0" w:after="0"/>
              <w:jc w:val="left"/>
              <w:rPr/>
            </w:pPr>
            <w:r>
              <w:rPr/>
              <w:t>95</w:t>
            </w:r>
          </w:p>
        </w:tc>
      </w:tr>
      <w:tr>
        <w:trPr/>
        <w:tc>
          <w:tcPr>
            <w:tcW w:w="445" w:type="dxa"/>
            <w:tcBorders/>
            <w:vAlign w:val="center"/>
          </w:tcPr>
          <w:p>
            <w:pPr>
              <w:pStyle w:val="TableContents"/>
              <w:bidi w:val="0"/>
              <w:spacing w:lineRule="auto" w:line="300" w:before="0" w:after="0"/>
              <w:jc w:val="left"/>
              <w:rPr>
                <w:b/>
              </w:rPr>
            </w:pPr>
            <w:r>
              <w:rPr>
                <w:b/>
              </w:rPr>
              <w:t>D.</w:t>
            </w:r>
          </w:p>
        </w:tc>
        <w:tc>
          <w:tcPr>
            <w:tcW w:w="8334" w:type="dxa"/>
            <w:tcBorders/>
            <w:vAlign w:val="center"/>
          </w:tcPr>
          <w:p>
            <w:pPr>
              <w:pStyle w:val="TableContents"/>
              <w:bidi w:val="0"/>
              <w:spacing w:lineRule="auto" w:line="300" w:before="0" w:after="0"/>
              <w:jc w:val="left"/>
              <w:rPr>
                <w:b/>
              </w:rPr>
            </w:pPr>
            <w:r>
              <w:rPr>
                <w:b/>
              </w:rPr>
              <w:t>Exchange Controls</w:t>
            </w:r>
          </w:p>
        </w:tc>
        <w:tc>
          <w:tcPr>
            <w:tcW w:w="440" w:type="dxa"/>
            <w:tcBorders/>
            <w:vAlign w:val="center"/>
          </w:tcPr>
          <w:p>
            <w:pPr>
              <w:pStyle w:val="TableContents"/>
              <w:bidi w:val="0"/>
              <w:spacing w:lineRule="auto" w:line="300" w:before="0" w:after="0"/>
              <w:jc w:val="left"/>
              <w:rPr/>
            </w:pPr>
            <w:r>
              <w:rPr/>
              <w:t>95</w:t>
            </w:r>
          </w:p>
        </w:tc>
      </w:tr>
      <w:tr>
        <w:trPr/>
        <w:tc>
          <w:tcPr>
            <w:tcW w:w="445" w:type="dxa"/>
            <w:tcBorders/>
            <w:vAlign w:val="center"/>
          </w:tcPr>
          <w:p>
            <w:pPr>
              <w:pStyle w:val="TableContents"/>
              <w:bidi w:val="0"/>
              <w:spacing w:lineRule="auto" w:line="300" w:before="0" w:after="0"/>
              <w:jc w:val="left"/>
              <w:rPr>
                <w:b/>
              </w:rPr>
            </w:pPr>
            <w:r>
              <w:rPr>
                <w:b/>
              </w:rPr>
              <w:t>E.</w:t>
            </w:r>
          </w:p>
        </w:tc>
        <w:tc>
          <w:tcPr>
            <w:tcW w:w="8334" w:type="dxa"/>
            <w:tcBorders/>
            <w:vAlign w:val="center"/>
          </w:tcPr>
          <w:p>
            <w:pPr>
              <w:pStyle w:val="TableContents"/>
              <w:bidi w:val="0"/>
              <w:spacing w:lineRule="auto" w:line="300" w:before="0" w:after="0"/>
              <w:jc w:val="left"/>
              <w:rPr>
                <w:b/>
              </w:rPr>
            </w:pPr>
            <w:r>
              <w:rPr>
                <w:b/>
              </w:rPr>
              <w:t>Taxation</w:t>
            </w:r>
          </w:p>
        </w:tc>
        <w:tc>
          <w:tcPr>
            <w:tcW w:w="440" w:type="dxa"/>
            <w:tcBorders/>
            <w:vAlign w:val="center"/>
          </w:tcPr>
          <w:p>
            <w:pPr>
              <w:pStyle w:val="TableContents"/>
              <w:bidi w:val="0"/>
              <w:spacing w:lineRule="auto" w:line="300" w:before="0" w:after="0"/>
              <w:jc w:val="left"/>
              <w:rPr/>
            </w:pPr>
            <w:r>
              <w:rPr/>
              <w:t>95</w:t>
            </w:r>
          </w:p>
        </w:tc>
      </w:tr>
      <w:tr>
        <w:trPr/>
        <w:tc>
          <w:tcPr>
            <w:tcW w:w="445" w:type="dxa"/>
            <w:tcBorders/>
            <w:vAlign w:val="center"/>
          </w:tcPr>
          <w:p>
            <w:pPr>
              <w:pStyle w:val="TableContents"/>
              <w:bidi w:val="0"/>
              <w:spacing w:lineRule="auto" w:line="300" w:before="0" w:after="0"/>
              <w:jc w:val="left"/>
              <w:rPr>
                <w:b/>
              </w:rPr>
            </w:pPr>
            <w:r>
              <w:rPr>
                <w:b/>
              </w:rPr>
              <w:t>F.</w:t>
            </w:r>
          </w:p>
        </w:tc>
        <w:tc>
          <w:tcPr>
            <w:tcW w:w="8334" w:type="dxa"/>
            <w:tcBorders/>
            <w:vAlign w:val="center"/>
          </w:tcPr>
          <w:p>
            <w:pPr>
              <w:pStyle w:val="TableContents"/>
              <w:bidi w:val="0"/>
              <w:spacing w:lineRule="auto" w:line="300" w:before="0" w:after="0"/>
              <w:jc w:val="left"/>
              <w:rPr>
                <w:b/>
              </w:rPr>
            </w:pPr>
            <w:r>
              <w:rPr>
                <w:b/>
              </w:rPr>
              <w:t>Dividends and Paying Agents</w:t>
            </w:r>
          </w:p>
        </w:tc>
        <w:tc>
          <w:tcPr>
            <w:tcW w:w="440" w:type="dxa"/>
            <w:tcBorders/>
            <w:vAlign w:val="center"/>
          </w:tcPr>
          <w:p>
            <w:pPr>
              <w:pStyle w:val="TableContents"/>
              <w:bidi w:val="0"/>
              <w:spacing w:lineRule="auto" w:line="300" w:before="0" w:after="0"/>
              <w:jc w:val="left"/>
              <w:rPr/>
            </w:pPr>
            <w:r>
              <w:rPr/>
              <w:t>103</w:t>
            </w:r>
          </w:p>
        </w:tc>
      </w:tr>
      <w:tr>
        <w:trPr/>
        <w:tc>
          <w:tcPr>
            <w:tcW w:w="445" w:type="dxa"/>
            <w:tcBorders/>
            <w:vAlign w:val="center"/>
          </w:tcPr>
          <w:p>
            <w:pPr>
              <w:pStyle w:val="TableContents"/>
              <w:bidi w:val="0"/>
              <w:spacing w:lineRule="auto" w:line="300" w:before="0" w:after="0"/>
              <w:jc w:val="left"/>
              <w:rPr>
                <w:b/>
              </w:rPr>
            </w:pPr>
            <w:r>
              <w:rPr>
                <w:b/>
              </w:rPr>
              <w:t>G.</w:t>
            </w:r>
          </w:p>
        </w:tc>
        <w:tc>
          <w:tcPr>
            <w:tcW w:w="8334" w:type="dxa"/>
            <w:tcBorders/>
            <w:vAlign w:val="center"/>
          </w:tcPr>
          <w:p>
            <w:pPr>
              <w:pStyle w:val="TableContents"/>
              <w:bidi w:val="0"/>
              <w:spacing w:lineRule="auto" w:line="300" w:before="0" w:after="0"/>
              <w:jc w:val="left"/>
              <w:rPr>
                <w:b/>
              </w:rPr>
            </w:pPr>
            <w:r>
              <w:rPr>
                <w:b/>
              </w:rPr>
              <w:t>Statement by Experts</w:t>
            </w:r>
          </w:p>
        </w:tc>
        <w:tc>
          <w:tcPr>
            <w:tcW w:w="440" w:type="dxa"/>
            <w:tcBorders/>
            <w:vAlign w:val="center"/>
          </w:tcPr>
          <w:p>
            <w:pPr>
              <w:pStyle w:val="TableContents"/>
              <w:bidi w:val="0"/>
              <w:spacing w:lineRule="auto" w:line="300" w:before="0" w:after="0"/>
              <w:jc w:val="left"/>
              <w:rPr/>
            </w:pPr>
            <w:r>
              <w:rPr/>
              <w:t>103</w:t>
            </w:r>
          </w:p>
        </w:tc>
      </w:tr>
      <w:tr>
        <w:trPr/>
        <w:tc>
          <w:tcPr>
            <w:tcW w:w="445" w:type="dxa"/>
            <w:tcBorders/>
            <w:vAlign w:val="center"/>
          </w:tcPr>
          <w:p>
            <w:pPr>
              <w:pStyle w:val="TableContents"/>
              <w:bidi w:val="0"/>
              <w:spacing w:lineRule="auto" w:line="300" w:before="0" w:after="0"/>
              <w:jc w:val="left"/>
              <w:rPr>
                <w:b/>
              </w:rPr>
            </w:pPr>
            <w:r>
              <w:rPr>
                <w:b/>
              </w:rPr>
              <w:t>H.</w:t>
            </w:r>
          </w:p>
        </w:tc>
        <w:tc>
          <w:tcPr>
            <w:tcW w:w="8334" w:type="dxa"/>
            <w:tcBorders/>
            <w:vAlign w:val="center"/>
          </w:tcPr>
          <w:p>
            <w:pPr>
              <w:pStyle w:val="TableContents"/>
              <w:bidi w:val="0"/>
              <w:spacing w:lineRule="auto" w:line="300" w:before="0" w:after="0"/>
              <w:jc w:val="left"/>
              <w:rPr>
                <w:b/>
              </w:rPr>
            </w:pPr>
            <w:r>
              <w:rPr>
                <w:b/>
              </w:rPr>
              <w:t>Documents on Display</w:t>
            </w:r>
          </w:p>
        </w:tc>
        <w:tc>
          <w:tcPr>
            <w:tcW w:w="440" w:type="dxa"/>
            <w:tcBorders/>
            <w:vAlign w:val="center"/>
          </w:tcPr>
          <w:p>
            <w:pPr>
              <w:pStyle w:val="TableContents"/>
              <w:bidi w:val="0"/>
              <w:spacing w:before="0" w:after="283"/>
              <w:jc w:val="left"/>
              <w:rPr/>
            </w:pPr>
            <w:r>
              <w:rPr/>
              <w:t>103</w:t>
            </w:r>
          </w:p>
        </w:tc>
      </w:tr>
      <w:tr>
        <w:trPr/>
        <w:tc>
          <w:tcPr>
            <w:tcW w:w="445" w:type="dxa"/>
            <w:tcBorders/>
            <w:vAlign w:val="center"/>
          </w:tcPr>
          <w:p>
            <w:pPr>
              <w:pStyle w:val="TableContents"/>
              <w:bidi w:val="0"/>
              <w:spacing w:lineRule="auto" w:line="300" w:before="0" w:after="0"/>
              <w:jc w:val="left"/>
              <w:rPr>
                <w:b/>
              </w:rPr>
            </w:pPr>
            <w:r>
              <w:rPr>
                <w:b/>
              </w:rPr>
              <w:t>I.</w:t>
            </w:r>
          </w:p>
        </w:tc>
        <w:tc>
          <w:tcPr>
            <w:tcW w:w="8334" w:type="dxa"/>
            <w:tcBorders/>
            <w:vAlign w:val="center"/>
          </w:tcPr>
          <w:p>
            <w:pPr>
              <w:pStyle w:val="TableContents"/>
              <w:bidi w:val="0"/>
              <w:spacing w:lineRule="auto" w:line="300" w:before="0" w:after="0"/>
              <w:jc w:val="left"/>
              <w:rPr>
                <w:b/>
              </w:rPr>
            </w:pPr>
            <w:r>
              <w:rPr>
                <w:b/>
              </w:rPr>
              <w:t>Subsidiary Information</w:t>
            </w:r>
          </w:p>
        </w:tc>
        <w:tc>
          <w:tcPr>
            <w:tcW w:w="440" w:type="dxa"/>
            <w:tcBorders/>
            <w:vAlign w:val="center"/>
          </w:tcPr>
          <w:p>
            <w:pPr>
              <w:pStyle w:val="TableContents"/>
              <w:bidi w:val="0"/>
              <w:spacing w:lineRule="auto" w:line="300" w:before="0" w:after="0"/>
              <w:jc w:val="left"/>
              <w:rPr/>
            </w:pPr>
            <w:r>
              <w:rPr/>
              <w:t>104</w:t>
            </w:r>
          </w:p>
        </w:tc>
      </w:tr>
      <w:tr>
        <w:trPr/>
        <w:tc>
          <w:tcPr>
            <w:tcW w:w="445" w:type="dxa"/>
            <w:tcBorders/>
            <w:vAlign w:val="center"/>
          </w:tcPr>
          <w:p>
            <w:pPr>
              <w:pStyle w:val="TableContents"/>
              <w:bidi w:val="0"/>
              <w:spacing w:lineRule="auto" w:line="300" w:before="0" w:after="0"/>
              <w:jc w:val="left"/>
              <w:rPr>
                <w:b/>
              </w:rPr>
            </w:pPr>
            <w:r>
              <w:rPr>
                <w:b/>
              </w:rPr>
              <w:t>J.</w:t>
            </w:r>
          </w:p>
        </w:tc>
        <w:tc>
          <w:tcPr>
            <w:tcW w:w="8334" w:type="dxa"/>
            <w:tcBorders/>
            <w:vAlign w:val="center"/>
          </w:tcPr>
          <w:p>
            <w:pPr>
              <w:pStyle w:val="TableContents"/>
              <w:bidi w:val="0"/>
              <w:spacing w:lineRule="auto" w:line="300" w:before="0" w:after="0"/>
              <w:jc w:val="left"/>
              <w:rPr>
                <w:b/>
              </w:rPr>
            </w:pPr>
            <w:r>
              <w:rPr>
                <w:b/>
              </w:rPr>
              <w:t>Annual Report to Security Holders</w:t>
            </w:r>
          </w:p>
        </w:tc>
        <w:tc>
          <w:tcPr>
            <w:tcW w:w="440" w:type="dxa"/>
            <w:tcBorders/>
            <w:vAlign w:val="center"/>
          </w:tcPr>
          <w:p>
            <w:pPr>
              <w:pStyle w:val="TableContents"/>
              <w:bidi w:val="0"/>
              <w:spacing w:lineRule="auto" w:line="300" w:before="0" w:after="0"/>
              <w:jc w:val="left"/>
              <w:rPr/>
            </w:pPr>
            <w:r>
              <w:rPr/>
              <w:t>104</w:t>
            </w:r>
          </w:p>
        </w:tc>
      </w:tr>
    </w:tbl>
    <w:p>
      <w:pPr>
        <w:pStyle w:val="TextBody"/>
        <w:bidi w:val="0"/>
        <w:spacing w:lineRule="auto" w:line="300" w:before="0" w:after="0"/>
        <w:jc w:val="left"/>
        <w:rPr/>
      </w:pPr>
      <w:r>
        <w:rPr/>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8" w:name="z09170f9083d14d5187b3301154cb70c3"/>
      <w:bookmarkStart w:id="9" w:name="z09170f9083d14d5187b3301154cb70c3"/>
      <w:bookmarkEnd w:id="9"/>
    </w:p>
    <w:tbl>
      <w:tblPr>
        <w:tblW w:w="10205" w:type="dxa"/>
        <w:jc w:val="left"/>
        <w:tblInd w:w="0" w:type="dxa"/>
        <w:tblLayout w:type="fixed"/>
        <w:tblCellMar>
          <w:top w:w="30" w:type="dxa"/>
          <w:left w:w="30" w:type="dxa"/>
          <w:bottom w:w="30" w:type="dxa"/>
          <w:right w:w="30" w:type="dxa"/>
        </w:tblCellMar>
      </w:tblPr>
      <w:tblGrid>
        <w:gridCol w:w="9765"/>
        <w:gridCol w:w="440"/>
      </w:tblGrid>
      <w:tr>
        <w:trPr/>
        <w:tc>
          <w:tcPr>
            <w:tcW w:w="9765" w:type="dxa"/>
            <w:tcBorders/>
            <w:vAlign w:val="center"/>
          </w:tcPr>
          <w:p>
            <w:pPr>
              <w:pStyle w:val="TableContents"/>
              <w:bidi w:val="0"/>
              <w:spacing w:lineRule="auto" w:line="300" w:before="0" w:after="0"/>
              <w:jc w:val="left"/>
              <w:rPr/>
            </w:pPr>
            <w:hyperlink w:anchor="Item11">
              <w:r>
                <w:rPr>
                  <w:rStyle w:val="InternetLink"/>
                  <w:rFonts w:ascii="Times New Roman;Times;serif" w:hAnsi="Times New Roman;Times;serif"/>
                  <w:b/>
                </w:rPr>
                <w:t>ITEM 11. QUANTITATIVE AND QUALITATIVE DISCLOSURES ABOUT MARKET RISK</w:t>
              </w:r>
            </w:hyperlink>
          </w:p>
        </w:tc>
        <w:tc>
          <w:tcPr>
            <w:tcW w:w="44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104</w:t>
            </w:r>
          </w:p>
        </w:tc>
      </w:tr>
      <w:tr>
        <w:trPr/>
        <w:tc>
          <w:tcPr>
            <w:tcW w:w="9765" w:type="dxa"/>
            <w:tcBorders/>
            <w:vAlign w:val="center"/>
          </w:tcPr>
          <w:p>
            <w:pPr>
              <w:pStyle w:val="TableContents"/>
              <w:bidi w:val="0"/>
              <w:spacing w:lineRule="auto" w:line="300" w:before="0" w:after="0"/>
              <w:jc w:val="left"/>
              <w:rPr/>
            </w:pPr>
            <w:hyperlink w:anchor="Item12">
              <w:r>
                <w:rPr>
                  <w:rStyle w:val="InternetLink"/>
                  <w:rFonts w:ascii="Times New Roman;Times;serif" w:hAnsi="Times New Roman;Times;serif"/>
                  <w:b/>
                </w:rPr>
                <w:t>ITEM 12. DESCRIPTION OF SECURITIES OTHER THAN EQUITY SECURITIES</w:t>
              </w:r>
            </w:hyperlink>
          </w:p>
        </w:tc>
        <w:tc>
          <w:tcPr>
            <w:tcW w:w="44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105</w:t>
            </w:r>
          </w:p>
        </w:tc>
      </w:tr>
      <w:tr>
        <w:trPr/>
        <w:tc>
          <w:tcPr>
            <w:tcW w:w="9765" w:type="dxa"/>
            <w:tcBorders/>
            <w:vAlign w:val="center"/>
          </w:tcPr>
          <w:p>
            <w:pPr>
              <w:pStyle w:val="TableContents"/>
              <w:bidi w:val="0"/>
              <w:spacing w:lineRule="auto" w:line="300" w:before="0" w:after="0"/>
              <w:jc w:val="left"/>
              <w:rPr/>
            </w:pPr>
            <w:hyperlink w:anchor="PARTII">
              <w:r>
                <w:rPr>
                  <w:rStyle w:val="InternetLink"/>
                  <w:rFonts w:ascii="Times New Roman;Times;serif" w:hAnsi="Times New Roman;Times;serif"/>
                  <w:b/>
                </w:rPr>
                <w:t>PART II</w:t>
              </w:r>
            </w:hyperlink>
          </w:p>
        </w:tc>
        <w:tc>
          <w:tcPr>
            <w:tcW w:w="44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105</w:t>
            </w:r>
          </w:p>
        </w:tc>
      </w:tr>
      <w:tr>
        <w:trPr/>
        <w:tc>
          <w:tcPr>
            <w:tcW w:w="9765" w:type="dxa"/>
            <w:tcBorders/>
            <w:vAlign w:val="center"/>
          </w:tcPr>
          <w:p>
            <w:pPr>
              <w:pStyle w:val="TableContents"/>
              <w:bidi w:val="0"/>
              <w:spacing w:lineRule="auto" w:line="300" w:before="0" w:after="0"/>
              <w:jc w:val="left"/>
              <w:rPr/>
            </w:pPr>
            <w:hyperlink w:anchor="Item13">
              <w:r>
                <w:rPr>
                  <w:rStyle w:val="InternetLink"/>
                  <w:rFonts w:ascii="Times New Roman;Times;serif" w:hAnsi="Times New Roman;Times;serif"/>
                  <w:b/>
                </w:rPr>
                <w:t>ITEM 13. DEFAULTS, DIVIDEND ARREARAGES AND DELINQUENCIES</w:t>
              </w:r>
            </w:hyperlink>
          </w:p>
        </w:tc>
        <w:tc>
          <w:tcPr>
            <w:tcW w:w="44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105</w:t>
            </w:r>
          </w:p>
        </w:tc>
      </w:tr>
      <w:tr>
        <w:trPr/>
        <w:tc>
          <w:tcPr>
            <w:tcW w:w="9765" w:type="dxa"/>
            <w:tcBorders/>
            <w:vAlign w:val="center"/>
          </w:tcPr>
          <w:p>
            <w:pPr>
              <w:pStyle w:val="TableContents"/>
              <w:bidi w:val="0"/>
              <w:spacing w:lineRule="auto" w:line="300" w:before="0" w:after="0"/>
              <w:jc w:val="left"/>
              <w:rPr/>
            </w:pPr>
            <w:hyperlink w:anchor="Item14">
              <w:r>
                <w:rPr>
                  <w:rStyle w:val="InternetLink"/>
                  <w:rFonts w:ascii="Times New Roman;Times;serif" w:hAnsi="Times New Roman;Times;serif"/>
                  <w:b/>
                </w:rPr>
                <w:t>ITEM 14. MATERIAL MODIFICATIONS TO THE RIGHTS OF SECURITY HOLDERS AND USE OF PROCEEDS</w:t>
              </w:r>
            </w:hyperlink>
          </w:p>
        </w:tc>
        <w:tc>
          <w:tcPr>
            <w:tcW w:w="44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105</w:t>
            </w:r>
          </w:p>
        </w:tc>
      </w:tr>
      <w:tr>
        <w:trPr/>
        <w:tc>
          <w:tcPr>
            <w:tcW w:w="9765" w:type="dxa"/>
            <w:tcBorders/>
            <w:vAlign w:val="center"/>
          </w:tcPr>
          <w:p>
            <w:pPr>
              <w:pStyle w:val="TableContents"/>
              <w:bidi w:val="0"/>
              <w:spacing w:lineRule="auto" w:line="300" w:before="0" w:after="0"/>
              <w:jc w:val="left"/>
              <w:rPr/>
            </w:pPr>
            <w:hyperlink w:anchor="Item15">
              <w:r>
                <w:rPr>
                  <w:rStyle w:val="InternetLink"/>
                  <w:rFonts w:ascii="Times New Roman;Times;serif" w:hAnsi="Times New Roman;Times;serif"/>
                  <w:b/>
                </w:rPr>
                <w:t>ITEM 15. CONTROLS AND PROCEDURES</w:t>
              </w:r>
            </w:hyperlink>
          </w:p>
        </w:tc>
        <w:tc>
          <w:tcPr>
            <w:tcW w:w="44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105</w:t>
            </w:r>
          </w:p>
        </w:tc>
      </w:tr>
      <w:tr>
        <w:trPr/>
        <w:tc>
          <w:tcPr>
            <w:tcW w:w="9765" w:type="dxa"/>
            <w:tcBorders/>
            <w:vAlign w:val="center"/>
          </w:tcPr>
          <w:p>
            <w:pPr>
              <w:pStyle w:val="TableContents"/>
              <w:bidi w:val="0"/>
              <w:spacing w:lineRule="auto" w:line="300" w:before="0" w:after="0"/>
              <w:jc w:val="left"/>
              <w:rPr/>
            </w:pPr>
            <w:hyperlink w:anchor="Item16">
              <w:r>
                <w:rPr>
                  <w:rStyle w:val="InternetLink"/>
                  <w:rFonts w:ascii="Times New Roman;Times;serif" w:hAnsi="Times New Roman;Times;serif"/>
                  <w:b/>
                </w:rPr>
                <w:t>ITEM 16. [RESERVED]</w:t>
              </w:r>
            </w:hyperlink>
          </w:p>
        </w:tc>
        <w:tc>
          <w:tcPr>
            <w:tcW w:w="44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106</w:t>
            </w:r>
          </w:p>
        </w:tc>
      </w:tr>
      <w:tr>
        <w:trPr/>
        <w:tc>
          <w:tcPr>
            <w:tcW w:w="9765" w:type="dxa"/>
            <w:tcBorders/>
            <w:vAlign w:val="center"/>
          </w:tcPr>
          <w:p>
            <w:pPr>
              <w:pStyle w:val="TableContents"/>
              <w:bidi w:val="0"/>
              <w:spacing w:lineRule="auto" w:line="300" w:before="0" w:after="0"/>
              <w:jc w:val="left"/>
              <w:rPr/>
            </w:pPr>
            <w:hyperlink w:anchor="Item16A">
              <w:r>
                <w:rPr>
                  <w:rStyle w:val="InternetLink"/>
                  <w:rFonts w:ascii="Times New Roman;Times;serif" w:hAnsi="Times New Roman;Times;serif"/>
                  <w:b/>
                </w:rPr>
                <w:t>ITEM 16A. AUDIT COMMITTEE FINANCIAL EXPERT</w:t>
              </w:r>
            </w:hyperlink>
          </w:p>
        </w:tc>
        <w:tc>
          <w:tcPr>
            <w:tcW w:w="44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106</w:t>
            </w:r>
          </w:p>
        </w:tc>
      </w:tr>
      <w:tr>
        <w:trPr/>
        <w:tc>
          <w:tcPr>
            <w:tcW w:w="9765" w:type="dxa"/>
            <w:tcBorders/>
            <w:vAlign w:val="center"/>
          </w:tcPr>
          <w:p>
            <w:pPr>
              <w:pStyle w:val="TableContents"/>
              <w:bidi w:val="0"/>
              <w:spacing w:lineRule="auto" w:line="300" w:before="0" w:after="0"/>
              <w:jc w:val="left"/>
              <w:rPr/>
            </w:pPr>
            <w:hyperlink w:anchor="Item16B">
              <w:r>
                <w:rPr>
                  <w:rStyle w:val="InternetLink"/>
                  <w:rFonts w:ascii="Times New Roman;Times;serif" w:hAnsi="Times New Roman;Times;serif"/>
                  <w:b/>
                </w:rPr>
                <w:t>ITEM 16B. CODE OF ETHICS</w:t>
              </w:r>
            </w:hyperlink>
          </w:p>
        </w:tc>
        <w:tc>
          <w:tcPr>
            <w:tcW w:w="44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106</w:t>
            </w:r>
          </w:p>
        </w:tc>
      </w:tr>
      <w:tr>
        <w:trPr/>
        <w:tc>
          <w:tcPr>
            <w:tcW w:w="9765" w:type="dxa"/>
            <w:tcBorders/>
            <w:vAlign w:val="center"/>
          </w:tcPr>
          <w:p>
            <w:pPr>
              <w:pStyle w:val="TableContents"/>
              <w:bidi w:val="0"/>
              <w:spacing w:lineRule="auto" w:line="300" w:before="0" w:after="0"/>
              <w:jc w:val="left"/>
              <w:rPr/>
            </w:pPr>
            <w:hyperlink w:anchor="Item16C">
              <w:r>
                <w:rPr>
                  <w:rStyle w:val="InternetLink"/>
                  <w:rFonts w:ascii="Times New Roman;Times;serif" w:hAnsi="Times New Roman;Times;serif"/>
                  <w:b/>
                </w:rPr>
                <w:t>ITEM 16C. PRINCIPAL ACCOUNTANT FEES AND SERVICES</w:t>
              </w:r>
            </w:hyperlink>
          </w:p>
        </w:tc>
        <w:tc>
          <w:tcPr>
            <w:tcW w:w="44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106</w:t>
            </w:r>
          </w:p>
        </w:tc>
      </w:tr>
      <w:tr>
        <w:trPr/>
        <w:tc>
          <w:tcPr>
            <w:tcW w:w="9765" w:type="dxa"/>
            <w:tcBorders/>
            <w:vAlign w:val="center"/>
          </w:tcPr>
          <w:p>
            <w:pPr>
              <w:pStyle w:val="TableContents"/>
              <w:bidi w:val="0"/>
              <w:spacing w:lineRule="auto" w:line="300" w:before="0" w:after="0"/>
              <w:jc w:val="left"/>
              <w:rPr/>
            </w:pPr>
            <w:hyperlink w:anchor="Item16D">
              <w:r>
                <w:rPr>
                  <w:rStyle w:val="InternetLink"/>
                  <w:rFonts w:ascii="Times New Roman;Times;serif" w:hAnsi="Times New Roman;Times;serif"/>
                  <w:b/>
                </w:rPr>
                <w:t>ITEM 16D. EXEMPTIONS FROM THE LISTING STANDARDS FOR AUDIT COMMITTEES</w:t>
              </w:r>
            </w:hyperlink>
          </w:p>
        </w:tc>
        <w:tc>
          <w:tcPr>
            <w:tcW w:w="44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107</w:t>
            </w:r>
          </w:p>
        </w:tc>
      </w:tr>
      <w:tr>
        <w:trPr/>
        <w:tc>
          <w:tcPr>
            <w:tcW w:w="9765" w:type="dxa"/>
            <w:tcBorders/>
            <w:vAlign w:val="center"/>
          </w:tcPr>
          <w:p>
            <w:pPr>
              <w:pStyle w:val="TableContents"/>
              <w:bidi w:val="0"/>
              <w:spacing w:lineRule="auto" w:line="300" w:before="0" w:after="0"/>
              <w:jc w:val="left"/>
              <w:rPr/>
            </w:pPr>
            <w:hyperlink w:anchor="Item16E">
              <w:r>
                <w:rPr>
                  <w:rStyle w:val="InternetLink"/>
                  <w:rFonts w:ascii="Times New Roman;Times;serif" w:hAnsi="Times New Roman;Times;serif"/>
                  <w:b/>
                </w:rPr>
                <w:t>ITEM 16E. PURCHASES OF EQUITY SECURITIES BY THE ISSUER AND AFFILIATED PURCHASERS</w:t>
              </w:r>
            </w:hyperlink>
          </w:p>
        </w:tc>
        <w:tc>
          <w:tcPr>
            <w:tcW w:w="44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107</w:t>
            </w:r>
          </w:p>
        </w:tc>
      </w:tr>
      <w:tr>
        <w:trPr/>
        <w:tc>
          <w:tcPr>
            <w:tcW w:w="9765" w:type="dxa"/>
            <w:tcBorders/>
            <w:vAlign w:val="center"/>
          </w:tcPr>
          <w:p>
            <w:pPr>
              <w:pStyle w:val="TableContents"/>
              <w:bidi w:val="0"/>
              <w:spacing w:lineRule="auto" w:line="300" w:before="0" w:after="0"/>
              <w:jc w:val="left"/>
              <w:rPr/>
            </w:pPr>
            <w:hyperlink w:anchor="Item16F">
              <w:r>
                <w:rPr>
                  <w:rStyle w:val="InternetLink"/>
                  <w:rFonts w:ascii="Times New Roman;Times;serif" w:hAnsi="Times New Roman;Times;serif"/>
                  <w:b/>
                </w:rPr>
                <w:t>ITEM 16F. CHANGE IN REGISTRANT’S CERTIFYING ACCOUNTANT</w:t>
              </w:r>
            </w:hyperlink>
          </w:p>
        </w:tc>
        <w:tc>
          <w:tcPr>
            <w:tcW w:w="44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107</w:t>
            </w:r>
          </w:p>
        </w:tc>
      </w:tr>
      <w:tr>
        <w:trPr/>
        <w:tc>
          <w:tcPr>
            <w:tcW w:w="9765" w:type="dxa"/>
            <w:tcBorders/>
            <w:vAlign w:val="center"/>
          </w:tcPr>
          <w:p>
            <w:pPr>
              <w:pStyle w:val="TableContents"/>
              <w:bidi w:val="0"/>
              <w:spacing w:lineRule="auto" w:line="300" w:before="0" w:after="0"/>
              <w:jc w:val="left"/>
              <w:rPr/>
            </w:pPr>
            <w:hyperlink w:anchor="Item16G">
              <w:r>
                <w:rPr>
                  <w:rStyle w:val="InternetLink"/>
                  <w:rFonts w:ascii="Times New Roman;Times;serif" w:hAnsi="Times New Roman;Times;serif"/>
                  <w:b/>
                </w:rPr>
                <w:t>ITEM 16G. CORPORATE GOVERNANCE</w:t>
              </w:r>
            </w:hyperlink>
          </w:p>
        </w:tc>
        <w:tc>
          <w:tcPr>
            <w:tcW w:w="44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107</w:t>
            </w:r>
          </w:p>
        </w:tc>
      </w:tr>
      <w:tr>
        <w:trPr/>
        <w:tc>
          <w:tcPr>
            <w:tcW w:w="9765" w:type="dxa"/>
            <w:tcBorders/>
            <w:vAlign w:val="center"/>
          </w:tcPr>
          <w:p>
            <w:pPr>
              <w:pStyle w:val="TableContents"/>
              <w:bidi w:val="0"/>
              <w:spacing w:lineRule="auto" w:line="300" w:before="0" w:after="0"/>
              <w:jc w:val="left"/>
              <w:rPr/>
            </w:pPr>
            <w:hyperlink w:anchor="Item16H">
              <w:r>
                <w:rPr>
                  <w:rStyle w:val="InternetLink"/>
                  <w:rFonts w:ascii="Times New Roman;Times;serif" w:hAnsi="Times New Roman;Times;serif"/>
                  <w:b/>
                </w:rPr>
                <w:t>ITEM 16H. MINE SAFETY DISCLOSURE</w:t>
              </w:r>
            </w:hyperlink>
          </w:p>
        </w:tc>
        <w:tc>
          <w:tcPr>
            <w:tcW w:w="44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108</w:t>
            </w:r>
          </w:p>
        </w:tc>
      </w:tr>
      <w:tr>
        <w:trPr/>
        <w:tc>
          <w:tcPr>
            <w:tcW w:w="9765" w:type="dxa"/>
            <w:tcBorders/>
            <w:vAlign w:val="center"/>
          </w:tcPr>
          <w:p>
            <w:pPr>
              <w:pStyle w:val="TableContents"/>
              <w:bidi w:val="0"/>
              <w:spacing w:lineRule="auto" w:line="300" w:before="0" w:after="0"/>
              <w:jc w:val="left"/>
              <w:rPr/>
            </w:pPr>
            <w:hyperlink w:anchor="Item16I">
              <w:r>
                <w:rPr>
                  <w:rStyle w:val="InternetLink"/>
                  <w:rFonts w:ascii="Times New Roman;Times;serif" w:hAnsi="Times New Roman;Times;serif"/>
                  <w:b/>
                </w:rPr>
                <w:t>ITEM 16I. DISCLOSURE REGARDING FOREIGN JURISDICTIONS THAT PREVENT INSPECTIONS</w:t>
              </w:r>
            </w:hyperlink>
          </w:p>
        </w:tc>
        <w:tc>
          <w:tcPr>
            <w:tcW w:w="44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108</w:t>
            </w:r>
          </w:p>
        </w:tc>
      </w:tr>
      <w:tr>
        <w:trPr/>
        <w:tc>
          <w:tcPr>
            <w:tcW w:w="9765" w:type="dxa"/>
            <w:tcBorders/>
            <w:vAlign w:val="center"/>
          </w:tcPr>
          <w:p>
            <w:pPr>
              <w:pStyle w:val="TableContents"/>
              <w:bidi w:val="0"/>
              <w:spacing w:lineRule="auto" w:line="300" w:before="0" w:after="0"/>
              <w:jc w:val="left"/>
              <w:rPr/>
            </w:pPr>
            <w:hyperlink w:anchor="Item16J">
              <w:r>
                <w:rPr>
                  <w:rStyle w:val="InternetLink"/>
                  <w:rFonts w:ascii="Times New Roman;Times;serif" w:hAnsi="Times New Roman;Times;serif"/>
                  <w:b/>
                </w:rPr>
                <w:t>ITEM 16J. INSIDER TRADING POLICIES</w:t>
              </w:r>
            </w:hyperlink>
          </w:p>
        </w:tc>
        <w:tc>
          <w:tcPr>
            <w:tcW w:w="440" w:type="dxa"/>
            <w:tcBorders/>
            <w:vAlign w:val="center"/>
          </w:tcPr>
          <w:p>
            <w:pPr>
              <w:pStyle w:val="TableContents"/>
              <w:bidi w:val="0"/>
              <w:spacing w:before="0" w:after="283"/>
              <w:jc w:val="left"/>
              <w:rPr/>
            </w:pPr>
            <w:r>
              <w:rPr/>
              <w:t>108</w:t>
            </w:r>
          </w:p>
        </w:tc>
      </w:tr>
      <w:tr>
        <w:trPr/>
        <w:tc>
          <w:tcPr>
            <w:tcW w:w="9765" w:type="dxa"/>
            <w:tcBorders/>
            <w:vAlign w:val="center"/>
          </w:tcPr>
          <w:p>
            <w:pPr>
              <w:pStyle w:val="TableContents"/>
              <w:bidi w:val="0"/>
              <w:spacing w:lineRule="auto" w:line="300" w:before="0" w:after="0"/>
              <w:jc w:val="left"/>
              <w:rPr/>
            </w:pPr>
            <w:hyperlink w:anchor="Item16K">
              <w:r>
                <w:rPr>
                  <w:rStyle w:val="InternetLink"/>
                  <w:rFonts w:ascii="Times New Roman;Times;serif" w:hAnsi="Times New Roman;Times;serif"/>
                  <w:b/>
                </w:rPr>
                <w:t>ITEM 16K. CYBERSECURITY</w:t>
              </w:r>
            </w:hyperlink>
          </w:p>
        </w:tc>
        <w:tc>
          <w:tcPr>
            <w:tcW w:w="440" w:type="dxa"/>
            <w:tcBorders/>
            <w:vAlign w:val="center"/>
          </w:tcPr>
          <w:p>
            <w:pPr>
              <w:pStyle w:val="TableContents"/>
              <w:bidi w:val="0"/>
              <w:spacing w:before="0" w:after="283"/>
              <w:jc w:val="left"/>
              <w:rPr/>
            </w:pPr>
            <w:r>
              <w:rPr/>
              <w:t>108</w:t>
            </w:r>
          </w:p>
        </w:tc>
      </w:tr>
      <w:tr>
        <w:trPr/>
        <w:tc>
          <w:tcPr>
            <w:tcW w:w="9765" w:type="dxa"/>
            <w:tcBorders/>
            <w:vAlign w:val="center"/>
          </w:tcPr>
          <w:p>
            <w:pPr>
              <w:pStyle w:val="TableContents"/>
              <w:bidi w:val="0"/>
              <w:spacing w:lineRule="auto" w:line="300" w:before="0" w:after="0"/>
              <w:jc w:val="left"/>
              <w:rPr/>
            </w:pPr>
            <w:hyperlink w:anchor="PARTIII">
              <w:r>
                <w:rPr>
                  <w:rStyle w:val="InternetLink"/>
                  <w:rFonts w:ascii="Times New Roman;Times;serif" w:hAnsi="Times New Roman;Times;serif"/>
                  <w:b/>
                </w:rPr>
                <w:t>PART III</w:t>
              </w:r>
            </w:hyperlink>
          </w:p>
        </w:tc>
        <w:tc>
          <w:tcPr>
            <w:tcW w:w="44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109</w:t>
            </w:r>
          </w:p>
        </w:tc>
      </w:tr>
      <w:tr>
        <w:trPr/>
        <w:tc>
          <w:tcPr>
            <w:tcW w:w="9765" w:type="dxa"/>
            <w:tcBorders/>
            <w:vAlign w:val="center"/>
          </w:tcPr>
          <w:p>
            <w:pPr>
              <w:pStyle w:val="TableContents"/>
              <w:bidi w:val="0"/>
              <w:spacing w:lineRule="auto" w:line="300" w:before="0" w:after="0"/>
              <w:jc w:val="left"/>
              <w:rPr/>
            </w:pPr>
            <w:hyperlink w:anchor="Item17">
              <w:r>
                <w:rPr>
                  <w:rStyle w:val="InternetLink"/>
                  <w:rFonts w:ascii="Times New Roman;Times;serif" w:hAnsi="Times New Roman;Times;serif"/>
                  <w:b/>
                </w:rPr>
                <w:t>ITEM 17. FINANCIAL STATEMENTS</w:t>
              </w:r>
            </w:hyperlink>
          </w:p>
        </w:tc>
        <w:tc>
          <w:tcPr>
            <w:tcW w:w="44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109</w:t>
            </w:r>
          </w:p>
        </w:tc>
      </w:tr>
      <w:tr>
        <w:trPr/>
        <w:tc>
          <w:tcPr>
            <w:tcW w:w="9765" w:type="dxa"/>
            <w:tcBorders/>
            <w:vAlign w:val="center"/>
          </w:tcPr>
          <w:p>
            <w:pPr>
              <w:pStyle w:val="TableContents"/>
              <w:bidi w:val="0"/>
              <w:spacing w:lineRule="auto" w:line="300" w:before="0" w:after="0"/>
              <w:jc w:val="left"/>
              <w:rPr/>
            </w:pPr>
            <w:hyperlink w:anchor="Item18">
              <w:r>
                <w:rPr>
                  <w:rStyle w:val="InternetLink"/>
                  <w:rFonts w:ascii="Times New Roman;Times;serif" w:hAnsi="Times New Roman;Times;serif"/>
                  <w:b/>
                </w:rPr>
                <w:t>ITEM 18. FINANCIAL STATEMENTS</w:t>
              </w:r>
            </w:hyperlink>
          </w:p>
        </w:tc>
        <w:tc>
          <w:tcPr>
            <w:tcW w:w="44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109</w:t>
            </w:r>
          </w:p>
        </w:tc>
      </w:tr>
      <w:tr>
        <w:trPr/>
        <w:tc>
          <w:tcPr>
            <w:tcW w:w="9765" w:type="dxa"/>
            <w:tcBorders/>
            <w:vAlign w:val="center"/>
          </w:tcPr>
          <w:p>
            <w:pPr>
              <w:pStyle w:val="TableContents"/>
              <w:bidi w:val="0"/>
              <w:spacing w:lineRule="auto" w:line="300" w:before="0" w:after="0"/>
              <w:jc w:val="left"/>
              <w:rPr/>
            </w:pPr>
            <w:hyperlink w:anchor="Item19">
              <w:r>
                <w:rPr>
                  <w:rStyle w:val="InternetLink"/>
                  <w:rFonts w:ascii="Times New Roman;Times;serif" w:hAnsi="Times New Roman;Times;serif"/>
                  <w:b/>
                </w:rPr>
                <w:t>ITEM 19. EXHIBITS</w:t>
              </w:r>
            </w:hyperlink>
          </w:p>
        </w:tc>
        <w:tc>
          <w:tcPr>
            <w:tcW w:w="440" w:type="dxa"/>
            <w:tcBorders/>
            <w:vAlign w:val="center"/>
          </w:tcPr>
          <w:p>
            <w:pPr>
              <w:pStyle w:val="TableContents"/>
              <w:bidi w:val="0"/>
              <w:spacing w:before="0" w:after="283"/>
              <w:jc w:val="left"/>
              <w:rPr/>
            </w:pPr>
            <w:r>
              <w:rPr/>
              <w:t>110</w:t>
            </w:r>
          </w:p>
        </w:tc>
      </w:tr>
      <w:tr>
        <w:trPr/>
        <w:tc>
          <w:tcPr>
            <w:tcW w:w="9765" w:type="dxa"/>
            <w:tcBorders/>
            <w:vAlign w:val="center"/>
          </w:tcPr>
          <w:p>
            <w:pPr>
              <w:pStyle w:val="TableContents"/>
              <w:bidi w:val="0"/>
              <w:spacing w:lineRule="auto" w:line="300" w:before="0" w:after="0"/>
              <w:jc w:val="left"/>
              <w:rPr/>
            </w:pPr>
            <w:hyperlink w:anchor="SIGNATURES">
              <w:r>
                <w:rPr>
                  <w:rStyle w:val="InternetLink"/>
                  <w:rFonts w:ascii="Times New Roman;Times;serif" w:hAnsi="Times New Roman;Times;serif"/>
                  <w:b/>
                </w:rPr>
                <w:t>SIGNATURES</w:t>
              </w:r>
            </w:hyperlink>
          </w:p>
        </w:tc>
        <w:tc>
          <w:tcPr>
            <w:tcW w:w="44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111</w:t>
            </w:r>
          </w:p>
        </w:tc>
      </w:tr>
      <w:tr>
        <w:trPr/>
        <w:tc>
          <w:tcPr>
            <w:tcW w:w="9765" w:type="dxa"/>
            <w:tcBorders/>
            <w:vAlign w:val="center"/>
          </w:tcPr>
          <w:p>
            <w:pPr>
              <w:pStyle w:val="TableContents"/>
              <w:bidi w:val="0"/>
              <w:spacing w:lineRule="auto" w:line="300" w:before="0" w:after="0"/>
              <w:jc w:val="left"/>
              <w:rPr/>
            </w:pPr>
            <w:hyperlink w:anchor="a_001">
              <w:r>
                <w:rPr>
                  <w:rStyle w:val="InternetLink"/>
                  <w:rFonts w:ascii="Times New Roman;Times;serif" w:hAnsi="Times New Roman;Times;serif"/>
                  <w:b/>
                </w:rPr>
                <w:t>INDEX</w:t>
              </w:r>
            </w:hyperlink>
          </w:p>
        </w:tc>
        <w:tc>
          <w:tcPr>
            <w:tcW w:w="44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F-1</w:t>
            </w:r>
          </w:p>
        </w:tc>
      </w:tr>
    </w:tbl>
    <w:p>
      <w:pPr>
        <w:pStyle w:val="TextBody"/>
        <w:bidi w:val="0"/>
        <w:spacing w:lineRule="auto" w:line="300" w:before="0" w:after="0"/>
        <w:jc w:val="left"/>
        <w:rPr/>
      </w:pPr>
      <w:r>
        <w:rPr/>
      </w:r>
    </w:p>
    <w:p>
      <w:pPr>
        <w:pStyle w:val="HorizontalLine"/>
        <w:bidi w:val="0"/>
        <w:spacing w:before="200" w:after="200"/>
        <w:jc w:val="left"/>
        <w:rPr/>
      </w:pPr>
      <w:r>
        <w:rPr/>
      </w:r>
    </w:p>
    <w:p>
      <w:pPr>
        <w:pStyle w:val="TextBody"/>
        <w:bidi w:val="0"/>
        <w:spacing w:lineRule="auto" w:line="300" w:before="0" w:after="0"/>
        <w:jc w:val="center"/>
        <w:rPr>
          <w:rFonts w:ascii="Times New Roman;Times;serif" w:hAnsi="Times New Roman;Times;serif"/>
          <w:b/>
          <w:sz w:val="20"/>
        </w:rPr>
      </w:pPr>
      <w:bookmarkStart w:id="10" w:name="INTRODUCTION"/>
      <w:bookmarkEnd w:id="10"/>
      <w:r>
        <w:rPr>
          <w:rFonts w:ascii="Times New Roman;Times;serif" w:hAnsi="Times New Roman;Times;serif"/>
          <w:b/>
          <w:sz w:val="20"/>
        </w:rPr>
        <w:t>INTRODUCTION</w:t>
      </w:r>
    </w:p>
    <w:p>
      <w:pPr>
        <w:pStyle w:val="TextBody"/>
        <w:bidi w:val="0"/>
        <w:spacing w:lineRule="auto" w:line="300" w:before="0" w:after="0"/>
        <w:jc w:val="left"/>
        <w:rPr/>
      </w:pPr>
      <w:r>
        <w:rPr/>
        <w:t> </w:t>
      </w:r>
    </w:p>
    <w:p>
      <w:pPr>
        <w:pStyle w:val="TextBody"/>
        <w:bidi w:val="0"/>
        <w:spacing w:lineRule="auto" w:line="300" w:before="0" w:after="0"/>
        <w:ind w:left="0" w:right="0" w:firstLine="490"/>
        <w:jc w:val="both"/>
        <w:rPr>
          <w:sz w:val="20"/>
        </w:rPr>
      </w:pPr>
      <w:r>
        <w:rPr>
          <w:sz w:val="20"/>
        </w:rPr>
        <w:t>In this Annual Report on Form 20-F (the “Annual Report”), references to “we,” “us,” “our,” “our business,” the “Company,” “WalkMe” and similar references refer to WalkMe Ltd. and, where appropriate, its consolidated subsidiaries.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This Annual Report contains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discussed under the headings “Special Note Regarding Forward-Looking Statements” and Item 3.D. “Risk Factors” in this Annual Report.</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bookmarkStart w:id="11" w:name="CAUTIONARY"/>
      <w:bookmarkEnd w:id="11"/>
      <w:r>
        <w:rPr>
          <w:rFonts w:ascii="Times New Roman;Times;serif" w:hAnsi="Times New Roman;Times;serif"/>
          <w:b/>
          <w:sz w:val="20"/>
        </w:rPr>
        <w:t>CAUTIONARY STATEMENT REGARDING FORWARD-LOOKING STATEMENTS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This Annual Report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(the “Exchange Act”). All statements contained in this Annual Report other than statements of historical fact, including, without limitation, statements regarding our future operating results and financial position, including our revenue and operating expenses profitability; the impact of the war between Israel and Hamas on our business, operations and financial condition; our business strategies and plans; our expectations regarding the development of our industry and the competitive environment in which we operate; our expectations regarding partnerships and collaborations; our objectives for future operations; our ability to raise additional capital to fund our operations; and the sufficiency of our cash, cash equivalents and short-term investments,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forward-looking statements are contained principally in the sections titled Item 3.D. “Key Information-Risk Factors,” Item 4. “Information on the Company,” and Item 5. “Operating and Financial Review and Prospects.”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12" w:name="z8832fc9ca2754b75a22474638ec6d14e"/>
      <w:bookmarkStart w:id="13" w:name="z8832fc9ca2754b75a22474638ec6d14e"/>
      <w:bookmarkEnd w:id="1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our future financial performance, including our expectations regarding our revenue, cost of revenue, gross margin, operating expenses, cash flow and deferred revenue;</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our ability to manage our growth effectively, sustain or increase our historical growth rate in the future or achieve or maintain profitability;</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the growth and expansion of the markets for our offerings and our ability to adapt and respond effectively to evolving market conditions and demands;</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our estimates of, and future expectations regarding, our market opportunity;</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the impact of adverse macro-economic changes on our business, financial condition and results of operations;</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our ability to attract new customers as well as to retain and expand our revenue from existing customers;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4" w:name="z0cc46dab6f0341889f825097666aaa56"/>
      <w:bookmarkStart w:id="15" w:name="z0cc46dab6f0341889f825097666aaa56"/>
      <w:bookmarkEnd w:id="1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our ability to keep pace with technological and competitive developments and develop or otherwise introduce new products and solutions and enhancements to our existing offerings;</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our ability to maintain the interoperability of our offerings across devices, operating systems and third-party applications and to maintain and expand our relationships with third-party technology partners;</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the effects of increased competition in our target markets and our ability to compete effectively;</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the success of our sales and marketing operations, including our ability to realize efficiencies and reduce customer acquisition costs as well as our ability to effectively develop and expand our marketing and sales capabilities;</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our ability to meet the service-level commitments under our customer agreements and the effects on our business if we are unable to do so;</w:t>
            </w:r>
          </w:p>
        </w:tc>
      </w:tr>
    </w:tbl>
    <w:p>
      <w:pPr>
        <w:pStyle w:val="TextBody"/>
        <w:bidi w:val="0"/>
        <w:spacing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1</w:t>
      </w:r>
    </w:p>
    <w:p>
      <w:pPr>
        <w:pStyle w:val="HorizontalLine"/>
        <w:bidi w:val="0"/>
        <w:spacing w:before="200" w:after="200"/>
        <w:jc w:val="left"/>
        <w:rPr/>
      </w:pPr>
      <w:r>
        <w:rPr/>
      </w:r>
    </w:p>
    <w:tbl>
      <w:tblPr>
        <w:tblW w:w="10120" w:type="dxa"/>
        <w:jc w:val="left"/>
        <w:tblInd w:w="0" w:type="dxa"/>
        <w:tblLayout w:type="fixed"/>
        <w:tblCellMar>
          <w:top w:w="0" w:type="dxa"/>
          <w:left w:w="0" w:type="dxa"/>
          <w:bottom w:w="0" w:type="dxa"/>
          <w:right w:w="0" w:type="dxa"/>
        </w:tblCellMar>
      </w:tblPr>
      <w:tblGrid>
        <w:gridCol w:w="125"/>
        <w:gridCol w:w="9995"/>
      </w:tblGrid>
      <w:tr>
        <w:trPr/>
        <w:tc>
          <w:tcPr>
            <w:tcW w:w="125" w:type="dxa"/>
            <w:tcBorders/>
            <w:vAlign w:val="center"/>
          </w:tcPr>
          <w:p>
            <w:pPr>
              <w:pStyle w:val="TableContents"/>
              <w:bidi w:val="0"/>
              <w:spacing w:lineRule="auto" w:line="300" w:before="0" w:after="0"/>
              <w:jc w:val="left"/>
              <w:rPr/>
            </w:pPr>
            <w:r>
              <w:rPr/>
              <w:t>•</w:t>
            </w:r>
          </w:p>
        </w:tc>
        <w:tc>
          <w:tcPr>
            <w:tcW w:w="9995" w:type="dxa"/>
            <w:tcBorders/>
            <w:vAlign w:val="center"/>
          </w:tcPr>
          <w:p>
            <w:pPr>
              <w:pStyle w:val="TableContents"/>
              <w:bidi w:val="0"/>
              <w:spacing w:lineRule="auto" w:line="300" w:before="0" w:after="0"/>
              <w:jc w:val="left"/>
              <w:rPr/>
            </w:pPr>
            <w:r>
              <w:rPr/>
              <w:t>our relationships with, and dependence on, various third-party service providers;</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9995" w:type="dxa"/>
            <w:tcBorders/>
            <w:vAlign w:val="center"/>
          </w:tcPr>
          <w:p>
            <w:pPr>
              <w:pStyle w:val="TableContents"/>
              <w:bidi w:val="0"/>
              <w:spacing w:lineRule="auto" w:line="300" w:before="0" w:after="0"/>
              <w:jc w:val="left"/>
              <w:rPr/>
            </w:pPr>
            <w:r>
              <w:rPr/>
              <w:t>our ability to maintain and enhance awareness of our brand;</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9995" w:type="dxa"/>
            <w:tcBorders/>
            <w:vAlign w:val="center"/>
          </w:tcPr>
          <w:p>
            <w:pPr>
              <w:pStyle w:val="TableContents"/>
              <w:bidi w:val="0"/>
              <w:spacing w:lineRule="auto" w:line="300" w:before="0" w:after="0"/>
              <w:jc w:val="left"/>
              <w:rPr/>
            </w:pPr>
            <w:r>
              <w:rPr/>
              <w:t>our ability to offer high quality customer support;</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9995" w:type="dxa"/>
            <w:tcBorders/>
            <w:vAlign w:val="center"/>
          </w:tcPr>
          <w:p>
            <w:pPr>
              <w:pStyle w:val="TableContents"/>
              <w:bidi w:val="0"/>
              <w:spacing w:lineRule="auto" w:line="300" w:before="0" w:after="0"/>
              <w:jc w:val="left"/>
              <w:rPr/>
            </w:pPr>
            <w:r>
              <w:rPr/>
              <w:t>our ability to maintain the sales prices of our offerings and the effects of pricing fluctuations;</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9995" w:type="dxa"/>
            <w:tcBorders/>
            <w:vAlign w:val="center"/>
          </w:tcPr>
          <w:p>
            <w:pPr>
              <w:pStyle w:val="TableContents"/>
              <w:bidi w:val="0"/>
              <w:spacing w:lineRule="auto" w:line="300" w:before="0" w:after="0"/>
              <w:jc w:val="left"/>
              <w:rPr/>
            </w:pPr>
            <w:r>
              <w:rPr/>
              <w:t>our ability to attract and retain the executive leadership and employee talent that we need to be successful;</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6" w:name="z4e8ab3624cc0446e9841a97032b26915"/>
      <w:bookmarkStart w:id="17" w:name="z4e8ab3624cc0446e9841a97032b26915"/>
      <w:bookmarkEnd w:id="1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the sustainability of, and fluctuations in, our gross margin;</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risks related to our international operations and our ability to expand our international business operations;</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the effects of currency exchange rate fluctuations on our results of operations;</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challenges and risks related to our sales to government entities;</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our ability to consummate acquisitions at our historical rate and at acceptable prices, to enter into other strategic transactions and relationships, and to manage the risks related to these transactions and arrangements;</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our ability to protect our proprietary technology, or to obtain, maintain, protect and enforce sufficiently broad intellectual property rights therein;</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our ability to maintain the security and availability of our platform, products and solutions;</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risks related to political, economic and security conditions in Israel, including in connection with Israel’s ongoing war with Hamas and other terrorist organizations in the region;</w:t>
            </w:r>
          </w:p>
          <w:p>
            <w:pPr>
              <w:pStyle w:val="TableContents"/>
              <w:bidi w:val="0"/>
              <w:spacing w:lineRule="auto" w:line="300" w:before="0" w:after="0"/>
              <w:jc w:val="left"/>
              <w:rPr/>
            </w:pPr>
            <w:r>
              <w:rPr/>
              <w:t> </w:t>
            </w:r>
          </w:p>
          <w:p>
            <w:pPr>
              <w:pStyle w:val="TableContents"/>
              <w:bidi w:val="0"/>
              <w:spacing w:lineRule="auto" w:line="300" w:before="0" w:after="0"/>
              <w:jc w:val="left"/>
              <w:rPr/>
            </w:pPr>
            <w:r>
              <w:rPr/>
              <w:t>our ability to comply with the privacy laws of the various jurisdictions in which we operate;</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8" w:name="zea204caa30254087a656d33b23ad34ab"/>
      <w:bookmarkStart w:id="19" w:name="zea204caa30254087a656d33b23ad34ab"/>
      <w:bookmarkEnd w:id="1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our ability to comply with current and future legislation and governmental regulations to which we are subject or may become subject in the future;</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changes in applicable tax law, the stability of effective tax rates and adverse outcomes resulting from examination of our income or other tax returns;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the effects of unfavorable conditions in our industry or the global economy or reductions in information technology spending; and</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factors that may affect the future trading prices of our ordinary shares.</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You should not rely on forward-looking statements as predictions of future events. We have based the forward-looking statements contained in this Annual Report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Annual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The forward-looking statements made in this Annual Report relate only to events or information as of the date on which the statements are made in this Annual Report. You should not put undue reliance on any forward-looking statements. Actual results could differ materially from those anticipated in these forward-looking statements as a result of various factors described in this annual report, including factors beyond our ability to control or predict.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reference in this Annual Report and have filed as exhibits hereto completely and with the understanding that our actual future results or performance may be materially different from what we expect.</w:t>
      </w:r>
    </w:p>
    <w:p>
      <w:pPr>
        <w:pStyle w:val="TextBody"/>
        <w:bidi w:val="0"/>
        <w:spacing w:before="200" w:after="200"/>
        <w:jc w:val="center"/>
        <w:rPr>
          <w:b w:val="false"/>
          <w:i w:val="false"/>
          <w:caps w:val="false"/>
          <w:smallCaps w:val="false"/>
          <w:sz w:val="20"/>
        </w:rPr>
      </w:pPr>
      <w:r>
        <w:rPr>
          <w:b w:val="false"/>
          <w:i w:val="false"/>
          <w:caps w:val="false"/>
          <w:smallCaps w:val="false"/>
          <w:sz w:val="20"/>
        </w:rPr>
        <w:t>2</w:t>
      </w:r>
    </w:p>
    <w:p>
      <w:pPr>
        <w:pStyle w:val="HorizontalLine"/>
        <w:bidi w:val="0"/>
        <w:spacing w:before="200" w:after="200"/>
        <w:jc w:val="left"/>
        <w:rPr/>
      </w:pPr>
      <w:r>
        <w:rPr/>
      </w:r>
    </w:p>
    <w:p>
      <w:pPr>
        <w:pStyle w:val="TextBody"/>
        <w:bidi w:val="0"/>
        <w:spacing w:lineRule="auto" w:line="300" w:before="0" w:after="0"/>
        <w:ind w:left="0" w:right="0" w:firstLine="490"/>
        <w:jc w:val="both"/>
        <w:rPr/>
      </w:pPr>
      <w:r>
        <w:rPr/>
      </w:r>
    </w:p>
    <w:p>
      <w:pPr>
        <w:pStyle w:val="TextBody"/>
        <w:bidi w:val="0"/>
        <w:spacing w:lineRule="auto" w:line="300" w:before="0" w:after="0"/>
        <w:ind w:left="0" w:right="0" w:firstLine="490"/>
        <w:jc w:val="both"/>
        <w:rPr>
          <w:sz w:val="20"/>
        </w:rPr>
      </w:pPr>
      <w:r>
        <w:rPr>
          <w:sz w:val="20"/>
        </w:rPr>
        <w:t>Additionally, we may provide information herein or in other locations, such as our website or documents accessible thereby, that is not necessarily “material” under the U.S. federal securities laws for Securities Exchange Commission reporting purposes, but that respond to a range of matters, such as certain environmental, social and governance (“ESG”) standards and frameworks (including standards for the measurement of underlying data), and the interests of various stakeholders. Much of this information is subject to assumptions, estimates or third-party information that is still evolving and subject to change. For example, our disclosures may change due to revisions in framework requirements, availability or quality of information, changes in our business or applicable government policies, or other factors, some of which may be beyond our control.</w:t>
      </w:r>
    </w:p>
    <w:p>
      <w:pPr>
        <w:pStyle w:val="TextBody"/>
        <w:bidi w:val="0"/>
        <w:spacing w:lineRule="auto" w:line="300" w:before="0" w:after="0"/>
        <w:jc w:val="left"/>
        <w:rPr/>
      </w:pPr>
      <w:r>
        <w:rPr/>
      </w:r>
    </w:p>
    <w:p>
      <w:pPr>
        <w:pStyle w:val="TextBody"/>
        <w:bidi w:val="0"/>
        <w:spacing w:lineRule="auto" w:line="300" w:before="0" w:after="0"/>
        <w:jc w:val="center"/>
        <w:rPr>
          <w:b/>
          <w:sz w:val="20"/>
        </w:rPr>
      </w:pPr>
      <w:r>
        <w:rPr>
          <w:b/>
          <w:sz w:val="20"/>
        </w:rPr>
        <w:t>INDUSTRY AND MARKET DATA</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This Annual Report includes industry data and forecasts obtained from periodic industry publications, including the McKinsey survey from June 15, 2022 and the BCG report from 2020 titled ‘Flipping the Odds of Digital Transformation Success’.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Industry publications generally state that the information contained therein has been obtained from sources believed to be reliable. This Annual Report also includes market share and industry data that were prepared primarily based on management’s knowledge of the industry and industry data. Unless otherwise noted, statements as to our market share and market position relative to our competitors are approximated and based on management estimates using the above-mentioned latest-available third-party data and our internal analysis and estimates. While we are not aware of any misstatements regarding any industry data presented herein, our estimates, in particular as they relate to market share and our general expectations, involve risks and uncertainties and are subject to change based on various factors, including those discussed under “Risk Factors,” “Forward-Looking Statements,” “Information on the Company” and “Operating and Financial Review and Prospects” in this Annual Report.</w:t>
      </w:r>
    </w:p>
    <w:p>
      <w:pPr>
        <w:pStyle w:val="TextBody"/>
        <w:bidi w:val="0"/>
        <w:spacing w:lineRule="auto" w:line="300" w:before="0" w:after="0"/>
        <w:jc w:val="left"/>
        <w:rPr/>
      </w:pPr>
      <w:r>
        <w:rPr/>
      </w:r>
    </w:p>
    <w:p>
      <w:pPr>
        <w:pStyle w:val="TextBody"/>
        <w:bidi w:val="0"/>
        <w:spacing w:lineRule="auto" w:line="300" w:before="0" w:after="0"/>
        <w:ind w:left="0" w:right="0" w:firstLine="490"/>
        <w:jc w:val="center"/>
        <w:rPr>
          <w:sz w:val="20"/>
        </w:rPr>
      </w:pPr>
      <w:bookmarkStart w:id="20" w:name="PRESENTATION"/>
      <w:bookmarkEnd w:id="20"/>
      <w:r>
        <w:rPr>
          <w:b/>
          <w:sz w:val="20"/>
        </w:rPr>
        <w:t>PRESENTATION OF FINANCIAL INFORMATION</w:t>
      </w:r>
      <w:r>
        <w:rPr>
          <w:sz w:val="20"/>
        </w:rPr>
        <w:br/>
        <w:t> </w:t>
      </w:r>
    </w:p>
    <w:p>
      <w:pPr>
        <w:pStyle w:val="TextBody"/>
        <w:bidi w:val="0"/>
        <w:spacing w:lineRule="auto" w:line="300" w:before="0" w:after="0"/>
        <w:ind w:left="0" w:right="0" w:firstLine="490"/>
        <w:jc w:val="both"/>
        <w:rPr>
          <w:sz w:val="20"/>
        </w:rPr>
      </w:pPr>
      <w:r>
        <w:rPr>
          <w:sz w:val="20"/>
        </w:rPr>
        <w:t>Our consolidated financial statements have been prepared in accordance with generally accepted accounting principles in the United States, or U.S. GAAP. We present our consolidated financial statements in U.S. dollars.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Our fiscal year ends on December 31 of each year.</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Certain monetary amounts, percentages and other figures included elsewhere in this Annual Report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pStyle w:val="TextBody"/>
        <w:bidi w:val="0"/>
        <w:spacing w:lineRule="auto" w:line="300" w:before="0" w:after="0"/>
        <w:jc w:val="left"/>
        <w:rPr/>
      </w:pPr>
      <w:r>
        <w:rPr/>
      </w:r>
    </w:p>
    <w:p>
      <w:pPr>
        <w:pStyle w:val="TextBody"/>
        <w:bidi w:val="0"/>
        <w:spacing w:lineRule="auto" w:line="300" w:before="0" w:after="0"/>
        <w:jc w:val="center"/>
        <w:rPr>
          <w:b/>
          <w:sz w:val="20"/>
        </w:rPr>
      </w:pPr>
      <w:bookmarkStart w:id="21" w:name="PARTI"/>
      <w:bookmarkEnd w:id="21"/>
      <w:r>
        <w:rPr>
          <w:b/>
          <w:sz w:val="20"/>
        </w:rPr>
        <w:t>PART I</w:t>
      </w:r>
    </w:p>
    <w:p>
      <w:pPr>
        <w:pStyle w:val="TextBody"/>
        <w:bidi w:val="0"/>
        <w:spacing w:lineRule="auto" w:line="300" w:before="0" w:after="0"/>
        <w:jc w:val="left"/>
        <w:rPr/>
      </w:pPr>
      <w:r>
        <w:rPr/>
      </w:r>
    </w:p>
    <w:p>
      <w:pPr>
        <w:pStyle w:val="TextBody"/>
        <w:bidi w:val="0"/>
        <w:spacing w:lineRule="auto" w:line="300" w:before="0" w:after="0"/>
        <w:jc w:val="left"/>
        <w:rPr>
          <w:b/>
          <w:sz w:val="20"/>
        </w:rPr>
      </w:pPr>
      <w:bookmarkStart w:id="22" w:name="Item1"/>
      <w:bookmarkEnd w:id="22"/>
      <w:r>
        <w:rPr>
          <w:b/>
          <w:sz w:val="20"/>
        </w:rPr>
        <w:t>Item 1. Identity of Directors, Senior Management and Advisers</w:t>
      </w:r>
    </w:p>
    <w:p>
      <w:pPr>
        <w:pStyle w:val="TextBody"/>
        <w:bidi w:val="0"/>
        <w:spacing w:lineRule="auto" w:line="300" w:before="0" w:after="0"/>
        <w:jc w:val="left"/>
        <w:rPr/>
      </w:pPr>
      <w:r>
        <w:rPr/>
        <w:t> </w:t>
      </w:r>
    </w:p>
    <w:p>
      <w:pPr>
        <w:pStyle w:val="TextBody"/>
        <w:bidi w:val="0"/>
        <w:spacing w:lineRule="auto" w:line="300" w:before="0" w:after="0"/>
        <w:ind w:left="0" w:right="0" w:firstLine="490"/>
        <w:jc w:val="left"/>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b/>
          <w:sz w:val="20"/>
        </w:rPr>
      </w:pPr>
      <w:bookmarkStart w:id="23" w:name="Item2"/>
      <w:bookmarkEnd w:id="23"/>
      <w:r>
        <w:rPr>
          <w:b/>
          <w:sz w:val="20"/>
        </w:rPr>
        <w:t>Item 2. Offer Statistics and Expected Timetable</w:t>
      </w:r>
    </w:p>
    <w:p>
      <w:pPr>
        <w:pStyle w:val="TextBody"/>
        <w:bidi w:val="0"/>
        <w:spacing w:lineRule="auto" w:line="300" w:before="0" w:after="0"/>
        <w:jc w:val="left"/>
        <w:rPr/>
      </w:pPr>
      <w:r>
        <w:rPr/>
        <w:t> </w:t>
      </w:r>
    </w:p>
    <w:p>
      <w:pPr>
        <w:pStyle w:val="TextBody"/>
        <w:bidi w:val="0"/>
        <w:spacing w:lineRule="auto" w:line="300" w:before="0" w:after="0"/>
        <w:ind w:left="0" w:right="0" w:firstLine="490"/>
        <w:jc w:val="left"/>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sz w:val="20"/>
        </w:rPr>
      </w:pPr>
      <w:bookmarkStart w:id="24" w:name="Item3"/>
      <w:bookmarkEnd w:id="24"/>
      <w:r>
        <w:rPr>
          <w:b/>
          <w:sz w:val="20"/>
        </w:rPr>
        <w:t>Item 3. Key Information</w:t>
      </w:r>
      <w:r>
        <w:rPr>
          <w:sz w:val="20"/>
        </w:rPr>
        <w:t> </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5" w:name="z8b58ec7e098348dea1a02dcc50ec3af3"/>
      <w:bookmarkStart w:id="26" w:name="z8b58ec7e098348dea1a02dcc50ec3af3"/>
      <w:bookmarkEnd w:id="26"/>
    </w:p>
    <w:tbl>
      <w:tblPr>
        <w:tblW w:w="1585" w:type="dxa"/>
        <w:jc w:val="left"/>
        <w:tblInd w:w="0" w:type="dxa"/>
        <w:tblLayout w:type="fixed"/>
        <w:tblCellMar>
          <w:top w:w="0" w:type="dxa"/>
          <w:left w:w="0" w:type="dxa"/>
          <w:bottom w:w="0" w:type="dxa"/>
          <w:right w:w="0" w:type="dxa"/>
        </w:tblCellMar>
      </w:tblPr>
      <w:tblGrid>
        <w:gridCol w:w="335"/>
        <w:gridCol w:w="1250"/>
      </w:tblGrid>
      <w:tr>
        <w:trPr/>
        <w:tc>
          <w:tcPr>
            <w:tcW w:w="335" w:type="dxa"/>
            <w:tcBorders/>
            <w:vAlign w:val="center"/>
          </w:tcPr>
          <w:p>
            <w:pPr>
              <w:pStyle w:val="TableContents"/>
              <w:bidi w:val="0"/>
              <w:spacing w:lineRule="auto" w:line="300" w:before="0" w:after="0"/>
              <w:jc w:val="left"/>
              <w:rPr/>
            </w:pPr>
            <w:r>
              <w:rPr>
                <w:b/>
              </w:rPr>
              <w:t>A.</w:t>
            </w:r>
            <w:r>
              <w:rPr/>
              <w:t> </w:t>
            </w:r>
          </w:p>
        </w:tc>
        <w:tc>
          <w:tcPr>
            <w:tcW w:w="1250" w:type="dxa"/>
            <w:tcBorders/>
            <w:vAlign w:val="center"/>
          </w:tcPr>
          <w:p>
            <w:pPr>
              <w:pStyle w:val="TableContents"/>
              <w:bidi w:val="0"/>
              <w:spacing w:lineRule="auto" w:line="300" w:before="0" w:after="0"/>
              <w:jc w:val="left"/>
              <w:rPr/>
            </w:pPr>
            <w:r>
              <w:rPr>
                <w:b/>
              </w:rPr>
              <w:t>[Reserved.]</w:t>
            </w:r>
            <w:r>
              <w:rPr/>
              <w:t> </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7" w:name="zf027711a341b41e8a93cecb0cd96b9e1"/>
      <w:bookmarkStart w:id="28" w:name="zf027711a341b41e8a93cecb0cd96b9e1"/>
      <w:bookmarkEnd w:id="28"/>
    </w:p>
    <w:tbl>
      <w:tblPr>
        <w:tblW w:w="3625" w:type="dxa"/>
        <w:jc w:val="left"/>
        <w:tblInd w:w="0" w:type="dxa"/>
        <w:tblLayout w:type="fixed"/>
        <w:tblCellMar>
          <w:top w:w="0" w:type="dxa"/>
          <w:left w:w="0" w:type="dxa"/>
          <w:bottom w:w="0" w:type="dxa"/>
          <w:right w:w="0" w:type="dxa"/>
        </w:tblCellMar>
      </w:tblPr>
      <w:tblGrid>
        <w:gridCol w:w="260"/>
        <w:gridCol w:w="3365"/>
      </w:tblGrid>
      <w:tr>
        <w:trPr/>
        <w:tc>
          <w:tcPr>
            <w:tcW w:w="260" w:type="dxa"/>
            <w:tcBorders/>
            <w:vAlign w:val="center"/>
          </w:tcPr>
          <w:p>
            <w:pPr>
              <w:pStyle w:val="TableContents"/>
              <w:bidi w:val="0"/>
              <w:spacing w:lineRule="auto" w:line="300" w:before="0" w:after="0"/>
              <w:jc w:val="left"/>
              <w:rPr>
                <w:b/>
              </w:rPr>
            </w:pPr>
            <w:r>
              <w:rPr>
                <w:b/>
              </w:rPr>
              <w:t>B.</w:t>
            </w:r>
          </w:p>
        </w:tc>
        <w:tc>
          <w:tcPr>
            <w:tcW w:w="3365" w:type="dxa"/>
            <w:tcBorders/>
            <w:vAlign w:val="center"/>
          </w:tcPr>
          <w:p>
            <w:pPr>
              <w:pStyle w:val="TableContents"/>
              <w:bidi w:val="0"/>
              <w:spacing w:lineRule="auto" w:line="300" w:before="0" w:after="0"/>
              <w:jc w:val="left"/>
              <w:rPr/>
            </w:pPr>
            <w:r>
              <w:rPr>
                <w:b/>
              </w:rPr>
              <w:t>Capitalization and Indebtedness</w:t>
            </w:r>
            <w:r>
              <w:rPr/>
              <w:t> </w:t>
            </w:r>
          </w:p>
        </w:tc>
      </w:tr>
    </w:tbl>
    <w:p>
      <w:pPr>
        <w:pStyle w:val="TextBody"/>
        <w:bidi w:val="0"/>
        <w:spacing w:lineRule="auto" w:line="300" w:before="0" w:after="0"/>
        <w:jc w:val="left"/>
        <w:rPr/>
      </w:pPr>
      <w:r>
        <w:rPr/>
        <w:t> </w:t>
      </w:r>
    </w:p>
    <w:p>
      <w:pPr>
        <w:pStyle w:val="TextBody"/>
        <w:bidi w:val="0"/>
        <w:spacing w:lineRule="auto" w:line="300" w:before="0" w:after="0"/>
        <w:ind w:left="0" w:right="0" w:firstLine="490"/>
        <w:jc w:val="left"/>
        <w:rPr>
          <w:sz w:val="20"/>
        </w:rPr>
      </w:pPr>
      <w:r>
        <w:rPr>
          <w:sz w:val="20"/>
        </w:rPr>
        <w:t>Not applicable.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9" w:name="zd73a8ec49d614005b7b3323a2b70b87f"/>
      <w:bookmarkStart w:id="30" w:name="zd73a8ec49d614005b7b3323a2b70b87f"/>
      <w:bookmarkEnd w:id="30"/>
    </w:p>
    <w:tbl>
      <w:tblPr>
        <w:tblW w:w="4660" w:type="dxa"/>
        <w:jc w:val="left"/>
        <w:tblInd w:w="0" w:type="dxa"/>
        <w:tblLayout w:type="fixed"/>
        <w:tblCellMar>
          <w:top w:w="0" w:type="dxa"/>
          <w:left w:w="0" w:type="dxa"/>
          <w:bottom w:w="0" w:type="dxa"/>
          <w:right w:w="0" w:type="dxa"/>
        </w:tblCellMar>
      </w:tblPr>
      <w:tblGrid>
        <w:gridCol w:w="275"/>
        <w:gridCol w:w="4385"/>
      </w:tblGrid>
      <w:tr>
        <w:trPr/>
        <w:tc>
          <w:tcPr>
            <w:tcW w:w="275" w:type="dxa"/>
            <w:tcBorders/>
            <w:vAlign w:val="center"/>
          </w:tcPr>
          <w:p>
            <w:pPr>
              <w:pStyle w:val="TableContents"/>
              <w:bidi w:val="0"/>
              <w:spacing w:lineRule="auto" w:line="300" w:before="0" w:after="0"/>
              <w:jc w:val="left"/>
              <w:rPr>
                <w:b/>
              </w:rPr>
            </w:pPr>
            <w:r>
              <w:rPr>
                <w:b/>
              </w:rPr>
              <w:t>C.</w:t>
            </w:r>
          </w:p>
        </w:tc>
        <w:tc>
          <w:tcPr>
            <w:tcW w:w="4385" w:type="dxa"/>
            <w:tcBorders/>
            <w:vAlign w:val="center"/>
          </w:tcPr>
          <w:p>
            <w:pPr>
              <w:pStyle w:val="TableContents"/>
              <w:bidi w:val="0"/>
              <w:spacing w:lineRule="auto" w:line="300" w:before="0" w:after="0"/>
              <w:jc w:val="left"/>
              <w:rPr/>
            </w:pPr>
            <w:r>
              <w:rPr>
                <w:b/>
              </w:rPr>
              <w:t>Reasons for the Offer and Use of Proceeds</w:t>
            </w:r>
            <w:r>
              <w:rPr/>
              <w:t> </w:t>
            </w:r>
          </w:p>
        </w:tc>
      </w:tr>
    </w:tbl>
    <w:p>
      <w:pPr>
        <w:pStyle w:val="TextBody"/>
        <w:bidi w:val="0"/>
        <w:spacing w:lineRule="auto" w:line="300" w:before="0" w:after="0"/>
        <w:jc w:val="left"/>
        <w:rPr/>
      </w:pPr>
      <w:r>
        <w:rPr/>
        <w:t> </w:t>
      </w:r>
    </w:p>
    <w:p>
      <w:pPr>
        <w:pStyle w:val="TextBody"/>
        <w:bidi w:val="0"/>
        <w:spacing w:lineRule="auto" w:line="300" w:before="0" w:after="0"/>
        <w:ind w:left="0" w:right="0" w:firstLine="490"/>
        <w:jc w:val="left"/>
        <w:rPr>
          <w:sz w:val="20"/>
        </w:rPr>
      </w:pPr>
      <w:r>
        <w:rPr>
          <w:sz w:val="20"/>
        </w:rPr>
        <w:t>Not applicable. </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3</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31" w:name="z1a08abcaa92f4bbaac44232484045c94"/>
      <w:bookmarkStart w:id="32" w:name="z1a08abcaa92f4bbaac44232484045c94"/>
      <w:bookmarkEnd w:id="32"/>
    </w:p>
    <w:tbl>
      <w:tblPr>
        <w:tblW w:w="1720" w:type="dxa"/>
        <w:jc w:val="left"/>
        <w:tblInd w:w="0" w:type="dxa"/>
        <w:tblLayout w:type="fixed"/>
        <w:tblCellMar>
          <w:top w:w="0" w:type="dxa"/>
          <w:left w:w="0" w:type="dxa"/>
          <w:bottom w:w="0" w:type="dxa"/>
          <w:right w:w="0" w:type="dxa"/>
        </w:tblCellMar>
      </w:tblPr>
      <w:tblGrid>
        <w:gridCol w:w="335"/>
        <w:gridCol w:w="1385"/>
      </w:tblGrid>
      <w:tr>
        <w:trPr/>
        <w:tc>
          <w:tcPr>
            <w:tcW w:w="335" w:type="dxa"/>
            <w:tcBorders/>
            <w:vAlign w:val="center"/>
          </w:tcPr>
          <w:p>
            <w:pPr>
              <w:pStyle w:val="TableContents"/>
              <w:bidi w:val="0"/>
              <w:spacing w:lineRule="auto" w:line="300" w:before="0" w:after="0"/>
              <w:jc w:val="left"/>
              <w:rPr/>
            </w:pPr>
            <w:r>
              <w:rPr>
                <w:b/>
              </w:rPr>
              <w:t>D.</w:t>
            </w:r>
            <w:r>
              <w:rPr/>
              <w:t> </w:t>
            </w:r>
          </w:p>
        </w:tc>
        <w:tc>
          <w:tcPr>
            <w:tcW w:w="1385" w:type="dxa"/>
            <w:tcBorders/>
            <w:vAlign w:val="center"/>
          </w:tcPr>
          <w:p>
            <w:pPr>
              <w:pStyle w:val="TableContents"/>
              <w:bidi w:val="0"/>
              <w:spacing w:lineRule="auto" w:line="300" w:before="0" w:after="0"/>
              <w:jc w:val="left"/>
              <w:rPr/>
            </w:pPr>
            <w:r>
              <w:rPr>
                <w:b/>
              </w:rPr>
              <w:t>Risk Factors</w:t>
            </w:r>
            <w:r>
              <w:rPr/>
              <w:t> </w:t>
            </w:r>
          </w:p>
        </w:tc>
      </w:tr>
    </w:tbl>
    <w:p>
      <w:pPr>
        <w:pStyle w:val="TextBody"/>
        <w:bidi w:val="0"/>
        <w:spacing w:lineRule="auto" w:line="300" w:before="0" w:after="0"/>
        <w:jc w:val="left"/>
        <w:rPr/>
      </w:pPr>
      <w:r>
        <w:rPr/>
        <w:t> </w:t>
      </w:r>
    </w:p>
    <w:p>
      <w:pPr>
        <w:pStyle w:val="TextBody"/>
        <w:bidi w:val="0"/>
        <w:spacing w:lineRule="auto" w:line="300" w:before="0" w:after="0"/>
        <w:jc w:val="both"/>
        <w:rPr>
          <w:i/>
          <w:sz w:val="20"/>
        </w:rPr>
      </w:pPr>
      <w:r>
        <w:rPr>
          <w:i/>
          <w:sz w:val="20"/>
        </w:rPr>
        <w:t>You should carefully consider the risks and uncertainties described below and the other information contained in this Annual Report before making an investment decision. Our business, financial condition, results of operations, or strategic objectives could be materially and adversely affected by any of these risks and uncertainties. The trading price and value of our ordinary shares could decline due to any of these risks and uncertainties, and you may lose all or part of your investment. This Annual Report also contains forward- looking statements that involve risks and uncertainties. Our actual results could differ materially from those anticipated in these forward-looking statements as a result of certain factors, including the risks and uncertainties faced by us described below and elsewhere in this Annual Report.</w:t>
      </w:r>
    </w:p>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Risks Relating to Our Business and Industry</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We have incurred operating losses in the past, expect to incur operating losses in the future and may never achieve or sustain profitability.</w:t>
      </w:r>
    </w:p>
    <w:p>
      <w:pPr>
        <w:pStyle w:val="TextBody"/>
        <w:bidi w:val="0"/>
        <w:spacing w:lineRule="auto" w:line="300" w:before="0" w:after="0"/>
        <w:jc w:val="both"/>
        <w:rPr/>
      </w:pPr>
      <w:r>
        <w:rPr/>
        <w:t> </w:t>
      </w:r>
    </w:p>
    <w:p>
      <w:pPr>
        <w:pStyle w:val="TextBody"/>
        <w:bidi w:val="0"/>
        <w:spacing w:lineRule="auto" w:line="300" w:before="0" w:after="0"/>
        <w:ind w:left="0" w:right="0" w:firstLine="520"/>
        <w:jc w:val="both"/>
        <w:rPr>
          <w:sz w:val="20"/>
        </w:rPr>
      </w:pPr>
      <w:r>
        <w:rPr>
          <w:sz w:val="20"/>
        </w:rPr>
        <w:t>We have incurred annual net losses each year since our formation in October 2011. For the years ended December 31, 2022 and 2023, we had net losses of $108.3 million and $56.8 million, respectively. We expect to continue to incur additional losses on a GAAP basis and we may not achieve or maintain profitability in the future. As of December 31, 2023, we had an accumulated deficit of $489.1 million. While we are increasingly focused on improving our operating efficiency, we intend to continue to expend substantial financial and other resources on, among other things:</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33" w:name="zf1014364b9324d83bb81d8e4d3452a37"/>
      <w:bookmarkStart w:id="34" w:name="zf1014364b9324d83bb81d8e4d3452a37"/>
      <w:bookmarkEnd w:id="34"/>
    </w:p>
    <w:tbl>
      <w:tblPr>
        <w:tblW w:w="5845" w:type="dxa"/>
        <w:jc w:val="left"/>
        <w:tblInd w:w="0" w:type="dxa"/>
        <w:tblLayout w:type="fixed"/>
        <w:tblCellMar>
          <w:top w:w="0" w:type="dxa"/>
          <w:left w:w="0" w:type="dxa"/>
          <w:bottom w:w="0" w:type="dxa"/>
          <w:right w:w="0" w:type="dxa"/>
        </w:tblCellMar>
      </w:tblPr>
      <w:tblGrid>
        <w:gridCol w:w="185"/>
        <w:gridCol w:w="5660"/>
      </w:tblGrid>
      <w:tr>
        <w:trPr/>
        <w:tc>
          <w:tcPr>
            <w:tcW w:w="185" w:type="dxa"/>
            <w:tcBorders/>
            <w:vAlign w:val="center"/>
          </w:tcPr>
          <w:p>
            <w:pPr>
              <w:pStyle w:val="TableContents"/>
              <w:bidi w:val="0"/>
              <w:spacing w:lineRule="auto" w:line="300" w:before="0" w:after="0"/>
              <w:jc w:val="left"/>
              <w:rPr/>
            </w:pPr>
            <w:r>
              <w:rPr/>
              <w:t> •</w:t>
            </w:r>
          </w:p>
        </w:tc>
        <w:tc>
          <w:tcPr>
            <w:tcW w:w="5660" w:type="dxa"/>
            <w:tcBorders/>
            <w:vAlign w:val="center"/>
          </w:tcPr>
          <w:p>
            <w:pPr>
              <w:pStyle w:val="TableContents"/>
              <w:bidi w:val="0"/>
              <w:spacing w:lineRule="auto" w:line="300" w:before="0" w:after="0"/>
              <w:jc w:val="both"/>
              <w:rPr/>
            </w:pPr>
            <w:r>
              <w:rPr/>
              <w:t>innovating and advancing our platform;</w:t>
            </w:r>
          </w:p>
          <w:p>
            <w:pPr>
              <w:pStyle w:val="TableContents"/>
              <w:bidi w:val="0"/>
              <w:spacing w:lineRule="auto" w:line="300" w:before="0" w:after="0"/>
              <w:jc w:val="both"/>
              <w:rPr/>
            </w:pPr>
            <w:r>
              <w:rPr/>
              <w:t> </w:t>
            </w:r>
          </w:p>
        </w:tc>
      </w:tr>
      <w:tr>
        <w:trPr/>
        <w:tc>
          <w:tcPr>
            <w:tcW w:w="185" w:type="dxa"/>
            <w:tcBorders/>
            <w:vAlign w:val="center"/>
          </w:tcPr>
          <w:p>
            <w:pPr>
              <w:pStyle w:val="TableContents"/>
              <w:bidi w:val="0"/>
              <w:spacing w:lineRule="auto" w:line="300" w:before="0" w:after="0"/>
              <w:jc w:val="left"/>
              <w:rPr/>
            </w:pPr>
            <w:r>
              <w:rPr/>
              <w:t> •</w:t>
            </w:r>
          </w:p>
        </w:tc>
        <w:tc>
          <w:tcPr>
            <w:tcW w:w="5660" w:type="dxa"/>
            <w:tcBorders/>
            <w:vAlign w:val="center"/>
          </w:tcPr>
          <w:p>
            <w:pPr>
              <w:pStyle w:val="TableContents"/>
              <w:bidi w:val="0"/>
              <w:spacing w:lineRule="auto" w:line="300" w:before="0" w:after="0"/>
              <w:jc w:val="both"/>
              <w:rPr/>
            </w:pPr>
            <w:r>
              <w:rPr/>
              <w:t>acquiring new customers;</w:t>
            </w:r>
          </w:p>
          <w:p>
            <w:pPr>
              <w:pStyle w:val="TableContents"/>
              <w:bidi w:val="0"/>
              <w:spacing w:lineRule="auto" w:line="300" w:before="0" w:after="0"/>
              <w:jc w:val="both"/>
              <w:rPr/>
            </w:pPr>
            <w:r>
              <w:rPr/>
              <w:t> </w:t>
            </w:r>
          </w:p>
        </w:tc>
      </w:tr>
      <w:tr>
        <w:trPr/>
        <w:tc>
          <w:tcPr>
            <w:tcW w:w="185" w:type="dxa"/>
            <w:tcBorders/>
            <w:vAlign w:val="center"/>
          </w:tcPr>
          <w:p>
            <w:pPr>
              <w:pStyle w:val="TableContents"/>
              <w:bidi w:val="0"/>
              <w:spacing w:lineRule="auto" w:line="300" w:before="0" w:after="0"/>
              <w:jc w:val="left"/>
              <w:rPr/>
            </w:pPr>
            <w:r>
              <w:rPr/>
              <w:t>•</w:t>
            </w:r>
          </w:p>
        </w:tc>
        <w:tc>
          <w:tcPr>
            <w:tcW w:w="5660" w:type="dxa"/>
            <w:tcBorders/>
            <w:vAlign w:val="center"/>
          </w:tcPr>
          <w:p>
            <w:pPr>
              <w:pStyle w:val="TableContents"/>
              <w:bidi w:val="0"/>
              <w:spacing w:lineRule="auto" w:line="300" w:before="0" w:after="0"/>
              <w:jc w:val="both"/>
              <w:rPr/>
            </w:pPr>
            <w:r>
              <w:rPr/>
              <w:t>increasing usage by and spend from our existing customers;</w:t>
            </w:r>
          </w:p>
          <w:p>
            <w:pPr>
              <w:pStyle w:val="TableContents"/>
              <w:bidi w:val="0"/>
              <w:spacing w:lineRule="auto" w:line="300" w:before="0" w:after="0"/>
              <w:jc w:val="both"/>
              <w:rPr/>
            </w:pPr>
            <w:r>
              <w:rPr/>
              <w:t> </w:t>
            </w:r>
          </w:p>
        </w:tc>
      </w:tr>
      <w:tr>
        <w:trPr/>
        <w:tc>
          <w:tcPr>
            <w:tcW w:w="185" w:type="dxa"/>
            <w:tcBorders/>
            <w:vAlign w:val="center"/>
          </w:tcPr>
          <w:p>
            <w:pPr>
              <w:pStyle w:val="TableContents"/>
              <w:bidi w:val="0"/>
              <w:spacing w:lineRule="auto" w:line="300" w:before="0" w:after="0"/>
              <w:jc w:val="left"/>
              <w:rPr/>
            </w:pPr>
            <w:r>
              <w:rPr/>
              <w:t>•</w:t>
            </w:r>
          </w:p>
        </w:tc>
        <w:tc>
          <w:tcPr>
            <w:tcW w:w="5660" w:type="dxa"/>
            <w:tcBorders/>
            <w:vAlign w:val="center"/>
          </w:tcPr>
          <w:p>
            <w:pPr>
              <w:pStyle w:val="TableContents"/>
              <w:bidi w:val="0"/>
              <w:spacing w:lineRule="auto" w:line="300" w:before="0" w:after="0"/>
              <w:jc w:val="both"/>
              <w:rPr/>
            </w:pPr>
            <w:r>
              <w:rPr/>
              <w:t>international expansion; and</w:t>
            </w:r>
          </w:p>
          <w:p>
            <w:pPr>
              <w:pStyle w:val="TableContents"/>
              <w:bidi w:val="0"/>
              <w:spacing w:lineRule="auto" w:line="300" w:before="0" w:after="0"/>
              <w:jc w:val="both"/>
              <w:rPr/>
            </w:pPr>
            <w:r>
              <w:rPr/>
              <w:t> </w:t>
            </w:r>
          </w:p>
        </w:tc>
      </w:tr>
      <w:tr>
        <w:trPr/>
        <w:tc>
          <w:tcPr>
            <w:tcW w:w="185" w:type="dxa"/>
            <w:tcBorders/>
            <w:vAlign w:val="center"/>
          </w:tcPr>
          <w:p>
            <w:pPr>
              <w:pStyle w:val="TableContents"/>
              <w:bidi w:val="0"/>
              <w:spacing w:lineRule="auto" w:line="300" w:before="0" w:after="0"/>
              <w:jc w:val="left"/>
              <w:rPr/>
            </w:pPr>
            <w:r>
              <w:rPr/>
              <w:t>•</w:t>
            </w:r>
          </w:p>
        </w:tc>
        <w:tc>
          <w:tcPr>
            <w:tcW w:w="5660" w:type="dxa"/>
            <w:tcBorders/>
            <w:vAlign w:val="center"/>
          </w:tcPr>
          <w:p>
            <w:pPr>
              <w:pStyle w:val="TableContents"/>
              <w:bidi w:val="0"/>
              <w:spacing w:lineRule="auto" w:line="300" w:before="0" w:after="0"/>
              <w:jc w:val="both"/>
              <w:rPr/>
            </w:pPr>
            <w:r>
              <w:rPr/>
              <w:t>expansion of our ecosystem and go-to-market partnerships.</w:t>
            </w:r>
          </w:p>
        </w:tc>
      </w:tr>
    </w:tbl>
    <w:p>
      <w:pPr>
        <w:pStyle w:val="TextBody"/>
        <w:bidi w:val="0"/>
        <w:spacing w:lineRule="auto" w:line="300" w:before="0" w:after="0"/>
        <w:jc w:val="left"/>
        <w:rPr/>
      </w:pPr>
      <w:r>
        <w:rPr/>
      </w:r>
    </w:p>
    <w:p>
      <w:pPr>
        <w:pStyle w:val="TextBody"/>
        <w:bidi w:val="0"/>
        <w:spacing w:lineRule="auto" w:line="300" w:before="0" w:after="0"/>
        <w:ind w:left="0" w:right="0" w:firstLine="520"/>
        <w:jc w:val="both"/>
        <w:rPr>
          <w:sz w:val="20"/>
        </w:rPr>
      </w:pPr>
      <w:r>
        <w:rPr>
          <w:sz w:val="20"/>
        </w:rPr>
        <w:t>Our efforts to grow our revenue while increasing our operating efficiency may prove more difficult than we currently anticipate, and we may not succeed in increasing our revenues sufficiently, or at all, to offset our expenses. Additionally, we expect to continue making significant expenditures on sales and marketing efforts, and expenditures to grow our platform including to develop new features, integrations, capabilities, and enhancements to our platform. For example, we have made and expect to continue to make significant investments in support of our efforts to expand our U.S. federal business. If our revenue does not grow at a greater rate than our operating expenses, we will not be profitable in future periods. Our revenue growth may slow or our revenue may decline for a number of possible reasons, many of which are beyond our control, including greater market penetration, increased competition, slowing demand for our platform, a failure by us to continue capitalizing on growth opportunities, the maturation of our business, global economic downturns, the impact of rising inflation or interest rates or any of the other factors discussed in this “Risk Factors” section. Any failure to increase our revenue as we grow our business could prevent us from achieving profitability at all or on a consistent basis, which would make it more difficult to accomplish our business objectives and could have a material adverse effect on our business, financial condition and results of operations and cause the market price of our ordinary shares to decline.</w:t>
      </w:r>
    </w:p>
    <w:p>
      <w:pPr>
        <w:pStyle w:val="TextBody"/>
        <w:bidi w:val="0"/>
        <w:spacing w:lineRule="auto" w:line="300" w:before="0" w:after="0"/>
        <w:jc w:val="left"/>
        <w:rPr/>
      </w:pPr>
      <w:r>
        <w:rPr/>
      </w:r>
    </w:p>
    <w:p>
      <w:pPr>
        <w:pStyle w:val="TextBody"/>
        <w:bidi w:val="0"/>
        <w:spacing w:lineRule="auto" w:line="300" w:before="0" w:after="0"/>
        <w:jc w:val="both"/>
        <w:rPr>
          <w:sz w:val="20"/>
        </w:rPr>
      </w:pPr>
      <w:r>
        <w:rPr>
          <w:b/>
          <w:i/>
          <w:sz w:val="20"/>
        </w:rPr>
        <w:t>Our business and operations have historically experienced rapid growth which has fluctuated in recent periods. Our past growth may not be indicative of our future growth, and we may not be able to sustain or increase our revenue growth rate in the future. Our fluctuating growth rates also make</w:t>
      </w:r>
      <w:r>
        <w:rPr>
          <w:sz w:val="20"/>
        </w:rPr>
        <w:t xml:space="preserve"> </w:t>
      </w:r>
      <w:r>
        <w:rPr>
          <w:b/>
          <w:i/>
          <w:sz w:val="20"/>
        </w:rPr>
        <w:t>it difficult to evaluate our future prospects and may increase the risk that we will not be successful.</w:t>
      </w:r>
    </w:p>
    <w:p>
      <w:pPr>
        <w:pStyle w:val="TextBody"/>
        <w:bidi w:val="0"/>
        <w:spacing w:lineRule="auto" w:line="300" w:before="0" w:after="0"/>
        <w:jc w:val="left"/>
        <w:rPr/>
      </w:pPr>
      <w:r>
        <w:rPr/>
        <w:t> </w:t>
      </w:r>
    </w:p>
    <w:p>
      <w:pPr>
        <w:pStyle w:val="TextBody"/>
        <w:bidi w:val="0"/>
        <w:spacing w:lineRule="auto" w:line="300" w:before="0" w:after="0"/>
        <w:ind w:left="0" w:right="0" w:firstLine="490"/>
        <w:jc w:val="both"/>
        <w:rPr>
          <w:rFonts w:ascii="Times New Roman;Times;serif" w:hAnsi="Times New Roman;Times;serif"/>
          <w:sz w:val="20"/>
        </w:rPr>
      </w:pPr>
      <w:r>
        <w:rPr>
          <w:rFonts w:ascii="Times New Roman;Times;serif" w:hAnsi="Times New Roman;Times;serif"/>
          <w:sz w:val="20"/>
        </w:rPr>
        <w:t>Our total revenues for the years ended December 31, 2022 and 2023 were $245 million and $267 million, respectively, representing year-over-year growth of 9%. You should not rely on our revenue growth over any historical period as an indication of our future performance. Even if our revenue continues to increase, we expect our revenue growth rate to fluctuate in future periods. For example, we expect our revenue growth to increase modestly for the fiscal year 2024 compared to prior years as we focus on profitability and long term investments we believe will help us accelerate our revenue growth in the future. Many factors may contribute to fluctuations in our growth rate, including macroeconomic conditions, customer churn or down-selling, increased competition, slowing demand for our offerings, a failure by us to continue capitalizing on growth opportunities and the maturation of our business, among others. If our growth rate declines or does not increase over time, investors’ perceptions of our business and the market price of our ordinary shares could be adversely affected.</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4</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In addition, fluctuations in our historical growth rate may make it difficult to evaluate our current business and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could be harmed. Moreover, if the assumptions that we rely on to plan our business are incorrect or change in reaction to changes in the markets in which we operate, or if we are unable to maintain consistent revenue or revenue growth, our share price could be volatile, and it may be difficult to achieve and maintain profitability.</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The markets for our products are relatively new and evolving and may develop more slowly or differently than we expect. Our future success depends on the growth and expansion of these markets and our ability to adapt and respond effectively to evolving market conditions and demands.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markets in which we compete are characterized by rapid technological change, frequent introductions of new products, services, features and capabilities, and evolving industry standards and regulatory requirements. Our business strategy may not effectively respond to these changes, and we may fail to position ourselves to capitalize on market opportunities.  Our ability to grow our customer base and increase revenue from existing customers will depend in significant part on our ability to develop or otherwise introduce new product offerings and new features, integrations, capabilities and other enhancements to our existing offerings on a timely basis, as well as on our ability to interoperate across an increasing range of devices, operating systems and third-party applications. For example, recent industry focus on generative artificial intelligence, or AI, has created tremendous opportunities across the software industry and we expect our ability to successfully integrate these technologies into our offerings will be important to our long term success. The success of any new products or enhancements to our existing offerings will depend on a number of factors including, but not limited to, the timeliness and effectiveness of our research and product development activities and go-to-market strategy, our ability to anticipate customer needs and achieve market acceptance, our ability to manage the risks associated with new product releases, the effective management of and investment in product development, and the availability of other newly developed products and technologies by our competitors.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If we are not able to keep pace with technological and competitive developments or fail to develop or otherwise introduce new products and enhancements to our existing offerings, our products may become less marketable, less competitive, or obsolete, and our business, financial condition and results of operations may be materially adversely affected.</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markets in which we compete are characterized by rapid technological change, frequent introductions of new products, services, features and capabilities, and evolving industry standards and regulatory requirements. Our business strategy may not effectively respond to these changes, and we may fail to position ourselves to capitalize on market opportunities.  Our ability to grow our customer base and increase revenue from existing customers will depend in significant part on our ability to develop or otherwise introduce new product offerings and new features, integrations, capabilities and other enhancements to our existing offerings on a timely basis, as well as on our ability to interoperate across an increasing range of devices, operating systems and third-party applications.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In addition, in connection with our product development efforts, we may introduce significant changes to our existing products, or develop or otherwise introduce new and unproven products or product features, including technologies with which we have little or no prior development or operating experience. These new products, product features and other updates may not perform as expected, may fail to engage our customers or other users of our products, or may otherwise create a lag in adoption of such new or updated products and product features. New products may initially suffer from performance and quality issues that may negatively impact our ability to market and sell such products to new and existing customers. We have in the past experienced bugs, errors, or other defects or deficiencies in new products and product updates and delays in releasing new products, deployment options, and product enhancements and may have similar experiences in the future. As a result, some of our customers may either defer purchasing our products until the next upgrade is released or switch to a competitor if we are not able to keep up with technological developments.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To keep pace with technological and competitive developments, we have in the past invested, and may in the future invest, in the acquisition of complementary businesses, technologies, services, products, and other assets that expand the products that we can offer our customers. We may make these investments without being certain that they will result in products or enhancements that will be accepted by existing or prospective customers or that will achieve market acceptance. The short-term and long-term impact of any major change to our offerings, or the introduction of new products or solutions, is particularly difficult to predict. If new or enhanced offerings fail to engage our customers or other users of our products, or do not perform as expected, we may fail to generate sufficient revenue, operating margin, or other value to justify our investments in such products, any of which may adversely affect our reputation and negatively affect our business in the short-term, long-term, or both. If we are unable to successfully enhance our existing products to meet evolving customer requirements, increase adoption and use cases of our platform and products, develop new products and product features and quickly resolve security vulnerabilities, or if our efforts in any of these areas are more expensive than we expect, then our business, financial condition and results of operations would be adversely affected.</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5</w:t>
      </w:r>
    </w:p>
    <w:p>
      <w:pPr>
        <w:pStyle w:val="HorizontalLine"/>
        <w:bidi w:val="0"/>
        <w:spacing w:before="200" w:after="200"/>
        <w:jc w:val="left"/>
        <w:rPr/>
      </w:pPr>
      <w:r>
        <w:rPr/>
      </w:r>
    </w:p>
    <w:p>
      <w:pPr>
        <w:pStyle w:val="TextBody"/>
        <w:bidi w:val="0"/>
        <w:spacing w:lineRule="auto" w:line="300" w:before="0" w:after="0"/>
        <w:jc w:val="both"/>
        <w:rPr>
          <w:b/>
          <w:i/>
          <w:sz w:val="20"/>
        </w:rPr>
      </w:pPr>
      <w:r>
        <w:rPr>
          <w:b/>
          <w:i/>
          <w:sz w:val="20"/>
        </w:rPr>
        <w:t>Our business depends in part on our existing customers expanding the value of their subscriptions over time and renewing their subscriptions at the end of the applicable subscription period. Any decline in our Dollar-Based Net Retention Rate may harm our future operating results.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future success depends in part on our ability to expand the value of our existing customers’ subscriptions over time, and on our customers renewing their subscriptions when the contract term expires. The terms of our subscription agreements are typically for a period of one to three years, and our customers are under no obligation to renew their subscriptions after the expiration of the applicable subscription period. As a result, we cannot guarantee that customers will renew their subscriptions for a similar contract period or with a similar or greater scope of applications, users, features, capabilities or other terms that are equally or more beneficial to us, if they renew at all.</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use a metric we call Dollar-Based Net Retention to measure the expanding value of our customers subscriptions over time and understand our renewal trends. Our definition of Dollar-Based Net Retention is described in Item 5 of this Annual Report under “Key Business and Financial Metrics.” We may not accurately predict future renewal trends or our Dollar-Based Net Retention Rate given the diversity of our customer base in terms of size, industry and geography. Customer renewals, and our Dollar-Based Net Retention Rate, may decline or fluctuate as a result of a number of factors, including customer satisfaction with our products and our customer support, fluctuation in customer employee headcount, the frequency and severity of product outages, our product uptime or latency, the pricing and value proposition of our offerings compared to those of our competitors, additional new features, integrations, capabilities or other enhancements that we may develop or otherwise introduce from time to time, updates to our products as a result of updates by technology partners, mergers and acquisitions affecting our customer base, and consolidation of affiliates’ multiple into a single account. Customer renewals have been and may in the future also be impacted by general economic conditions, strengths and weaknesses in our customers’ underlying businesses, and other factors, many of which are beyond our control, that reduce customers’ spending levels. In addition, customers may renew for fewer subscriptions, renew for shorter contract lengths if they were previously on multi-year contracts, or switch to lower cost offerings on our platform. These factors may also be exacerbated if our customer base continues to grow to encompass larger enterprises, which generally require more sophisticated and costly sales efforts. If our customers do not expand the value of their subscriptions over time, or if our customers fail to renew their subscriptions or renew on less economically beneficial terms, our revenue may decline or grow less quickly than anticipated and our business, financial condition and results of operations may be harmed.</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If we are unable to attract new customers, our business, financial condition and results of operations will be adversely affected.</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To increase our revenue, we must continue to attract new customers. Our success will depend to a substantial extent on the widespread adoption of our platform and products. Many enterprises may view digital adoption platforms and technologies such as ours as new and unproven, and may be reluctant or unwilling to migrate to our Digital Adoption Platform. Further, the adoption of SaaS business software may be slower in industries with heightened data security interests or business practices requiring highly customizable application software. In addition, as our target markets mature,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If we do not maintain the interoperability of our offerings across devices, operating systems and third-party applications that we do not control, and if we are not able to maintain and expand our relationships with third-party technology partners to integrate our offerings with their products and solutions, our business, financial condition and results of operations may be materially adversely affected.</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success depends in part on our ability to integrate our platform and products with a variety of devices, operating systems and third-party applications that we do not control, and we need to continuously modify and enhance our offerings to adapt to changes in third party hardware, software, networking, browser and database technologies. Third-party products and services are constantly evolving, and we may not be able to modify our offerings to ensure their compatibility with those of other third parties following development changes. Third-party providers may change the features of their applications and software, restrict our access to their applications and software or alter the terms governing use of their applications and access to those applications and software in an adverse manner. Such changes could functionally limit or eliminate our ability to use these third-party applications and software in conjunction with our products, which could negatively impact customer demand, our competitive position and adversely affect our business. Certain companies with which we currently compete or may in the future compete own, develop, operate or distribute operating systems, cloud hosting services and other software applications, and/or have material business relationships with companies that own, develop, operate or distribute operating systems, application stores, cloud hosting services and other software that our offerings rely on to operate. These companies may be able to disrupt the operation or compatibility of our offerings with their products or services, or exert strong business influence on our ability to, and the terms on which we, operate and distribute our offerings. Moreover, some of these companies may have inherent advantages developing products and services that more tightly integrate with their software and hardware platforms or those of their business partners. Should these or any other third-party providers modify their products or standards in a manner that degrades the functionality of our offerings or gives preferential treatment to competitive products or services, whether to enhance their competitive position or for any other reason, we may not be able to offer the functionality that our customers need, which would negatively impact our ability to generate revenue and adversely affect our business. Furthermore, any losses or shifts in the market position of the providers of these third-party products and services could require us to identify and develop integrations with new third-party technologies. Such changes could consume substantial resources and may not be effective. Any expansion into new geographies may also require us to integrate our offerings with new third-party technologies, products and services and invest in developing new relationships with these providers. If we are unable to respond to changes in a cost-effective manner, our offerings may become less marketable, less competitive, or obsolete, and our business, financial condition and results of operations may be negatively impacted.</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6</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Further, we have created mobile applications and mobile versions of our offerings to respond to the increasing number of people who access the internet and cloud-based software applications through mobile devices, including smartphones and handheld tablets or laptop computers. If these mobile applications do not perform well, our business may suffer. We are also dependent on third-party application stores that we do not control, and that may prevent us from timely updating our offerings, building new features, integrations, capabilities or other enhancements, or charging for access. Should any of these companies stop allowing or supporting access to our offerings, allow access for us only at an unsustainable cost, or make changes to the terms of access in order to make our offerings less desirable or harder to access, whether for competitive reasons or otherwise, it would also have a negative impact on our business.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The markets in which we compete are evolving and highly fragmented, and we may not be able to compete successfully against current and future competitors, some of which may have greater financial, technical, and other resources than we do. If we do not compete successfully our business, financial condition and results of operations could be harmed.</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market for our platform and products is highly fragmented, quickly evolving, and subject to rapid changes in technology. We believe that our ability to compete successfully depends upon many factors both within and beyond our control, including the following:</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5" w:name="z6d90dfc5d6a94fa9a41b287ee51b6fdd"/>
      <w:bookmarkStart w:id="36" w:name="z6d90dfc5d6a94fa9a41b287ee51b6fdd"/>
      <w:bookmarkEnd w:id="36"/>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breadth of applications and technology integrations supported;</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support for generative AI, cross-application guidance, automation and analytics;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expertise in third-party application implementations;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integration of robust analytics and visualization capabilities;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cross-platform support for workflows including mobile native applications (iOS and Android) and desktop (Windows and macOS);</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ease of implementation and use;</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performance, security, scalability and reliability;</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quality of customer support;</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total cost of ownership; and</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brand recognition and reputation.</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Our main sources of competition fall into the following categories: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7" w:name="z60e06fe1afaa4b2c8b4311d0bd3b6341"/>
      <w:bookmarkStart w:id="38" w:name="z60e06fe1afaa4b2c8b4311d0bd3b6341"/>
      <w:bookmarkEnd w:id="38"/>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Non-adoption from enterprises maintaining the status quo of offline, internally developed, or non-dynamic, FAQ-centric application guidance and workflow support;</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Point solutions or generative AI alternatives embedded natively or as an add-on to software provided by diversified enterprise software companies such as SAP, Oracle, Microsoft, and Salesforce; and</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Providers of software for specific in-app guidance or analytics use cases for SaaS applications.</w:t>
            </w:r>
          </w:p>
        </w:tc>
      </w:tr>
    </w:tbl>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7</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Additionally, we compete with home-grown, start-up, and open-source technologies across the categories described above. With the trend toward distributed and remote workforces, the passage of time, the introduction of new technologies and the entrance of new market participants, competition has intensified, and we expect it to continue to intensify in the future. Established companies are also developing their own products that compete with ours, and may continue to do so in the future. Established companies may also acquire or establish product integration, distribution or other cooperative relationships with our current competitors. New competitors or alliances among competitors may emerge from time to time and rapidly acquire significant market share due to various factors such as their greater brand name recognition, larger existing user or customer base, customer preferences for their offerings, a larger or more effective sales organization and greater financial, technical, marketing and other resources and experience.</w:t>
      </w:r>
    </w:p>
    <w:p>
      <w:pPr>
        <w:pStyle w:val="TextBody"/>
        <w:bidi w:val="0"/>
        <w:spacing w:lineRule="auto" w:line="300" w:before="0" w:after="0"/>
        <w:jc w:val="left"/>
        <w:rPr/>
      </w:pPr>
      <w:r>
        <w:rPr/>
        <w:t> </w:t>
      </w:r>
    </w:p>
    <w:p>
      <w:pPr>
        <w:pStyle w:val="TextBody"/>
        <w:bidi w:val="0"/>
        <w:spacing w:lineRule="auto" w:line="300" w:before="0" w:after="0"/>
        <w:ind w:left="0" w:right="0" w:firstLine="490"/>
        <w:jc w:val="both"/>
        <w:rPr>
          <w:sz w:val="20"/>
        </w:rPr>
      </w:pPr>
      <w:r>
        <w:rPr>
          <w:sz w:val="20"/>
        </w:rPr>
        <w:t>Many of our competitors have, and additional potential competitors may have, greater financial, technical, and other resources, greater brand recognition, larger sales forces and marketing budgets, broader distribution networks, more diverse product and services offerings, larger and more mature intellectual property portfolios, more established relationships in the industry and with customers, lower cost structures and greater customer experience resources. These competitors may be able to respond more quickly and effectively than we can to new or changing opportunities, technologies, standards and customer requirements. They may also be able to leverage these resources to gain business in a manner that discourages customers from purchasing our offerings. Potential customers may also prefer to purchase from companies with which they have an existing relationship rather than a new supplier, regardless of product performance or features. Furthermore, we expect that our industry will continue to attract new companies, including smaller emerging companies, which could introduce new offerings or alternative solutions to the problems we address. We may also expand into new markets and encounter additional competitors in such markets. The numerous and evolving competitive pressures in the markets in which we operate, or our failure to respond effectively to such pressures, may result in price reductions, fewer customers, reduced revenue, gross profit and gross margins, increased net losses and loss of market share, any of which could significantly and adversely affect our business, financial condition and results of operations.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Our Digital Adoption Platform is at the core of our business, and any decline in demand for our Digital Adoption Platform occasioned by malfunction, inferior performance, increased competition, economic conditions or otherwise, will impact our business, financial condition and results of operations.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Digital Adoption Platform is at the core of our business and all of our customer subscriptions. Customer subscriptions to our software platform  accounted for approximately 90% and 93% of our total revenue for the years ended December 31, 2022 and 2023, respectively, with the remainder of our revenue being derived from associated professional services. Accordingly, market acceptance of our Digital Adoption Platform is critical to our success. If demand for our Digital Adoption Platform declines, the demand for the associated professional services will also decline. Demand for our Digital Adoption Platform is affected by a number of factors, many of which are beyond our control, such as continued market acceptance of digital adoption platforms and technologies by customers for existing and new use cases, the timing of development and release of new features and functionality, lower cost alternatives introduced by our competitors, technological changes and developments within the markets we serve, including the potential introduction of native digital adoption solutions within software providers’ existing products, and macroeconomic conditions.  If our Digital Adoption Platform fails to compete effectively or demand for our Digital Adoption Platform were to decline, then our business, financial condition and results of operations would be harmed.</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Unfavorable conditions in our industry or the global economy or reductions in information technology spending could limit our ability to grow our business and negatively affect our results of operations.</w:t>
      </w:r>
    </w:p>
    <w:p>
      <w:pPr>
        <w:pStyle w:val="TextBody"/>
        <w:bidi w:val="0"/>
        <w:spacing w:lineRule="auto" w:line="300" w:before="0" w:after="0"/>
        <w:jc w:val="left"/>
        <w:rPr/>
      </w:pPr>
      <w:r>
        <w:rPr/>
      </w:r>
    </w:p>
    <w:p>
      <w:pPr>
        <w:pStyle w:val="TextBody"/>
        <w:bidi w:val="0"/>
        <w:spacing w:lineRule="auto" w:line="300" w:before="0" w:after="0"/>
        <w:ind w:left="0" w:right="0" w:firstLine="500"/>
        <w:jc w:val="both"/>
        <w:rPr>
          <w:sz w:val="20"/>
        </w:rPr>
      </w:pPr>
      <w:r>
        <w:rPr>
          <w:sz w:val="20"/>
        </w:rPr>
        <w:t>Our results of operations may vary based on the impact of changes in our industry or the global economy on us or our customers. Current or future economic uncertainties or downturns could adversely affect our business and results of operations. Negative conditions in the general economy both in the United States and abroad, including conditions resulting from changes in gross domestic product growth, financial, and credit market fluctuations, rising inflation or interest rates, political turmoil, natural catastrophes, any pandemic, epidemic or outbreak of infectious disease, warfare, protests and riots, and terrorist attacks on the United States, Europe, the Middle East, the Asia Pacific region, or elsewhere, could cause a decrease in business investments by our customers and potential customers, including spending on information technology, and negatively affect the growth of our business. In particular, since a significant portion of our operations are based in Israel, hostilities within the region, including due to the war between Israel and Hamas, or a significant downturn in the economic or financial condition of Israel, could materially adversely affect our operations (see “— Conditions in Israel, including the recent attack by Hamas and other terrorist organizations from the Gaza Strip and elsewhere in the region, and Israel’s war against them, may materially and adversely affect our revenues, our results of operations and our financial condition.”).</w:t>
      </w:r>
    </w:p>
    <w:p>
      <w:pPr>
        <w:pStyle w:val="TextBody"/>
        <w:bidi w:val="0"/>
        <w:spacing w:lineRule="auto" w:line="300" w:before="0" w:after="0"/>
        <w:jc w:val="left"/>
        <w:rPr/>
      </w:pPr>
      <w:r>
        <w:rPr/>
      </w:r>
    </w:p>
    <w:p>
      <w:pPr>
        <w:pStyle w:val="TextBody"/>
        <w:bidi w:val="0"/>
        <w:spacing w:lineRule="auto" w:line="300" w:before="0" w:after="0"/>
        <w:ind w:left="0" w:right="0" w:firstLine="500"/>
        <w:jc w:val="both"/>
        <w:rPr>
          <w:sz w:val="20"/>
        </w:rPr>
      </w:pPr>
      <w:r>
        <w:rPr>
          <w:sz w:val="20"/>
        </w:rPr>
        <w:t>For example, the United States has recently experienced historically high levels of inflation that have only recently begun to moderate. The annual inflation rate for the United States was approximately 3.4% for the year ended December 31, 2023. In the event inflation persists or starts to increase again, we may seek to increase the sales prices of our products and services in order to maintain satisfactory margins. Any attempts to offset cost increases with price increases may result in reduced sales, increase customer dissatisfaction or otherwise harm our reputation. Moreover, rising inflation and other macro conditions may have other adverse effects on the economy which are difficult to predict.</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8</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Moreover, persistent economic downturns may require us to undertake optimization and cost saving initiatives, including streamlining our organization and adjusting the size and structure of our workforce. For example, from time to time, we have implemented certain cost reduction efforts to reduce material spend and operating expenses including restructuring our workforce to better align our expenses with our revenue expectations.  Any reduction in force may yield unintended consequences and costs, such as attrition beyond the intended reduction in force, the distraction of employees and reduced employee morale, which could, in turn, adversely impact productivity, including through a loss of continuity, loss of accumulated knowledge or inefficiency during transitional periods. Any of these impacts could also adversely affect our reputation as an employer, make it more difficult for us to hire new employees in the future and increase the risk that we may not achieve the anticipated benefits from the restructuring.</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We recognize subscription revenue over the term of the relevant subscription period, and as a result, downturns or upturns in sales are not immediately reflected in full in our results of operations.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generate revenue primarily through sales of subscriptions to our Digital Adoption Platform, and we recognize our subscription revenue ratably over the term of the relevant subscription period. As a result, a significant portion of the revenue we report each fiscal quarter is the recognition of deferred revenue from subscription contracts entered into during previous fiscal quarters. Consequently, a decline in new or renewed subscriptions in any one fiscal quarter will not be fully or immediately reflected in revenue in that fiscal quarter and will negatively affect our revenue in future fiscal quarters. Accordingly, the effect of significant downturns in new or renewed sales of our subscriptions is not reflected in full in our results of operations until future periods.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Our ability to achieve customer renewals and increase sales of our products is dependent on the quality of our customer support, and our failure to offer effective customer support would have an adverse effect on our reputation, business, financial condition and results of operations.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customers depend on our customer support professionals, which we refer to as our customer success team, to resolve issues and realize the full benefits relating to our platform and products. If we do not succeed in helping our customers quickly resolve implementation and/or post-deployment issues or provide effective ongoing support and education, our ability to renew subscriptions with existing customers and to expand the value of those subscriptions would be adversely affected and our reputation with potential customers could also be damaged. In addition, a significant portion of our existing customer base consists of large enterprises, which generally have more complex IT environments and require higher levels of support than smaller customers. If we fail to meet the requirements of these customers, it may be more difficult to grow sales or maintain our relationships with them.</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If we fail to maintain and enhance our brand, our ability to expand our customer base will be impaired and our business, financial condition and results of operations may suffer.</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believe that maintaining and enhancing the WalkMe brand is important to support the marketing and sale of our existing and future products to new customers and to expanding sales of our products to existing customers. We also believe that brand recognition will become increasingly important as competition in our target markets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those of our competitors. Our brand promotion activities may not generate customer awareness or yield increased revenue, and even if they do, any increased revenue may not offset the marketing expenses we incur in building our brand. If we fail to successfully promote and maintain our brand, we may fail to attract new customers and retain existing customers as necessary to realize a sufficient return on our brand-building efforts, and may fail to achieve the widespread brand awareness that is critical for broad customer adoption of our offerings.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If we are unable to manage our fixed and variable costs or expand the scale of our operations and generate a sufficient amount of revenue to offset the associated fixed and variable costs, our business, financial condition and results of operations may be materially and adversely affected.</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SaaS businesses like ours tend to involve certain fixed costs, and our ability to achieve desired operating margins depends largely on our success in maintaining a scale of operations and generating a sufficient amount of revenue to offset these fixed costs and other variable costs. Our fixed costs include, among other things, compensation of employees, cloud-based computing services, data storage and related expenses and office rental expenses. Our variable costs largely include sales and marketing expenses. These costs can be difficult to manage, particularly as our growth fluctuates. If we are unable to effectively manage these costs or achieve economies of scale, our operating margin may decrease and our business, financial condition, results of operations and prospects could be materially and adversely affected.</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9</w:t>
      </w:r>
    </w:p>
    <w:p>
      <w:pPr>
        <w:pStyle w:val="HorizontalLine"/>
        <w:bidi w:val="0"/>
        <w:spacing w:before="200" w:after="200"/>
        <w:jc w:val="left"/>
        <w:rPr/>
      </w:pPr>
      <w:r>
        <w:rPr/>
      </w:r>
    </w:p>
    <w:p>
      <w:pPr>
        <w:pStyle w:val="TextBody"/>
        <w:bidi w:val="0"/>
        <w:spacing w:lineRule="auto" w:line="300" w:before="0" w:after="0"/>
        <w:jc w:val="both"/>
        <w:rPr>
          <w:b/>
          <w:i/>
          <w:sz w:val="20"/>
        </w:rPr>
      </w:pPr>
      <w:r>
        <w:rPr>
          <w:b/>
          <w:i/>
          <w:sz w:val="20"/>
        </w:rPr>
        <w:t>Our results of operations fluctuate from quarter to quarter, which could adversely affect our business, financial condition and results of operations.</w:t>
      </w:r>
    </w:p>
    <w:p>
      <w:pPr>
        <w:pStyle w:val="TextBody"/>
        <w:bidi w:val="0"/>
        <w:spacing w:lineRule="auto" w:line="300" w:before="0" w:after="0"/>
        <w:jc w:val="both"/>
        <w:rPr/>
      </w:pPr>
      <w:r>
        <w:rPr/>
        <w:t> </w:t>
      </w:r>
    </w:p>
    <w:p>
      <w:pPr>
        <w:pStyle w:val="TextBody"/>
        <w:bidi w:val="0"/>
        <w:spacing w:lineRule="auto" w:line="300" w:before="0" w:after="0"/>
        <w:ind w:left="0" w:right="0" w:firstLine="500"/>
        <w:jc w:val="both"/>
        <w:rPr>
          <w:sz w:val="20"/>
        </w:rPr>
      </w:pPr>
      <w:r>
        <w:rPr>
          <w:sz w:val="20"/>
        </w:rPr>
        <w:t>Our results of operations, including our revenue, cost of revenue, gross margin, operating expenses and cash flow, have fluctuated from quarter to quarter in the past and may continue to vary significantly in the future so that period-to-period comparisons of our results of operations may not be meaningful. Accordingly, our financial results in any one quarter should not be relied upon as indicative of future performance. Our quarterly financial results may fluctuate as a result of a variety of factors, many of which may be difficult to predict, and may or may not fully reflect the underlying performance of our business. Factors that may cause fluctuations in our quarterly financial results include: </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39" w:name="z8e2e0aff7b064f48a7cae0a301503713"/>
      <w:bookmarkStart w:id="40" w:name="z8e2e0aff7b064f48a7cae0a301503713"/>
      <w:bookmarkEnd w:id="40"/>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our ability to attract and retain new customers and expand sales within our existing customer base;</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the loss of existing customers;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subscription renewals and the timing of such renewals;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fluctuations in customer usage of our products from period to period;</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customer satisfaction with our products and platform capabilities and customer support;</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mergers and acquisitions or other transactions affecting our customer base, including the consolidation of affiliates’ multiple accounts into a single account;</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mix of our revenue between subscription and professional services;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our ability to gain new partners and retain existing partners, and any changes in the economic terms of our agreements with such partners;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increases or decreases in the number of users or applications in our subscriptions or pricing changes upon any renewals of customer agreements;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fluctuations in share-based compensation expense;</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decisions by potential customers to purchase alternative solutions or develop in-house technologies as alternatives to our products;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1" w:name="zeb82ea0ec2ce4786a66037ce06366512"/>
      <w:bookmarkStart w:id="42" w:name="zeb82ea0ec2ce4786a66037ce06366512"/>
      <w:bookmarkEnd w:id="42"/>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the amount and timing of operating expenses related to the maintenance and expansion of our business and operations, including investments in research and development, sales and marketing, including the capacity of our sales team, and general and administrative resources;</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our ability to manage our cloud services infrastructure costs;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technical disruptions or network outages;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developments or disputes concerning our intellectual property or proprietary rights, our platform or products, or third-party intellectual property or proprietary rights;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negative publicity about our Company, our offerings or our partners, including as a result of actual or perceived breaches of, or failures relating to, data privacy, data protection or data security;</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the timing of expenses related to the development or acquisition of technologies or businesses and potential future charges for impairment of goodwill from acquired companies;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general economic, industry and market conditions;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the impact of political uncertainty or unrest, including the war in Israel, where our headquarters are located;</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changes in our pricing policies or those of our competitors;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fluctuations in the growth rate of the overall markets that our products address;</w:t>
            </w:r>
          </w:p>
        </w:tc>
      </w:tr>
    </w:tbl>
    <w:p>
      <w:pPr>
        <w:pStyle w:val="TextBody"/>
        <w:bidi w:val="0"/>
        <w:spacing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10</w:t>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seasonality in the underlying businesses of our customers, including budgeting cycles and purchasing practices, and any changes in customer spending patterns; </w:t>
            </w:r>
          </w:p>
          <w:p>
            <w:pPr>
              <w:pStyle w:val="TableContents"/>
              <w:bidi w:val="0"/>
              <w:spacing w:lineRule="auto" w:line="300" w:before="0" w:after="0"/>
              <w:jc w:val="both"/>
              <w:rPr/>
            </w:pPr>
            <w:r>
              <w:rPr/>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the business strengths or weakness of our customers;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our ability to collect timely on invoices or receivables;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the cost and potential outcomes of litigation or other disputes;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future accounting pronouncements or changes in our accounting policies;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our overall effective tax rate, including impacts caused by any reorganization in our corporate tax structure and any new legislation or regulatory developments;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our ability to successfully expand our business in the U.S. and internationally;</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fluctuations in foreign currency exchange rates;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legal and regulatory compliance costs in new and existing markets; and</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the timing and success of new products or product features introduced by us or our competitors or any other change in the competitive dynamics of our industry, including consolidation among competitors, customers or partners. </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The impact of one or more of the foregoing or other factors may cause our results of operations to vary significantly. Such fluctuations could cause us to fail to meet the expectations of investors or securities analysts, which could cause the trading price of our ordinary shares to fall substantially, and we could face costly lawsuits, including securities class action suits. Additionally, the rapid growth we have experienced in recent years may have masked the full effects of these seasonal factors on our business to date, and as such, these factors may have a greater effect on our results of operations in future periods.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Our corporate culture has contributed to our success, and if we cannot maintain this culture as our business continues to evolve, we could lose the innovation, creativity, and entrepreneurial spirit we have worked to foster, which could harm our business.</w:t>
      </w:r>
    </w:p>
    <w:p>
      <w:pPr>
        <w:pStyle w:val="TextBody"/>
        <w:bidi w:val="0"/>
        <w:spacing w:lineRule="auto" w:line="300" w:before="0" w:after="0"/>
        <w:jc w:val="left"/>
        <w:rPr/>
      </w:pPr>
      <w:r>
        <w:rPr/>
        <w:t> </w:t>
      </w:r>
    </w:p>
    <w:p>
      <w:pPr>
        <w:pStyle w:val="TextBody"/>
        <w:bidi w:val="0"/>
        <w:spacing w:lineRule="auto" w:line="300" w:before="0" w:after="0"/>
        <w:ind w:left="0" w:right="0" w:firstLine="490"/>
        <w:jc w:val="both"/>
        <w:rPr>
          <w:sz w:val="20"/>
        </w:rPr>
      </w:pPr>
      <w:r>
        <w:rPr>
          <w:sz w:val="20"/>
        </w:rPr>
        <w:t>We believe that our culture has been and will continue to be a key contributor to our success. We will need to continue to maintain our culture among a large number of employees, dispersed across various geographic regions. Maintaining a strong corporate culture and a productive workforce could be increasingly difficult in distributed work environments where employees work in hybrid or remote workplaces. If we do not continue to maintain our corporate culture, we may be unable to foster the innovation, creativity and entrepreneurial spirit we believe we need to support our business. Any expansion of our business may also result in changes to our corporate culture, which could harm our ability to attract, recruit and retain employees, as well as our business and our prospects for future growth.</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We typically provide service-level commitments under our subscription agreements. If we fail to meet these contractual commitments, we could be obligated to provide credits for future service, extended subscription terms or refunds of prepaid amounts equivalent to the credits, any of which could lead to subscription termination or a decrease in customer renewals in future periods.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credits for future service, extended subscription terms or refunds of prepaid amounts equivalent to the credits, any of which could lead to subscription termination or a decrease in customer renewal. Accordingly, failure to meet our service-level commitments could significantly affect our revenue in the periods in which the failure occurs and the credits are applied or the refunds paid out. In addition, subscription terminations and any reduction in renewals resulting from service-level failures could significantly affect both our current and future revenue. Any service-level failures could also create negative publicity and damage our reputation, which may discourage prospective customers from adopting our offerings. In addition, if we modify the terms of our service-level commitments in future customer agreements in a manner that customers perceive to be unfavorable, demand for our offerings could be reduced. Any of these events could adversely affect our business, financial condition and results of operations.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We increasingly target enterprise customers, and sales to these customers involve risks that may not be present or that are present to a lesser extent with sales to smaller entities.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sales and marketing organization is increasingly focused on large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11</w:t>
      </w:r>
    </w:p>
    <w:p>
      <w:pPr>
        <w:pStyle w:val="HorizontalLine"/>
        <w:bidi w:val="0"/>
        <w:spacing w:before="200" w:after="200"/>
        <w:jc w:val="left"/>
        <w:rPr/>
      </w:pPr>
      <w:r>
        <w:rPr/>
      </w:r>
    </w:p>
    <w:p>
      <w:pPr>
        <w:pStyle w:val="TextBody"/>
        <w:bidi w:val="0"/>
        <w:spacing w:lineRule="auto" w:line="300" w:before="0" w:after="0"/>
        <w:jc w:val="both"/>
        <w:rPr>
          <w:b/>
          <w:i/>
          <w:sz w:val="20"/>
        </w:rPr>
      </w:pPr>
      <w:r>
        <w:rPr>
          <w:b/>
          <w:i/>
          <w:sz w:val="20"/>
        </w:rPr>
        <w:t>The failure to effectively develop and expand our sales and marketing capabilities, including third-party resources, could harm our ability to increase our customer base and achieve broader market acceptance of our offerings.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ability to increase our customer base and achieve broader market acceptance of our platform and products will depend to a significant extent on our ability to expand our sales and marketing operations. As part of our strategy, we plan to continue to invest to improve our direct sales force and to align our sales capacity to our strategic priorities. If we are unable to maintain a sufficient number of qualified sales personnel in the near term, our business and growth prospects will be adversely impacted. Identifying and recruiting qualified sales representatives and training them is time-consuming and resource-intensive, and they may not be fully trained and productive for a significant amount of time. We also plan to continue to dedicate significant resources to our marketing programs. All of these efforts will require us to invest significant financial and other resources. Our business will be harmed if our efforts do not generate a correspondingly significant increase in revenue. We will not achieve anticipated revenue growth from expanding our sales force if we are unable to hire, develop, motivate and retain talented sales personnel, if new sales personnel are unable to achieve desired productivity levels in a reasonable period of time, or if our sales and marketing programs are not effective. In addition, because we rely primarily on a direct sales model, our customer acquisition costs are higher than those of organizations that rely primarily on a self-service model, which may limit our ability to cut costs in response to changing economic and competitive conditions.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In addition to our direct sales force, we also leverage reseller and other partner relationships to help market and sell our offerings to customers around the world, particularly in jurisdictions in which we have a limited presence. Though we expect that we will need to maintain and expand our network of partners as we continue to expand our presence in international markets, these relationships subject us to certain risks. Some of our partners, mainly system integrators, offer a wide array of software and services in addition to ours. Because most of their revenue is derived from selling professional services, they may prioritize sales of other more professional- services heavy solutions instead of ours. Moreover, we may face channel conflicts with producers of software that our customers use in addition to ours. If such producers perceive our solutions as a competitive threat to their products, our ability to maintain or establish partnerships with third parties may be adversely affected. In addition, recruiting and retaining qualified partners and training them in our technology and offerings requires significant time and resources. If we decide to further develop and expand our indirect sales channels, we must continue to scale and improve our processes and procedures to support these channels, including investing in systems and training. Many partners may not be willing to invest the time and resources required to train their staff to effectively market and sell our offerings.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The sales prices of our products may change, which may reduce our revenue and gross profit and adversely affect our financial results.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sales prices for our products may be subject to change for a variety of reasons, including competitive pricing pressures, discounts, anticipation of the introduction of new products, general economic conditions, or changes in our marketing, customer acquisition and technology costs and, as a result, we anticipate that we will need to change our pricing model from time to time. In the past, we have sometimes adjusted our prices for individual customers in certain situations, and expect to do so from time to time in the future. Moreover, demand for our offerings is price-sensitive. Competition continues to increase in the market segments in which we participate, and we expect competition to further increase in the future, thereby leading to increased pricing pressures. Larger competitors with more diverse offerings may reduce the price of offerings that compete with ours or may bundle them with other offerings and provide them for free. Similarly, certain competitors may use marketing strategies that enable them to acquire users more rapidly or at a lower cost than us, or both, and we may be unable to attract new customers or grow and retain our customer base based on our historical pricing. As we develop and introduce new offerings, as well as features, integrations, capabilities and other enhancements, we may need to, or choose to, revise our pricing. We may also face challenges setting prices for new and existing offerings in any new geographies into which we expand. There can be no assurance that we will not be forced to engage in price-cutting initiatives or to increase our marketing and other expenses to attract customers in response to competitive or other pressures. Any decrease in the sales prices for our products, without a corresponding decrease in costs, increase in volume or increase in revenue from our other offerings, would adversely affect our revenue and gross profit. We cannot assure you that we will be able to maintain our prices and gross profits at levels that will allow us to achieve and maintain profitability.</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12</w:t>
      </w:r>
    </w:p>
    <w:p>
      <w:pPr>
        <w:pStyle w:val="HorizontalLine"/>
        <w:bidi w:val="0"/>
        <w:spacing w:before="200" w:after="200"/>
        <w:jc w:val="left"/>
        <w:rPr/>
      </w:pPr>
      <w:r>
        <w:rPr/>
      </w:r>
    </w:p>
    <w:p>
      <w:pPr>
        <w:pStyle w:val="TextBody"/>
        <w:bidi w:val="0"/>
        <w:spacing w:lineRule="auto" w:line="300" w:before="0" w:after="0"/>
        <w:jc w:val="both"/>
        <w:rPr>
          <w:b/>
          <w:i/>
          <w:sz w:val="20"/>
        </w:rPr>
      </w:pPr>
      <w:r>
        <w:rPr>
          <w:b/>
          <w:i/>
          <w:sz w:val="20"/>
        </w:rPr>
        <w:t>The length of our sales cycle can be unpredictable, particularly with respect to sales to enterprise customers, and our sales efforts may require considerable time and expense.</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results of operations may fluctuate, in part, because of the length and variability of the sales cycle of our subscriptions and the difficulty in making short-term adjustments to our operating expenses. Our results of operations depend in large part on sales to new enterprise customers and increasing sales to existing customers. The length of our sales cycle, from initial contact from a prospective customer to contractually committing to one or more of our offerings, can vary substantially from customer to customer based on a number of factors, including deal complexity, implementation time and the need for our customers to satisfy their own internal requirements and processes, as well as whether a sale is made directly by us or by one of our resellers or other partners. It is difficult to predict exactly when, or even if, we will make a sale to a potential customer, or if and when we can increase sales to our existing customers. As a result, large individual sales have, in some cases, occurred in quarters subsequent to those we anticipated, or have not occurred at all. Because a substantial proportion of our expenses are relatively fixed in the short term, our results of operations will suffer if our revenue falls below our expectations in a particular quarter, which could cause the price of our ordinary shares to decline.</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Expansion into markets outside the United States is important to the growth of our business, and if we do not manage the business and economic risks of global expansion effectively, it could materially and adversely affect our business, financial condition and results of operations.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Our future success depends, in part, on our ability to sustain and expand our penetration of the international markets in which we currently operate and to expand into additional international markets. Our ability to expand internationally will depend upon our ability to deliver functionality and other features that reflect the needs and preferences of the international customers that we target and to successfully navigate the risks inherent in operating a business internationally. The continued expansion of our international operations will subject us to new risks and may increase risks that we currently face, including risks associated with: </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43" w:name="z83864a13dcb34bfe8337ce09aae1ec4d"/>
      <w:bookmarkStart w:id="44" w:name="z83864a13dcb34bfe8337ce09aae1ec4d"/>
      <w:bookmarkEnd w:id="44"/>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recruiting and retaining talented and capable employees outside of Israel and the United States, and maintaining our Company culture across all of our offices;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providing our platform and operating our business across a significant distance, in different languages and among different cultures, including the potential need to modify our platform and features to reflect local languages and to ensure that they are culturally appropriate and relevant in different countries;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slower than anticipated availability and adoption of cloud and technology infrastructures by international businesses;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the applicability of evolving and potentially inconsistent international laws and regulations, including laws and regulations with respect to tariffs, privacy, data protection, data security, consumer protection and unsolicited email, and the risk of penalties to our customers, users and individual members of our executive leadership team or other employees if our practices are deemed to be out of compliance;</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operating in jurisdictions that do not protect intellectual property rights to the same extent as does the United States;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our need to rely on local partners including in connection with joint venture or other arrangements like our Japanese subsidiary, WalkMe K.K., to penetrate certain geographic regions, which may make us dependent on such local partners to implement our growth strategy. See Item 5. “Operating and Financial Review and Prospects-Commitments and Contractual Obligations-WalkMe K.K.”;</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compliance by us and our business partners with anti-corruption laws, import and export control laws, tariffs, trade barriers, economic sanctions and other regulatory limitations on our ability to provide our platform in certain international markets;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global political, social and economic instability including, instability arising from the war in Ukraine and the war in Israel;</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fluctuations in currency exchange rates;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5" w:name="z91a53d87fc504b7d901480a2977aa164"/>
      <w:bookmarkStart w:id="46" w:name="z91a53d87fc504b7d901480a2977aa164"/>
      <w:bookmarkEnd w:id="46"/>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double taxation of our international earnings and potentially adverse tax consequences due to changes in the income and other tax laws of Israel, the United States or the international jurisdictions in which we operate, including the complexities of foreign value added tax (or other tax) systems, and restrictions on the repatriation of earnings;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higher costs of doing business internationally, including increased accounting, travel, infrastructure and legal compliance costs;</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different labor regulations, especially in the European Union, where labor laws are generally more advantageous to employees as compared to the United States, including deemed hourly wage and overtime regulations in these locations;</w:t>
            </w:r>
          </w:p>
        </w:tc>
      </w:tr>
    </w:tbl>
    <w:p>
      <w:pPr>
        <w:pStyle w:val="TextBody"/>
        <w:bidi w:val="0"/>
        <w:spacing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13</w:t>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the implementation of exchange controls, including restrictions promulgated by the United States Department of the Treasury’s Office of Foreign Assets Control (“OFAC”), and other similar trade protection regulations and measures in the United States, Israel or in other jurisdictions;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reduced ability to timely collect amounts owed to us by our customers in countries where our recourse may be more limited;</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limitations on our ability to reinvest earnings from operations derived from one country to fund the capital needs of our operations in other countries;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potential changes in laws, regulations, and costs affecting our United Kingdom (“UK”) operations and personnel; </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as an Israeli company, we are subject to Israeli laws concerning governmental access to data and the risk, or perception of risk, of such access may making our platform less attractive to organizations outside Israel, and compliance with such Israeli laws may conflict with legal obligations that we, or other organizations on our platform, may be subject to in other countries; and</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exposure to liabilities under anti-corruption and anti-money laundering laws, including the U.S. Foreign Corrupt Practices Act of 1977, as amended, and similar applicable laws and regulations in other jurisdictions.</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While we have invested, and expect to continue to invest, significant resources in our international operations and expansion, it is possible that returns on such investments will not be achieved in the near future or at all in these less familiar competitive and regulatory environments. Compliance with laws and regulations applicable to our global operations could substantially increase our cost of doing business in international jurisdictions, and any violations could result in enforcement actions, fines, civil and criminal penalties, damages, injunctions, or reputational harm. If we are unable to comply with these laws and regulations or manage the difficulties and challenges described above and any other problems we encounter in connection with our international operations and expansion, our business, financial condition and results of operations could be materially and adversely affected.</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We expect our revenue mix to vary over time, which could harm our gross margin and results of operations.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Our gross margins and results of operations could be harmed by changes in our revenue mix between subscription and professional services and associated costs resulting from any number of factors, including an increase in the number of partner-assisted sales; entry into new markets or growth in lower margin markets; entry into markets with different pricing and cost structures; pricing discounts; and increased price competition. Any one of these factors or the cumulative effects of certain of these factors may result in significant fluctuations in our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ordinary shares could decline.</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Catastrophic events, or man-made problems such as war or terrorism, including the wars in Israel and Ukraine, may disrupt our business.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 significant natural disaster, such as an earthquake, fire, flood, severe storm, or significant power outage could have an adverse impact on our business, financial condition and results of operations.  Climate change has impacted, and is expected to continue to impact, the frequency and/or intensity of such events as well as cause chronic changes, such as changes in temperature or precipitation patterns or sea-level rise, that may also have an adverse impact on our operations. For example, in certain areas, there has been an increase in power shutoffs associated with wildfire prevention. A number of our management team and other employees, as well as our customers and partners, are located in the San Francisco Bay Area, a region known for seismic activity and increasingly, wildfires. In the event our or our customers’ or partners’ operations are hindered by any of the events discussed above, sales could be delayed, resulting in missed financial targets for a particular reporting period. In addition, acts of terrorism, war, such as the ongoing and rapidly escalating conflict in Ukraine, the conflict between Israel and Hamas and related terrorist organizations in the region, pandemics, such as the COVID-19 pandemic or any other pandemic, epidemic, outbreak of infectious disease or other public health crisis, protests, riots and other geo-political unrest could cause disruptions in our business or the businesses of our customers, partners, or the economy as a whole. While we have not experienced a material impact on our product roadmap due to this disruption, the human cost to our employees as well as the potential for broader, adverse impacts of this war, including heightened operating risks in Ukraine and Europe, additional sanctions or counter-sanctions, heightened inflation, cyber-attacks, higher energy costs and higher supply chain costs, as well as broader impact on global and regional economies, is difficult to measure, and the ultimate impact of such events on our business is difficult to predict. Any disruption in the businesses of our customers or partners could have a significant adverse impact on our results. All of the aforementioned risks may be further increased if our disaster recovery plans or those of our customers or partners prove to be inadequate.</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14</w:t>
      </w:r>
    </w:p>
    <w:p>
      <w:pPr>
        <w:pStyle w:val="HorizontalLine"/>
        <w:bidi w:val="0"/>
        <w:spacing w:before="200" w:after="200"/>
        <w:jc w:val="left"/>
        <w:rPr/>
      </w:pPr>
      <w:r>
        <w:rPr/>
      </w:r>
    </w:p>
    <w:p>
      <w:pPr>
        <w:pStyle w:val="TextBody"/>
        <w:bidi w:val="0"/>
        <w:spacing w:lineRule="auto" w:line="300" w:before="0" w:after="0"/>
        <w:jc w:val="both"/>
        <w:rPr>
          <w:b/>
          <w:i/>
          <w:sz w:val="20"/>
        </w:rPr>
      </w:pPr>
      <w:r>
        <w:rPr>
          <w:b/>
          <w:i/>
          <w:sz w:val="20"/>
        </w:rPr>
        <w:t>We are exposed to fluctuations in currency exchange rates, which could negatively affect our financial condition and results of operations.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functional currency is the U.S. dollar and our revenue and expenses are primarily denominated in U.S. dollars, with the exception of WalkMe K.K our Japanese subsidiary, for which the Japanese Yen is the functional currency. However, a significant portion of our headcount related expenses, consisting principally of salaries and related personnel expenses as well as leases and certain other operating expenses, are denominated in New Israeli Shekels (“NIS”). This foreign currency exposure gives rise to market risk associated with exchange rate movements of the U.S. dollar against the NIS. Furthermore, we anticipate that a material portion of our expenses will continue to be denominated in NIS.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In addition, increased international sales have resulted and, in the future, may result in greater foreign currency denominated sales, increasing our foreign currency risk. Moreover, operating expenses incurred outside the United States and denominated in foreign currencies are increasing and are subject to fluctuations due to changes in foreign currency exchange rates. If we are not able to successfully hedge against the risks associated with currency fluctuations, our financial condition and results of operations could be adversely affected. While we may decide to continue to enter into hedging transactions in the future, the availability and effectiveness of these hedging transactions may be limited and we may not be able to successfully hedge our exposure, which could adversely affect our financial condition and results of operations.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We may need to raise additional funds to finance our future capital needs, which may dilute the value of our outstanding ordinary shares or, if we are unable to raise sufficient additional funds, may prevent us from growing our business.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Historically, we have funded our operations and capital expenditures primarily through our operating cash flows and the net proceeds we have received from sales of equity securities. Although we believe that our existing cash and cash equivalents, short-term bank deposits and marketable securities, together with cash flow from operations, will be sufficient to support our liquidity and capital requirements for at least the next 12 months, we may need to raise additional funds to finance our existing and future capital needs, including developing new services and technologies, and to fund ongoing operating expenses. If we raise additional funds through the sale of equity securities, these transactions may dilute the value of our outstanding ordinary shares. We may also decide to issue securities, including protected securities, that have rights, preferences and privileges senior to our ordinary shares. We may also incur debt. Any debt financing would increase our level of indebtedness and could negatively affect our liquidity and restrict our operations. We also can provide no assurances that the funds we raise will be sufficient to finance any future capital requirements. In addition, the impact of inflation and rising interest rates could significantly impact the cost of capital available to us. As a result, we may be unable to raise additional funds on terms favorable to us or at all. If we are unable to raise additional capital or generate sufficient cash flows, we may be unable to fund our future expenses. This may prevent us from increasing our market share, capitalizing on new business opportunities or remaining competitive in our industry, which could materially and adversely affect our business, prospects, financial condition and results of operations.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We depend on our executive leadership team and other key employees, and the loss of one or more of these employees or an inability to attract and retain highly skilled employees could harm our business.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research and development, sales or customer support, may seriously harm our business, financial condition and results of operations. Although we have entered into employment agreements with our key personnel, some of which include notice periods with which the employee is required to comply prior to terminating their employment with us, their employment is for no specific duration. We are also substantially dependent on the continued service of our existing engineering personnel because of the complexity of our products.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Our future performance also depends on the continued services and continuing contributions of our executive leadership team, including our co-founder and Chief Executive Officer Dan Adika to execute on our business plan and to identify and pursue new opportunities and product innovations. The loss of services of our executive leadership team, particularly Mr. Adika, could significantly delay or prevent the achievement of our development and strategic objectives, which could adversely affect our business, financial condition and results of operations.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The requirements of being a public company may strain our resources, divert the attention of our executive leadership team, and affect our ability to attract and retain qualified board members.</w:t>
      </w:r>
    </w:p>
    <w:p>
      <w:pPr>
        <w:pStyle w:val="TextBody"/>
        <w:bidi w:val="0"/>
        <w:spacing w:lineRule="auto" w:line="300" w:before="0" w:after="0"/>
        <w:jc w:val="both"/>
        <w:rPr/>
      </w:pPr>
      <w:r>
        <w:rPr/>
        <w:t> </w:t>
      </w:r>
    </w:p>
    <w:p>
      <w:pPr>
        <w:pStyle w:val="TextBody"/>
        <w:bidi w:val="0"/>
        <w:spacing w:lineRule="auto" w:line="300" w:before="0" w:after="0"/>
        <w:ind w:left="0" w:right="0" w:firstLine="500"/>
        <w:jc w:val="both"/>
        <w:rPr>
          <w:sz w:val="20"/>
        </w:rPr>
      </w:pPr>
      <w:r>
        <w:rPr>
          <w:sz w:val="20"/>
        </w:rPr>
        <w:t>As a public company listed in the United States, we incur significant additional legal, accounting, and other expenses. In addition, changing laws, regulations, and standards relating to corporate governance and public disclosure, including regulations implemented by the Securities and Exchange Commission (the “SEC”) and the Nasdaq Stock Market LLC (“Nasdaq”), has and may further to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15</w:t>
      </w:r>
    </w:p>
    <w:p>
      <w:pPr>
        <w:pStyle w:val="HorizontalLine"/>
        <w:bidi w:val="0"/>
        <w:spacing w:before="200" w:after="200"/>
        <w:jc w:val="left"/>
        <w:rPr/>
      </w:pPr>
      <w:r>
        <w:rPr/>
      </w:r>
    </w:p>
    <w:p>
      <w:pPr>
        <w:pStyle w:val="TextBody"/>
        <w:bidi w:val="0"/>
        <w:spacing w:lineRule="auto" w:line="300" w:before="0" w:after="0"/>
        <w:ind w:left="0" w:right="0" w:firstLine="500"/>
        <w:jc w:val="both"/>
        <w:rPr>
          <w:sz w:val="20"/>
        </w:rPr>
      </w:pPr>
      <w:r>
        <w:rPr>
          <w:sz w:val="20"/>
        </w:rPr>
        <w:t>Our executive leadership team may not successfully or efficiently manage the Company as a public company subject to significant regulatory oversight and reporting obligations under the U.S. federal securities laws and the continuous scrutiny of securities analysts and investors. We also intend to continue to invest resources to comply with evolving laws, regulations, and standards, and these new obligations and constituents will continue to require significant attention from our executive leadership team and could divert their attention away from the day-to-day management of our business.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Sales to government entities and highly regulated organizations are subject to a number of challenges and risks.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products are affected by public sector budgetary cycles and funding authorizations, with funding reductions or delays adversely affecting public sector demand for our products. Additionally, any actual or perceived privacy, data protection, or data security incident, or even any perceived defect with regard to our practices or measures in these areas, may negatively impact public sector demand for our products.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also often provide technical support services to certain of our government entity customers to resolve any issues relating to our products. If we do not effectively assist our government entity customers in deploying our products, succeed in helping our government entity customers quickly resolve post-deployment issues, or provide effective ongoing support, our ability to sell additional products to new and existing government entity customers would be adversely affected and our reputation could be damaged.</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for convenience or due to a default, and any such termination may adversely affect our future results of operations. Governments routinely investigate and audit government contractors’ administrative processes, and any unfavorable audit could result in the government refusing to continue buying our subscriptions, a reduction of revenue, or fines or civil or criminal liability if the audit uncovers improper or illegal activities, which could adversely affect our results of operations in a material way.</w:t>
      </w:r>
    </w:p>
    <w:p>
      <w:pPr>
        <w:pStyle w:val="TextBody"/>
        <w:bidi w:val="0"/>
        <w:spacing w:lineRule="auto" w:line="300" w:before="0" w:after="0"/>
        <w:jc w:val="both"/>
        <w:rPr/>
      </w:pPr>
      <w:r>
        <w:rPr/>
        <w:t> </w:t>
      </w:r>
    </w:p>
    <w:p>
      <w:pPr>
        <w:pStyle w:val="TextBody"/>
        <w:bidi w:val="0"/>
        <w:spacing w:lineRule="auto" w:line="300" w:before="0" w:after="0"/>
        <w:jc w:val="left"/>
        <w:rPr>
          <w:b/>
          <w:i/>
          <w:sz w:val="20"/>
        </w:rPr>
      </w:pPr>
      <w:r>
        <w:rPr>
          <w:b/>
          <w:i/>
          <w:sz w:val="20"/>
        </w:rPr>
        <w:t>We are exposed to credit risk and fluctuations in the market value of our investment portfolio and our investment portfolio may be adversely affected by market conditions and interest rates. </w:t>
      </w:r>
    </w:p>
    <w:p>
      <w:pPr>
        <w:pStyle w:val="TextBody"/>
        <w:bidi w:val="0"/>
        <w:spacing w:lineRule="auto" w:line="300" w:before="0" w:after="0"/>
        <w:jc w:val="left"/>
        <w:rPr/>
      </w:pPr>
      <w:r>
        <w:rPr/>
      </w:r>
    </w:p>
    <w:p>
      <w:pPr>
        <w:pStyle w:val="TextBody"/>
        <w:bidi w:val="0"/>
        <w:spacing w:lineRule="auto" w:line="300" w:before="0" w:after="0"/>
        <w:ind w:left="0" w:right="0" w:firstLine="540"/>
        <w:jc w:val="both"/>
        <w:rPr>
          <w:sz w:val="20"/>
        </w:rPr>
      </w:pPr>
      <w:r>
        <w:rPr>
          <w:sz w:val="20"/>
        </w:rPr>
        <w:t>We manage our available cash through various bank institutions and invest large portions of our cash reserves in bank deposits and debt securities. A bankruptcy of one of the banks in which or through which we hold or invest our cash reserves, might prevent us from accessing all or a portion of that cash for an uncertain period of time if at all. </w:t>
      </w:r>
    </w:p>
    <w:p>
      <w:pPr>
        <w:pStyle w:val="TextBody"/>
        <w:bidi w:val="0"/>
        <w:spacing w:lineRule="auto" w:line="300" w:before="0" w:after="0"/>
        <w:jc w:val="both"/>
        <w:rPr/>
      </w:pPr>
      <w:r>
        <w:rPr/>
        <w:t> </w:t>
      </w:r>
    </w:p>
    <w:p>
      <w:pPr>
        <w:pStyle w:val="TextBody"/>
        <w:bidi w:val="0"/>
        <w:spacing w:lineRule="auto" w:line="300" w:before="0" w:after="0"/>
        <w:ind w:left="0" w:right="0" w:firstLine="540"/>
        <w:jc w:val="both"/>
        <w:rPr>
          <w:sz w:val="20"/>
        </w:rPr>
      </w:pPr>
      <w:r>
        <w:rPr>
          <w:sz w:val="20"/>
        </w:rPr>
        <w:t>The majority of our cash, cash equivalents and marketable securities is held in a diversified portfolio of bank deposits, U.S. Treasuries and high-grade money market funds.   The performance of the capital markets affects the values of funds that are held in marketable securities. These assets are subject to market fluctuations and various developments, including, without limitation, rating agency downgrades that may impair their value.  Our ability to access deposits at individual banking institutions or the credit ratings and pricings of our investments can also be negatively affected by liquidity, credit deterioration, financial results, economic risk, political risk, sovereign risk, exchange control or other factors such as the conditions that led to the closure of SVB.   If we do not effectively diversify our bank deposits and investment portfolio, the value and liquidity of our investments may fluctuate substantially which could affect our access to capital and results of operations in a material way.</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Our use of artificial intelligence and machine learning tools may subject us to additional risks and may adversely impact our reputation and the performance of our products, services and operations.</w:t>
      </w:r>
    </w:p>
    <w:p>
      <w:pPr>
        <w:pStyle w:val="TextBody"/>
        <w:bidi w:val="0"/>
        <w:spacing w:lineRule="auto" w:line="300" w:before="0" w:after="0"/>
        <w:jc w:val="left"/>
        <w:rPr/>
      </w:pPr>
      <w:r>
        <w:rPr/>
      </w:r>
    </w:p>
    <w:p>
      <w:pPr>
        <w:pStyle w:val="TextBody"/>
        <w:bidi w:val="0"/>
        <w:spacing w:lineRule="auto" w:line="300" w:before="0" w:after="0"/>
        <w:ind w:left="0" w:right="0" w:firstLine="520"/>
        <w:jc w:val="both"/>
        <w:rPr>
          <w:sz w:val="20"/>
        </w:rPr>
      </w:pPr>
      <w:r>
        <w:rPr>
          <w:sz w:val="20"/>
        </w:rPr>
        <w:t>Certain of our products rely on artificial intelligence (“AI”), machine learning, and automated decision-making technologies, including proprietary AI and machine learning algorithms and models (collectively, “AI Technologies”).</w:t>
      </w:r>
    </w:p>
    <w:p>
      <w:pPr>
        <w:pStyle w:val="TextBody"/>
        <w:bidi w:val="0"/>
        <w:spacing w:lineRule="auto" w:line="300" w:before="0" w:after="0"/>
        <w:ind w:left="0" w:right="0" w:firstLine="520"/>
        <w:jc w:val="both"/>
        <w:rPr/>
      </w:pPr>
      <w:r>
        <w:rPr/>
      </w:r>
    </w:p>
    <w:p>
      <w:pPr>
        <w:pStyle w:val="TextBody"/>
        <w:bidi w:val="0"/>
        <w:spacing w:lineRule="auto" w:line="300" w:before="0" w:after="0"/>
        <w:ind w:left="0" w:right="0" w:firstLine="520"/>
        <w:jc w:val="both"/>
        <w:rPr>
          <w:sz w:val="20"/>
        </w:rPr>
      </w:pPr>
      <w:r>
        <w:rPr>
          <w:sz w:val="20"/>
        </w:rPr>
        <w:t>We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w:t>
      </w:r>
    </w:p>
    <w:p>
      <w:pPr>
        <w:pStyle w:val="TextBody"/>
        <w:bidi w:val="0"/>
        <w:spacing w:lineRule="auto" w:line="300" w:before="0" w:after="0"/>
        <w:ind w:left="0" w:right="0" w:firstLine="520"/>
        <w:jc w:val="both"/>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16</w:t>
      </w:r>
    </w:p>
    <w:p>
      <w:pPr>
        <w:pStyle w:val="HorizontalLine"/>
        <w:bidi w:val="0"/>
        <w:spacing w:before="200" w:after="200"/>
        <w:jc w:val="left"/>
        <w:rPr/>
      </w:pPr>
      <w:r>
        <w:rPr/>
      </w:r>
    </w:p>
    <w:p>
      <w:pPr>
        <w:pStyle w:val="TextBody"/>
        <w:bidi w:val="0"/>
        <w:spacing w:lineRule="auto" w:line="300" w:before="0" w:after="0"/>
        <w:ind w:left="0" w:right="0" w:firstLine="520"/>
        <w:jc w:val="both"/>
        <w:rPr>
          <w:sz w:val="20"/>
        </w:rPr>
      </w:pPr>
      <w:r>
        <w:rPr>
          <w:sz w:val="20"/>
        </w:rPr>
        <w:t>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are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could suffer or we could incur liability through the violation of laws or contracts to which we are a party or civil claims.</w:t>
      </w:r>
    </w:p>
    <w:p>
      <w:pPr>
        <w:pStyle w:val="TextBody"/>
        <w:bidi w:val="0"/>
        <w:spacing w:lineRule="auto" w:line="300" w:before="0" w:after="0"/>
        <w:jc w:val="left"/>
        <w:rPr>
          <w:b/>
          <w:i/>
        </w:rPr>
      </w:pPr>
      <w:r>
        <w:rPr>
          <w:b/>
          <w:i/>
        </w:rPr>
      </w:r>
    </w:p>
    <w:p>
      <w:pPr>
        <w:pStyle w:val="TextBody"/>
        <w:bidi w:val="0"/>
        <w:spacing w:lineRule="auto" w:line="300" w:before="0" w:after="0"/>
        <w:jc w:val="left"/>
        <w:rPr>
          <w:b/>
          <w:i/>
          <w:sz w:val="20"/>
        </w:rPr>
      </w:pPr>
      <w:r>
        <w:rPr>
          <w:b/>
          <w:i/>
          <w:sz w:val="20"/>
        </w:rPr>
        <w:t>Our ability to successfully integrate artificial intelligence and machine learning technologies may be dependent on our access to specific third-party software and infrastructure and our business may be adversely impacted if we are unable to access such third-party software and infrastructure.</w:t>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520"/>
        <w:jc w:val="both"/>
        <w:rPr>
          <w:sz w:val="20"/>
        </w:rPr>
      </w:pPr>
      <w:r>
        <w:rPr>
          <w:sz w:val="20"/>
        </w:rPr>
        <w:t>We use AI Technologies licensed from third parties and our ability to continue to use such technologies at the scale we need may be dependent on access to specific third-party software and infrastructure.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become unavailable for use, or the providers of such models unfavorably change the terms on which their AI Technologies are offered or terminate their relationship with us, our solutions may become less appealing to our customers and our business will be harmed. In addition, to the extent any third-party AI Technologies are used as a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pStyle w:val="TextBody"/>
        <w:bidi w:val="0"/>
        <w:spacing w:lineRule="auto" w:line="300" w:before="0" w:after="0"/>
        <w:ind w:left="0" w:right="0" w:firstLine="520"/>
        <w:jc w:val="both"/>
        <w:rPr/>
      </w:pPr>
      <w:r>
        <w:rPr/>
      </w:r>
    </w:p>
    <w:p>
      <w:pPr>
        <w:pStyle w:val="TextBody"/>
        <w:bidi w:val="0"/>
        <w:spacing w:lineRule="auto" w:line="300" w:before="0" w:after="0"/>
        <w:ind w:left="0" w:right="0" w:firstLine="520"/>
        <w:jc w:val="both"/>
        <w:rPr>
          <w:sz w:val="20"/>
        </w:rPr>
      </w:pPr>
      <w:r>
        <w:rPr>
          <w:sz w:val="20"/>
        </w:rPr>
        <w:t>We make our AI Technologies available via license agreements to third parties that can use this technology in their own internal operations, products and services. We may not have insight into, or control over, the practices of third parties who may utilize such AI Technologies. As such, we cannot guarantee that third parties will not use such technologies for improper purposes, including through the dissemination of illegal, inaccurate, defamatory or harmful content, intellectual property infringement or misappropriation, furthering bias or discrimination, cybersecurity attacks, data privacy violations, or to develop competing technologies, or that the measures we implement to prevent such improper use will be effective. Such improper use by any third party could adversely affect our business, financial condition, reputation (and the reputations of our customers), and/or subject us to legal liability.</w:t>
      </w:r>
    </w:p>
    <w:p>
      <w:pPr>
        <w:pStyle w:val="TextBody"/>
        <w:bidi w:val="0"/>
        <w:spacing w:lineRule="auto" w:line="300" w:before="0" w:after="0"/>
        <w:jc w:val="left"/>
        <w:rPr/>
      </w:pPr>
      <w:r>
        <w:rPr/>
      </w:r>
    </w:p>
    <w:p>
      <w:pPr>
        <w:pStyle w:val="TextBody"/>
        <w:bidi w:val="0"/>
        <w:spacing w:lineRule="auto" w:line="300" w:before="0" w:after="0"/>
        <w:jc w:val="both"/>
        <w:rPr>
          <w:b/>
          <w:sz w:val="20"/>
        </w:rPr>
      </w:pPr>
      <w:r>
        <w:rPr>
          <w:b/>
          <w:sz w:val="20"/>
        </w:rPr>
        <w:t>Risks Related to Information Technology, Intellectual Property and Data Security and Privacy</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If we or our third-party service providers experience a security breach or unauthorized parties otherwise obtain access to our customers’ data, our data or our platform, our solution may be perceived as not being secure, our reputation may be harmed, demand for our platform and products may be reduced, and we may incur significant liabilities.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platform and products involve the collection, storage, processing, transmission and other use of data, including certain confidential, sensitive, and personal information. More generally, in the ordinary course of our business, we collect, store, transmit and otherwise process large amounts of sensitive corporate, personal and other information, including intellectual property, proprietary business information, and other confidential information. Any security breach, data loss, or other compromise, including those resulting from a cybersecurity attack, phishing attack, or any unauthorized access, unauthorized usage, virus or similar breach or disruption could result in the loss or destruction of or unauthorized access to, or use, alteration, disclosure, or acquisition of, data, damage to our reputation, loss of intellectual property protection, claims and litigation, fines, regulatory investigations, or other liabilities. We have experienced and expect to continue to experience attempted cyber-attacks of our IT networks, such as through phishing scams and ransomware. Although none of these attempted cyber-attacks has had a material adverse impact on our operations or financial condition, we cannot guarantee that such incidents will not have such an impact in the future. For example, we may become the target of cyber-attacks by third parties seeking unauthorized access to our or our customers’ data or to disrupt our ability to provide our services. These attacks may come from individual hackers, criminal groups, and state-sponsored organizations. Ransomware attacks, including those from organized criminal threat actors, nation-states, and nation-state supported actors, are becoming increasingly prevalent and severe, and can lead to significant interruptions in our operations, loss of data and income, reputational loss, diversion of funds, and may result in fines, litigation and unwanted media attention. Extortion payments may alleviate the negative impact of a ransomware attack, but we may be unwilling or unable to make such payments due to, for example, applicable laws or regulations prohibiting payments. Additionally, companies have, in general, experienced an increase in phishing, social engineering and other attacks from third parties and the increase in remote working further increases these and other security threats.</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17</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There can be no assurance that our cybersecurity risk management program and processes, including our policies, controls or procedures, will be fully implemented, complied with or effective in protecting our systems and information. While we experience cyber-attacks and other security incidents of varying degrees from time to time, none have individually or in the aggregate led to costs or consequences which have materially impacted our operations or business. If our security measures are breached as a result of third-party action, employee error or negligence, a defect or bug in our offerings or those of our third-party service providers, malfeasance or otherwise and, as a result, someone obtains unauthorized access to any data, including our confidential, sensitive, or personal information or the confidential, sensitive, or personal information of our customers, or other persons, or any of these types of information is lost, destroyed, or used, altered, disclosed, or acquired without authorization, or if any of the foregoing is perceived to have occurred, our reputation may be damaged, our business may suffer, and we could incur significant liability, including under applicable data privacy and security laws and regulations. Even the perception of inadequate security may damage our reputation and market position, negatively impacting our ability to win new customers and retain and receive timely payments from existing customers. Further, we could be required to expend significant capital and other resources to protect against and address any data security incident or breach, which may not be covered or fully covered by our insurance and which may involve payments for investigations, forensic analyses, regulatory compliance, breach notification, legal advice, public relations advice, system repair or replacement, or other services. We and our third-party vendors and service providers also may face difficulties or delays in identifying or responding to, and remediating and otherwise responding to, cyberattacks and other security breaches and incidents. We have incurred substantial costs in efforts to protect against and address potential impacts of security breaches and incidents, and anticipate doing so in the future.</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490"/>
        <w:jc w:val="both"/>
        <w:rPr>
          <w:sz w:val="20"/>
        </w:rPr>
      </w:pPr>
      <w:r>
        <w:rPr>
          <w:sz w:val="20"/>
        </w:rPr>
        <w:t>In addition, we do not directly control content that our customers transmit to or with, or store in, our products. If our customers use our products for the transmission or storage of personally identifiable information or other sensitive information and our security measures are or are believed to have been breached as a result of third party action, employee error, malfeasance or otherwise, our reputation could be damaged, our business may suffer, and we could incur significant liability.</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490"/>
        <w:jc w:val="both"/>
        <w:rPr>
          <w:sz w:val="20"/>
        </w:rPr>
      </w:pPr>
      <w:r>
        <w:rPr>
          <w:sz w:val="20"/>
        </w:rPr>
        <w:t>We engage third-party vendors and service providers to store and otherwise process some of our and our customers’ data, including personal, confidential, sensitive, and other information about individuals. Our vendors and service providers may also be the targets of cyberattacks, malicious software, phishing schemes, and fraud. Our ability to monitor our vendors and service providers’ data security is limited, and, in any event, third parties may be able to circumvent those security measures, resulting in the unauthorized access to, misuse, acquisition, disclosure, loss, alteration, or destruction of our and our customers’ data, including confidential, sensitive, and other information about individuals.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Where a security incident involves a breach of security leading to the accidental or unlawful destruction, loss, alternation, unauthorized disclosure of, or access to, personal data, this could result in fines of up to EUR 20 million or 4% of annual global turnover under the General Data Protection Regulation 2016/679 (the “GDPR”) or £17.5 million and 4% of total annual revenue in the case of the UK General Data Protection Regulation and the UK Data Protection Act 2018 (together, the “UK GDPR”). We may also be required to notify such breaches to regulators and/or individuals and operate to mitigate damages, which may result in us incurring additional costs. Techniques used to sabotage or obtain unauthorized access to systems or networks are constantly evolving and, in some instances, are not identified until after they have been launched against a target. We and our service providers may be unable to anticipate these techniques, react in a timely manner, or implement adequate preventative and mitigating measures. If we are unable to efficiently and effectively maintain and upgrade our system safeguards, we may incur unexpected costs and certain of our systems may become more vulnerable to unauthorized access or disruption. Any of the foregoing could have a material adverse effect on our business, financial condition, results of operations, market position, and reputation.</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A real or perceived defect, security vulnerability, error, or performance failure in our products could cause us to lose revenue, damage our reputation, and expose us to liability.</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products are inherently complex and, despite extensive testing and quality control, have in the past and may in the future contain defects or errors, especially when first introduced, or not perform as contemplated. These defects, security vulnerabilities, errors, or performance failures could cause damage to our reputation, loss of customers or revenue, subscription cancellations, service terminations, or lack of market acceptance of our products. As the use of our products among new and existing customers expands, particularly to more sensitive, secure, or mission critical uses, we may be subject to increased scrutiny, potential reputational risk, or potential liability should our products fail to perform as contemplated in such deployments. We have in the past and may in the future need to issue corrective releases of our products to fix these defects, errors or performance failures, which could require us to allocate significant research and development and customer support resources to address these problems. Despite our efforts, such corrections may take longer to develop and release than we or our customers anticipate and expect.</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490"/>
        <w:jc w:val="both"/>
        <w:rPr>
          <w:sz w:val="20"/>
        </w:rPr>
      </w:pPr>
      <w:r>
        <w:rPr>
          <w:sz w:val="20"/>
        </w:rPr>
        <w:t>Any limitation of liability provisions that may be contained in our customer, user, third-party vendor, service provider, partner and other agreements may not be enforceable or adequate or effective as a result of existing or future applicable law or unfavorable judicial decisions, and they may not function to limit our liability arising from regulatory enforcement. In addition, some of our customer, user, third-party vendor, service provider, partner and other agreements are not capped or limited, either generally or, in some cases, with respect to certain liabilities. The sale and support of our products entail the risk of liability claims, which could be substantial in light of the use of our products in enterprise-wide environments. In addition, our insurance against any such liability may not be adequate to cover a potential claim, and may be subject to exclusions, or subject us to the risk that the insurer will deny coverage as to any future claim or exclude from our coverage such claims in policy renewals, increase our fees or deductibles or impose co-insurance requirements. Any such bugs, defects, security vulnerabilities, errors, or other performance failures in our platform or products, including as a result of denial of claims by our insurer or the successful assertion of claims by others against us that exceed available insurance coverage, or the occurrence of changes in our insurance policies, including increases or the imposition of large deductible or co-insurance requirements, could have a material adverse effect on our business, financial condition, results of operations and reputation.</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18</w:t>
      </w:r>
    </w:p>
    <w:p>
      <w:pPr>
        <w:pStyle w:val="HorizontalLine"/>
        <w:bidi w:val="0"/>
        <w:spacing w:before="200" w:after="200"/>
        <w:jc w:val="left"/>
        <w:rPr/>
      </w:pPr>
      <w:r>
        <w:rPr/>
      </w:r>
    </w:p>
    <w:p>
      <w:pPr>
        <w:pStyle w:val="TextBody"/>
        <w:bidi w:val="0"/>
        <w:spacing w:lineRule="auto" w:line="300" w:before="0" w:after="0"/>
        <w:jc w:val="both"/>
        <w:rPr>
          <w:b/>
          <w:i/>
          <w:sz w:val="20"/>
        </w:rPr>
      </w:pPr>
      <w:r>
        <w:rPr>
          <w:b/>
          <w:i/>
          <w:sz w:val="20"/>
        </w:rPr>
        <w:t>Incorrect use of, or our customers’ failure to update, our products could result in customer dissatisfaction and negatively affect our business, operations, financial results, and growth prospects.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products are often operated in large scale, complex IT environments. Our customers require training and experience in the proper use of, and the benefits that can be derived from, our products to maximize their potential. If users of our products do not implement, use, or update them correctly or as intended, then actual or perceived performance inadequacies and/or security vulnerabilities may result. Because our customers rely on our products to manage a wide range of operations, the incorrect implementation or use of, or our customers’ failure to update, our products, or our failure to train customers on how to use our products, may result in customer dissatisfaction and negative publicity, which may adversely affect our reputation and brand. Our customers’ failure to be effectively trained or implement our products could result in lost opportunities for follow-on sales to these customers and decrease subscriptions by new customers, which would adversely affect our business, financial condition, results of operations and growth prospects.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Insufficient investment in, or interruptions or performance problems associated with, our technology and infrastructure, and our reliance on technologies from third parties, including third-party cloud providers, may adversely affect our business, financial condition and results of operations.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success of our business depends in part on the ability of our existing and potential customers to access our platform at any time, within an acceptable timeframe and without interruption or degradation of performance. We have experienced, and may in the future experience, disruptions, outages, and other performance problems, which may be caused by a variety of factors, including infrastructure changes, introductions of new functionality, human or software errors, denial of service attacks, or other security related incidents. If our products and platform capabilities are unavailable or if our customers or other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upgrade our systems as needed and continually develop our technology and network architecture to accommodate actual and anticipated changes in technology, our business, financial condition and results of operations may be adversely affected.</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490"/>
        <w:jc w:val="both"/>
        <w:rPr>
          <w:sz w:val="20"/>
        </w:rPr>
      </w:pPr>
      <w:r>
        <w:rPr>
          <w:sz w:val="20"/>
        </w:rPr>
        <w:t>In addition, the operation of our platform depends on third-party cloud providers, hosting services and other third-party service providers. Our cloud providers run their own platforms that we access, and we are therefore vulnerable to their service interruptions and any changes in their product offerings.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cloud providers’ infrastructure, including cyber-attacks, computer viruses, malware, systems failures or other technical malfunctions, natural disasters, fire, flood, severe storm, earthquake, power loss, telecommunications failures, terrorist or other attacks, protests or riots, and other similar events beyond our control, could negatively affect our offerings. It is also possible that our customers and regulators would seek to hold us accountable for any breach of security affecting a third-party cloud provider’s infrastructure and we may incur significant liability in investigating such an incident and responding to any claims, investigations, or proceedings made or initiated by those customers, regulators, and other third parties. We may not be able to recover a material portion of such liabilities from any of our third-party cloud providers. In addition, it may become increasingly difficult to maintain and improve our performance, especially during peak usage times, as our products becomes more complex and the usage of our products increases. Moreover, our insurance may not be adequate to cover such liability and may be subject to exclusions. Any of the above circumstances or events may adversely affect our business, financial condition and results of operations.</w:t>
      </w:r>
    </w:p>
    <w:p>
      <w:pPr>
        <w:pStyle w:val="TextBody"/>
        <w:bidi w:val="0"/>
        <w:spacing w:lineRule="auto" w:line="300" w:before="0" w:after="0"/>
        <w:ind w:left="0" w:right="0" w:firstLine="490"/>
        <w:jc w:val="both"/>
        <w:rPr/>
      </w:pPr>
      <w:r>
        <w:rPr/>
        <w:t>                     </w:t>
      </w:r>
    </w:p>
    <w:p>
      <w:pPr>
        <w:pStyle w:val="TextBody"/>
        <w:bidi w:val="0"/>
        <w:spacing w:lineRule="auto" w:line="300" w:before="0" w:after="0"/>
        <w:jc w:val="both"/>
        <w:rPr>
          <w:b/>
          <w:i/>
          <w:sz w:val="20"/>
        </w:rPr>
      </w:pPr>
      <w:r>
        <w:rPr>
          <w:b/>
          <w:i/>
          <w:sz w:val="20"/>
        </w:rPr>
        <w:t>Failure to protect or enforce our rights in our proprietary technology, brand and intellectual property could substantially harm our business and results of operations.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success depends to a significant degree on our ability to protect our rights in our proprietary technology, methodologies, know-how, and brand. We rely on a combination of trademark, copyright, patent, trade secret and other intellectual property laws as well as contractual restrictions and confidentiality procedures to establish and protect our proprietary rights. However, we currently make certain components of our products available under open source licenses and release internal software projects under open source licenses, and anticipate doing so in the future in order to, among other things, encourage and develop a marketplace where third parties can create complementary products that will be able to connect to our Digital Adoption Platform. Because the source code of the components that we distribute under open source licenses is publicly available, our ability to monetize and protect our intellectual property rights with respect to such source code may be limited or, in some cases, lost entirely. Our competitors could access such source code and use it to create software and service offerings that compete with ours.</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19</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Further, the steps we take to protect and enforce our intellectual property rights may be inadequate. We may not be able to register our intellectual property rights in all jurisdictions where we conduct or anticipate conducting business, and may experience conflicts with third parties who contest our applications to register our intellectual property. Even if registered or issued, we cannot guarantee that our trademarks, patents, copyrights or other intellectual property or proprietary rights will be of sufficient scope or strength to provide us with any meaningful protection or commercial advantage. Not all of our key intellectual property is eligible for patent protection or can otherwise be registered. We will not be able to protect our intellectual property rights if we are unable to enforce our rights or if we do not detect unauthorized use of our intellectual property rights. Despite our precautions, it may be possible for unauthorized third parties to copy our products and use information that we regard as proprietary to create offerings that compete with ours.  If we fail to defend and protect our intellectual property rights adequately, our competitors and other third parties may gain access to our proprietary technology, information and know-how, reverse-engineer our products, and infringe upon or dilute the value of our brand, and our business may be harmed. In addition, obtaining, maintaining, defending, and enforcing our intellectual property rights might entail significant expense.   Any patents, trademarks, copyrights, or other intellectual property rights that we have or may obtain may be challenged by others or invalidated through administrative process or litigation. Even if we continue to seek patent protection in the future, we may be unable to obtain further patent protection for our technology. In addition, any patents issued in the future may not provide us with competitive advantages, may be designed around by our competitors, or may be successfully challenged by third parties. Furthermore, legal standards relating to the validity, enforceability, and scope of protection of intellectual property rights are uncertain.</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We may be unable to prevent third parties from acquiring domain names or trademarks that are similar to, infringe upon, dilute or diminish the value of our trademarks and other proprietary rights. Additionally, our trademarks may be opposed, otherwise challenged or declared invalid, unenforceable or generic, or determined to be infringing on or dilutive of other marks. We may not be able to protect our rights in these trademarks, which we need in order to build name recognition with customers. If third parties succeed in registering or developing common law rights in such trademarks and we are not successful in challenging such third-party rights, or if our trademark rights are successfully challenged, we may not be able to use our trademarks to commercialize our products in certain relevant jurisdictions.</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490"/>
        <w:jc w:val="both"/>
        <w:rPr>
          <w:sz w:val="20"/>
        </w:rPr>
      </w:pPr>
      <w:r>
        <w:rPr>
          <w:sz w:val="20"/>
        </w:rPr>
        <w:t>Effective patent, trademark, copyright, and trade secret protection may not be available to us in every country in which our products are available. The laws of some countries may not be as protective of intellectual property rights as those in the United States, and mechanisms for enforcement of intellectual property rights may be inadequate. As we continue to expand our international activities, our exposure to unauthorized copying and use of our products and proprietary information will likely increase. Accordingly, despite our efforts, we may be unable to prevent third parties from infringing upon, diluting, misappropriating or otherwise violating our intellectual property rights.</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490"/>
        <w:jc w:val="both"/>
        <w:rPr>
          <w:sz w:val="20"/>
        </w:rPr>
      </w:pPr>
      <w:r>
        <w:rPr>
          <w:sz w:val="20"/>
        </w:rPr>
        <w:t>We enter into confidential, non-compete, proprietary, and inventions assignment agreements with our employees and consultants and enter into confidentiality agreements with other parties. No assurance can be given that these agreements will grant all necessary rights to any inventions that may have been developed by the employees or consultants party thereto or be effective in controlling access to and distribution of our proprietary information, especially in certain states and countries, including Israel, that are less willing to enforce such agreements in certain cases. Further, these agreements may not prevent our competitors from independently developing technologies that are substantially equivalent or superior to our products.</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490"/>
        <w:jc w:val="both"/>
        <w:rPr>
          <w:sz w:val="20"/>
        </w:rPr>
      </w:pPr>
      <w:r>
        <w:rPr>
          <w:sz w:val="20"/>
        </w:rPr>
        <w:t>Policing and defending against unauthorized use of our know-how, technology and intellectual property is difficult, costly, time-consuming and may not be effective. Third parties may knowingly or unknowingly infringe our intellectual property rights. We may be required to spend significant resources to monitor and protect our intellectual property rights. Litigation may be necessary in the future to enforce our intellectual property rights and to protect our trade secrets.  For example, we recently filed a lawsuit against our competitor, WhatFix, Inc. in the U.S. District Court for the District of Delaware, alleging, among other things, that their products infringe certain patents granted to us related to our ActionBot technology and a separate lawsuit against WhatFix, Inc. in the U.S. District Court for the Northern District of California, alleging, among other things, that they improperly accessed our proprietary platform and misappropriated our trade secrets. Litigation brought to protect and enforce our intellectual property rights or litigation asserted against us could be costly, time-consuming, and distracting to our executive leadership team and other employees, could result in substantial royalties, license fees or other damages, or in the impairment or loss of portions of our intellectual property.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the attention and resources of our executive leadership team or other employees, could delay further sales or the implementation of our products, require us to reengineer or impair the functionality of our products, delay introductions of new products, result in our substituting inferior or more costly technologies into our products, or injure our reputation. Any of the foregoing could materially and adversely affect our business, financial condition, results of operations and growth prospects.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The law is also uncertain across jurisdictions regarding the copyright ownership of content, and the patent ownership of inventions that are produced in whole or in part by generative AI tools.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which could adversely affect our business, reputation and financial condition.</w:t>
      </w:r>
    </w:p>
    <w:p>
      <w:pPr>
        <w:pStyle w:val="TextBody"/>
        <w:bidi w:val="0"/>
        <w:spacing w:lineRule="auto" w:line="300" w:before="0" w:after="0"/>
        <w:ind w:left="0" w:right="0" w:firstLine="490"/>
        <w:jc w:val="both"/>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20</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Our generative AI Technologies could generate output that is infringing, and we could be subject to claims or lawsuits, including for infringement of third-party intellectual property rights as a result of the output of such generative AI Technologies. While some providers of AI Technologies offer to indemnify their end users for any copyright or other intellectual property infringement claims arising from the output of their AI Technologies, we may be not be successful in adequately recovering our losses in connection with such claims.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We could incur substantial costs and other harm to our business and results of operations as a result of any claim of infringement, misappropriation or other violation of another party’s intellectual property rights.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In recent years, there has been significant litigation involving patents and other intellectual property rights in our industry. Compared to many larger, more established companies in our industry, we do not currently have a broad patent portfolio, which could prevent us from deterring patent infringement claims through our own patent portfolio, and our competitors and others may now and in the future have significantly broader and more mature patent portfolios than we have. There is a risk that our operations, platform or individual solutions may infringe or otherwise violate, or be alleged to infringe or otherwise violate, the intellectual property rights of third parties. We could incur substantial costs in defending any intellectual property litigation. If we are sued by a third party that claims that our products infringe, misappropriate or otherwise violate their intellectual property rights, the litigation could be expensive and could divert our attention and resources of our executive leadership team or other employees. In addition, there could be public announcements of the results of hearings, motions or other interim proceedings or developments, and if securities analysts or investors perceive these results to be negative, it could have a material adverse effect on the price of our ordinary shares.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Any intellectual property litigation to which we might become a party, or for which we are required to provide indemnification, regardless of the merit of the claim or our defense, may require us to do one or more of the following:</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47" w:name="zabbab1bdb4a24e3d88a839af0fb75edb"/>
      <w:bookmarkStart w:id="48" w:name="zabbab1bdb4a24e3d88a839af0fb75edb"/>
      <w:bookmarkEnd w:id="48"/>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pPr>
            <w:r>
              <w:rPr/>
              <w:t>cease selling or using products or technology that incorporate or cover the intellectual property rights that we allegedly infringe, misappropriate or otherwise violate;</w:t>
            </w:r>
          </w:p>
          <w:p>
            <w:pPr>
              <w:pStyle w:val="TableContents"/>
              <w:bidi w:val="0"/>
              <w:spacing w:lineRule="auto" w:line="300" w:before="0" w:after="0"/>
              <w:jc w:val="left"/>
              <w:rPr/>
            </w:pPr>
            <w:r>
              <w:rPr/>
              <w:t> </w:t>
            </w:r>
          </w:p>
        </w:tc>
      </w:tr>
      <w:tr>
        <w:trPr/>
        <w:tc>
          <w:tcPr>
            <w:tcW w:w="185"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pPr>
            <w:r>
              <w:rPr/>
              <w:t>make substantial payments for royalty or license fees, legal fees, settlement payments or other costs or damages;</w:t>
            </w:r>
          </w:p>
          <w:p>
            <w:pPr>
              <w:pStyle w:val="TableContents"/>
              <w:bidi w:val="0"/>
              <w:spacing w:lineRule="auto" w:line="300" w:before="0" w:after="0"/>
              <w:jc w:val="left"/>
              <w:rPr/>
            </w:pPr>
            <w:r>
              <w:rPr/>
              <w:t> </w:t>
            </w:r>
          </w:p>
        </w:tc>
      </w:tr>
      <w:tr>
        <w:trPr/>
        <w:tc>
          <w:tcPr>
            <w:tcW w:w="185" w:type="dxa"/>
            <w:tcBorders/>
            <w:vAlign w:val="center"/>
          </w:tcPr>
          <w:p>
            <w:pPr>
              <w:pStyle w:val="TableContents"/>
              <w:bidi w:val="0"/>
              <w:spacing w:lineRule="auto" w:line="300" w:before="0" w:after="0"/>
              <w:jc w:val="left"/>
              <w:rPr/>
            </w:pPr>
            <w:r>
              <w:rPr/>
              <w:t> •</w:t>
            </w:r>
          </w:p>
        </w:tc>
        <w:tc>
          <w:tcPr>
            <w:tcW w:w="10020" w:type="dxa"/>
            <w:tcBorders/>
            <w:vAlign w:val="center"/>
          </w:tcPr>
          <w:p>
            <w:pPr>
              <w:pStyle w:val="TableContents"/>
              <w:bidi w:val="0"/>
              <w:spacing w:lineRule="auto" w:line="300" w:before="0" w:after="0"/>
              <w:jc w:val="both"/>
              <w:rPr/>
            </w:pPr>
            <w:r>
              <w:rPr/>
              <w:t>obtain a license, which may not be available on reasonable terms or at all, to sell or use the relevant technology or intellectual property; or</w:t>
            </w:r>
          </w:p>
          <w:p>
            <w:pPr>
              <w:pStyle w:val="TableContents"/>
              <w:bidi w:val="0"/>
              <w:spacing w:lineRule="auto" w:line="300" w:before="0" w:after="0"/>
              <w:jc w:val="both"/>
              <w:rPr/>
            </w:pPr>
            <w:r>
              <w:rPr/>
              <w:t> </w:t>
            </w:r>
          </w:p>
        </w:tc>
      </w:tr>
      <w:tr>
        <w:trPr/>
        <w:tc>
          <w:tcPr>
            <w:tcW w:w="185" w:type="dxa"/>
            <w:tcBorders/>
            <w:vAlign w:val="center"/>
          </w:tcPr>
          <w:p>
            <w:pPr>
              <w:pStyle w:val="TableContents"/>
              <w:bidi w:val="0"/>
              <w:spacing w:lineRule="auto" w:line="300" w:before="0" w:after="0"/>
              <w:jc w:val="left"/>
              <w:rPr/>
            </w:pPr>
            <w:r>
              <w:rPr/>
              <w:t> •</w:t>
            </w:r>
          </w:p>
        </w:tc>
        <w:tc>
          <w:tcPr>
            <w:tcW w:w="10020" w:type="dxa"/>
            <w:tcBorders/>
            <w:vAlign w:val="center"/>
          </w:tcPr>
          <w:p>
            <w:pPr>
              <w:pStyle w:val="TableContents"/>
              <w:bidi w:val="0"/>
              <w:spacing w:lineRule="auto" w:line="300" w:before="0" w:after="0"/>
              <w:jc w:val="both"/>
              <w:rPr/>
            </w:pPr>
            <w:r>
              <w:rPr/>
              <w:t>redesign the allegedly infringing products or technology to avoid infringement, misappropriation or other violation, which could be costly, time-consuming or impossible.</w:t>
            </w:r>
          </w:p>
        </w:tc>
      </w:tr>
    </w:tbl>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Moreover, any such litigation could also affect the use of our platform by our customers, partners, affiliates and other third parties, which may result and substantial damages to them and to us (including indemnification obligations). If we are required to make substantial payments or undertake or suffer any of the other actions and consequences noted above as a result of any intellectual property infringement, misappropriation or violation claims against us or any obligation to indemnify our customers for such claims, such payments, actions and consequences could materially and adversely affect our business, financial condition, results of operations and growth prospects.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Indemnity provisions in various agreements potentially expose us to substantial liability for intellectual property infringement, misappropriation, violation, and other losses.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agreements with customers and other third parties may include indemnification provisions under which we agree to indemnify them for losses suffered or incurred as a result of claims of intellectual property infringement, misappropriation or other violation, damages caused by us to property or persons, or other liabilities relating to or arising from our products, services or other contractual obligations. Large indemnity payments could harm our business, financial condition and results of operations. Although we normally seek to contractually limit our liability with respect to such indemnity obligations, we do not and may not in the future have a cap on our liability in certain agreements, which could result in substantial liability, and we may still incur significant liability under agreements that do have such a cap. Moreover, even if contractually capped or limited, such limitations and caps may not always be enforceable. Any dispute with a customer or other third party with respect to such obligations could have adverse effects on our relationship with that customer, other existing customers and new customers, and other parties, and could harm our reputation, business, financial condition and results of operations.</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21</w:t>
      </w:r>
    </w:p>
    <w:p>
      <w:pPr>
        <w:pStyle w:val="HorizontalLine"/>
        <w:bidi w:val="0"/>
        <w:spacing w:before="200" w:after="200"/>
        <w:jc w:val="left"/>
        <w:rPr/>
      </w:pPr>
      <w:r>
        <w:rPr/>
      </w:r>
    </w:p>
    <w:p>
      <w:pPr>
        <w:pStyle w:val="TextBody"/>
        <w:bidi w:val="0"/>
        <w:spacing w:lineRule="auto" w:line="300" w:before="0" w:after="0"/>
        <w:jc w:val="both"/>
        <w:rPr>
          <w:b/>
          <w:i/>
          <w:sz w:val="20"/>
        </w:rPr>
      </w:pPr>
      <w:r>
        <w:rPr>
          <w:b/>
          <w:i/>
          <w:sz w:val="20"/>
        </w:rPr>
        <w:t>We are subject to stringent and changing laws, regulations, standards, and contractual obligations related to data privacy, data protection, and data security. Our actual or perceived failure to comply with such obligations could result in significant liability or reputational harm to our business.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are subject to numerous laws, directives and regulations, in multiple jurisdictions and territories, regarding data privacy, data protection, and data security and the collection, storing, sharing, use, processing, transfer, disclosure, and protection of personal information and other data, the scope and extent of which are complex, changing, subject to differing interpretations, and may be inconsistent among jurisdictions or conflict with other legal and regulatory requirements. For example, the Israeli Privacy Protection Law 5741-1981 and its regulations, or the PPL, the EU’s General Data Protection Regulation, or the GDPR, the California Consumer Privacy Act (the “CCPA”), as amended by the California Privacy Rights Act, and the data protection and security laws of other states and countries impose additional requirements with respect to disclosure and deletion of personal information of their residents, imposing penalties for violations and, in some cases, private right of action for data breaches. These laws, and similar legislation in other states and countries that are developing or have been recently enacted, impose transparency and other obligations with respect to personal data of their respective residents and provide residents with similar rights for certain types of data breaches.</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490"/>
        <w:jc w:val="both"/>
        <w:rPr>
          <w:sz w:val="20"/>
        </w:rPr>
      </w:pPr>
      <w:r>
        <w:rPr>
          <w:sz w:val="20"/>
        </w:rPr>
        <w:t>If we were found in violation of any applicable laws or regulations relating to data privacy, data protection, or security, or faced claims or accusations of such violations, our business may be materially and adversely affected and we would likely have to change our business practices and potentially the services and features available through our platform. In addition, these laws and regulations could impose significant costs on us and could constrain our ability to use and process data in manners that may be commercially desirable. In addition, if a breach of data security or security incident were to occur or to be alleged to have occurred, if any violation of laws and regulations relating to data privacy, data protection or data security were to be alleged, or if we had any actual or alleged defect in our safeguards or practices relating to data privacy, data protection, or data security, our solutions may be perceived as less desirable and our business, financial condition, market position, reputation, results of operations and growth prospects could be materially and adversely affected.</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490"/>
        <w:jc w:val="both"/>
        <w:rPr>
          <w:sz w:val="20"/>
        </w:rPr>
      </w:pPr>
      <w:r>
        <w:rPr>
          <w:sz w:val="20"/>
        </w:rPr>
        <w:t>We are also subject to data privacy and security laws in jurisdictions outside of the United States. We are subject to, among other laws and regulations, the GDPR, and the UK GDPR, which each impose a strict data protection compliance regime in relation to our collection, control, processing, sharing, disclosure and other use of data relating to an identifiable living individual (personal data). The GDPR and UK GDPR also regulate cross-border transfers of personal data out of the European Economic Area (“EEA”) and the UK, respectively and we expect the existing legal complexity and uncertainty regarding international personal data transfers to continue.</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As the enforcement landscape further develops, and supervisory authorities issue further guidance on international data transfers, we could: suffer additional costs, complaints and/or regulatory investigations or fines; we may have to stop using certain tools and vendors and make other operational changes; we may have to implement alternative data transfer mechanisms for existing intragroup, customer and vendor arrangements; and/or it could otherwise affect the manner in which we provide our services and could adversely affect our business, operations and financial condition.</w:t>
      </w:r>
    </w:p>
    <w:p>
      <w:pPr>
        <w:pStyle w:val="TextBody"/>
        <w:bidi w:val="0"/>
        <w:spacing w:lineRule="auto" w:line="300" w:before="0" w:after="0"/>
        <w:jc w:val="left"/>
        <w:rPr/>
      </w:pPr>
      <w:r>
        <w:rPr/>
      </w:r>
    </w:p>
    <w:p>
      <w:pPr>
        <w:pStyle w:val="TextBody"/>
        <w:bidi w:val="0"/>
        <w:spacing w:lineRule="auto" w:line="300" w:before="0" w:after="0"/>
        <w:ind w:left="0" w:right="0" w:firstLine="500"/>
        <w:jc w:val="both"/>
        <w:rPr>
          <w:rFonts w:ascii="Times New Roman;Times;serif" w:hAnsi="Times New Roman;Times;serif"/>
          <w:sz w:val="20"/>
        </w:rPr>
      </w:pPr>
      <w:r>
        <w:rPr>
          <w:rFonts w:ascii="Times New Roman;Times;serif" w:hAnsi="Times New Roman;Times;serif"/>
          <w:sz w:val="20"/>
        </w:rPr>
        <w:t>Failure to comply with the GDPR and/or the UK GDPR could result in penalties for noncompliance (including possible fines), regulatory investigations, reputational damage, orders to cease/change our processing of our data, enforcement notices and/or assessment notices (for a compulsory audit), and/or civil claims (including class actions) for compensation or damages.</w:t>
      </w:r>
    </w:p>
    <w:p>
      <w:pPr>
        <w:pStyle w:val="TextBody"/>
        <w:bidi w:val="0"/>
        <w:spacing w:lineRule="auto" w:line="300" w:before="0" w:after="0"/>
        <w:jc w:val="left"/>
        <w:rPr/>
      </w:pPr>
      <w:r>
        <w:rPr/>
      </w:r>
    </w:p>
    <w:p>
      <w:pPr>
        <w:pStyle w:val="TextBody"/>
        <w:bidi w:val="0"/>
        <w:spacing w:lineRule="auto" w:line="300" w:before="0" w:after="0"/>
        <w:ind w:left="0" w:right="0" w:firstLine="500"/>
        <w:jc w:val="both"/>
        <w:rPr>
          <w:sz w:val="20"/>
        </w:rPr>
      </w:pPr>
      <w:r>
        <w:rPr>
          <w:sz w:val="20"/>
        </w:rPr>
        <w:t>We are also subject to evolving EU and UK data privacy laws on cookies, tracking technologies and e-marketing. Recent European court and regulatory decisions are driving increased attention to cookies and tracking technologies. If the trend of increasing enforcement by regulators of the strict approach to opt-in consent for all but essential use cases in recent guidance and decisions continues, this could lead to substantial costs, require significant systems changes, limit the effectiveness of our marketing activities, divert the attention of our technology personnel, adversely affect our margins, increase costs and subject us to additional liabilities. In light of the complex and evolving nature of EEA, EEA Member State and UK data privacy laws on cookies and tracking technologies, there can be no assurances that we will be successful in our efforts to comply with such laws; violations of such laws could result in regulatory investigations, fines, orders to cease/change our use of such technologies, as well as civil claims including class action type litigation, and reputational damage.</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In addition, we are subject to the Israeli Privacy Protection Law 5741-1981 (the “PPL”), and its regulations, including the Israeli Privacy Protection Regulations (Data Security) 2017 (“Data Security Regulations”), which impose obligations with respect to the manner personal data is processed, maintained, transferred, disclosed, accessed and secured, as well as the guidelines of the Israeli Privacy Protection Authority and Amendment No. 40 to the Communications Law (Telecommunications and Broadcasting), 5742-1982. The Data Security Regulations may require us to adjust our data protection and data security practices, information security measures, certain organizational procedures, applicable positions (such as an information security manager) and other technical and organizational security measures. Failure to comply with the PPL, its regulations and guidelines issued by the Israeli Privacy Protection Authority may expose us to administrative fines, civil claims (including class actions) and in certain cases criminal liability. Current pending legislation may result in a change of the current enforcement measures and sanctions. The Israeli Privacy Protection Authority may initiate administrative inspection proceedings, from time to time, without any suspicion of any particular breach of the PPL, as it has done in the past with respect to dozens of Israeli companies in various business sectors. In addition, to the extent that any administrative supervision procedure is initiated by the Israeli Privacy Protection Authority and reveals certain irregularities with respect to our compliance with the PPL, in addition to our exposure to administrative fines, civil claims (including class actions) and in certain cases criminal liability, we may also need to take certain remedial actions to rectify such irregularities, which may increase our costs.</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22</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Any failure or perceived failure by us to comply with our posted privacy policies, our privacy-related obligations to users or other third parties, or any other legal obligations or regulatory requirements relating to privacy, data protection, or data security, may result in governmental investigations or enforcement actions, litigation, claims, or public statements against us by consumer advocacy groups or others and could result in significant liability, cause our users to lose trust in us, and otherwise materially and adversely affect our reputation and business. Furthermore, the costs of compliance with, and other burdens imposed by, the laws, regulations, other obligations, and policies that are applicable to the businesses of our customers and other users may limit the adoption and use of, and reduce the overall demand for, our platform. Additionally, if third parties we work with violate applicable laws, regulations or contractual obligations,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 Any of the foregoing could materially and adversely affect our business, financial condition and results of operations.</w:t>
      </w:r>
    </w:p>
    <w:p>
      <w:pPr>
        <w:pStyle w:val="TextBody"/>
        <w:bidi w:val="0"/>
        <w:spacing w:lineRule="auto" w:line="300" w:before="0" w:after="0"/>
        <w:ind w:left="0" w:right="0" w:firstLine="490"/>
        <w:jc w:val="both"/>
        <w:rPr/>
      </w:pPr>
      <w:r>
        <w:rPr/>
        <w:t> </w:t>
      </w:r>
    </w:p>
    <w:p>
      <w:pPr>
        <w:pStyle w:val="TextBody"/>
        <w:bidi w:val="0"/>
        <w:spacing w:lineRule="auto" w:line="300" w:before="0" w:after="0"/>
        <w:jc w:val="both"/>
        <w:rPr>
          <w:b/>
          <w:i/>
          <w:sz w:val="20"/>
        </w:rPr>
      </w:pPr>
      <w:r>
        <w:rPr>
          <w:b/>
          <w:i/>
          <w:sz w:val="20"/>
        </w:rPr>
        <w:t>Our use of open source software could negatively affect our ability to sell our products and subject us to possible litigation.</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use “open source” software in connection with the development and deployment of our products, including in our products, and we expect to continue to use open source software in the future. Few of the licenses applicable to certain open source software that we use have been interpreted by courts, and there is a risk that these licenses could be construed in a manner that could impose unanticipated conditions or restrictions on our ability to commercialize our products. For example, some open source licenses may subject us to requirements that we make available, in certain cases and if the component subject of the open source license is used in a particular manner, the source code for modifications or derivative works we create based upon, incorporating, linking to or using the open source software (which could include valuable proprietary code),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 the open source software and required to comply with onerous conditions or restrictions on these products, which could disrupt the distribution and sale of these products. In addition, there have been claims challenging the ownership rights in open source software against companies that incorporate open source software into their products, and the licensors of such open source software provide no warranties or indemnities with respect to such claims. In any of these events, we and our customers could be required to seek licenses from third parties in order to continue offering our products, and to re-engineer our products or discontinue the sale of our products in the event re-engineering cannot be accomplished on a timely basis or at all. We and our customers may also be subject to suits by parties claiming infringement, misappropriation or other violation of third-party intellectual property rights due to the reliance by our solutions on certain open source software, and such litigation could be costly for us to defend and subject us to an injunction, payments for damages and other liabilities and obligations.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Further, in addition to risks related to license requirements, use of certain open source software carries greater technical and legal risks than does the use of third-party commercial software. For example, open source software is generally provided without any support or warranties or other contractual protections regarding infringement or the quality of the code, including the existence of security vulnerabilities. Some open source projects provided on an “as is” basis have known or unknown vulnerabilities and architectural instabilities which, if not properly addressed, could negatively affect the performance of any product incorporating the relevant software. To the extent that our platform depends upon the successful operation of open source software, any undetected errors or defects in open source software that we use could prevent the deployment or impair the functionality of our systems and injure our reputation. In addition, the public availability of such software may make it easier for others to compromise our platform. Any of the foregoing could result in lost revenue, require us to devote additional research and development resources to re-engineer our solutions, cause us to incur additional costs and expenses, and result in customer dissatisfaction, any of which could adversely affect our business, financial condition and results of operations.</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23</w:t>
      </w:r>
    </w:p>
    <w:p>
      <w:pPr>
        <w:pStyle w:val="HorizontalLine"/>
        <w:bidi w:val="0"/>
        <w:spacing w:before="200" w:after="200"/>
        <w:jc w:val="left"/>
        <w:rPr/>
      </w:pPr>
      <w:r>
        <w:rPr/>
      </w:r>
    </w:p>
    <w:p>
      <w:pPr>
        <w:pStyle w:val="TextBody"/>
        <w:bidi w:val="0"/>
        <w:spacing w:lineRule="auto" w:line="300" w:before="0" w:after="0"/>
        <w:jc w:val="both"/>
        <w:rPr>
          <w:b/>
          <w:i/>
          <w:sz w:val="20"/>
        </w:rPr>
      </w:pPr>
      <w:r>
        <w:rPr>
          <w:b/>
          <w:i/>
          <w:sz w:val="20"/>
        </w:rPr>
        <w:t>We rely on software and services licensed from other parties. The loss of software or services from third parties could increase our costs and limit the features available in our platform and products.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Components of our offerings include various types of software and services licensed from unaffiliated parties. If any of the software or services we license from others or functional equivalents thereof were either no longer available to us or no longer offered on commercially reasonable terms, we would be required to either redesign the offerings that include such software or services to function with software or services available from other parties or develop these components ourselves, which we may not be able to do without incurring increased costs, experiencing delays in our product launches and the release of new offerings. Furthermore, we might be forced to temporarily limit the features available in our current or future products. If we fail to maintain or renegotiate any of these software or service licenses, we could face delays and diversion of resources in attempting to license and integrate functional equivalents.</w:t>
      </w:r>
    </w:p>
    <w:p>
      <w:pPr>
        <w:pStyle w:val="TextBody"/>
        <w:bidi w:val="0"/>
        <w:spacing w:lineRule="auto" w:line="300" w:before="0" w:after="0"/>
        <w:jc w:val="left"/>
        <w:rPr/>
      </w:pPr>
      <w:r>
        <w:rPr/>
      </w:r>
    </w:p>
    <w:p>
      <w:pPr>
        <w:pStyle w:val="TextBody"/>
        <w:bidi w:val="0"/>
        <w:spacing w:lineRule="auto" w:line="300" w:before="0" w:after="0"/>
        <w:jc w:val="both"/>
        <w:rPr>
          <w:b/>
          <w:sz w:val="20"/>
        </w:rPr>
      </w:pPr>
      <w:r>
        <w:rPr>
          <w:b/>
          <w:sz w:val="20"/>
        </w:rPr>
        <w:t>Risks Related to Other Legal, Regulatory and Tax Matters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Our business is subject to a variety of laws and regulations, both in the United States and internationally, many of which are evolving.</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are subject to a wide variety of laws and regulations. Laws, regulations and standards governing issues such as worker classification, employment, payments, worker confidentiality obligations, intellectual property, consumer protection, taxation, data privacy, data protection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and mobile and related technologies and, as a result, do not contemplate or address the unique issues of the internet and related technologies. Other laws and regulations may be adopted in response to internet, mobile and related technologies. New and existing laws and regulations (or changes in interpretation of existing laws and regulations) may also be adopted, implemented, or interpreted to apply to us and other technology companies. As the geographic scope of our business expands, regulatory agencies or courts may claim that we, or our customers or users, are subject to additional requirements, or that we are prohibited from conducting our business in or with certain jurisdictions.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In addition, recent financial, political and other events may increase the level of regulatory scrutiny on technology companies generally. Regulatory agencies may enact new laws or promulgate new regulations that are adverse to our business, or they may view matters or interpret laws and regulations differently than they have in the past or in a manner adverse to our business. Such regulatory scrutiny or action may create or further exacerbate different or conflicting obligations on us from one jurisdiction to another.</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In particular,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As a result of the foregoing, we may incur increased costs, be exposed to increased risk of liability and face additional challenges expanding our business operations, any of which would adversely affect our business, financial condition, results of operations and growth prospects.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We are subject to various governmental export control, trade sanctions, and import laws and regulations that could impair our ability to compete in international markets or subject us to liability if we violate these controls.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In some cases, our products are subject to export control laws and regulations, including the Export Administration Regulations administered by the U.S. Department of Commerce, and the Israeli Control of Products and Services Decree (Engagement in Encryption), 5735-1974, and our activities may be subject to trade and economic sanctions, including those administered or governed by OFAC, the Israeli Trade with the Enemy Ordinance, 1939 and sanction laws of the European Union and other applicable jurisdictions (collectively, “Trade Controls”). As such, a license may be required to export or re-export our products, or provide related services, to certain countries, customers and other users, as well as for certain end uses. Further, our products that incorporate encryption functionality may be subject to special controls applying to encryption items and/or certain reporting requirements.</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24</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Despite the policies and processes that we have in place, we cannot guarantee that we have not made accessible, or will not make accessible, inadvertently our services to persons in violation of Trade Controls, or that our customers have not permitted or will not in the future permit our services to be used by parties in countries or territories subject to Trade Controls. For example, we implemented geo-location blocking in 2021 through a third party to prevent content created by our customers using our tools from being accessed by users of our customers from IP addresses potentially linked to countries subject to Trade Controls, but we cannot be certain that this technique will work in all circumstances. Further, the war in Ukraine has prompted the U.S. and other governments to impose new Trade Controls on Russia, among other countries, and related parties. Additional Trade Controls by the U.S. and other governments enacted due to geopolitics or otherwise, and any counter-sanctions enacted in response, could restrict our ability to operate, generate or collect revenue in certain other countries, which could adversely affect our business. The failure to comply with Trade Controls could subject us to both civil and criminal penalties, including substantial fines, possible incarceration of responsible individuals for willful violations, possible loss of our export or import privileges, and reputational harm. Further, the process for obtaining necessary licenses may be time-consuming or unsuccessful, potentially causing delays in sales or losses of sales opportunities. Trade Controls are complex and dynamic regimes, and monitoring and ensuring compliance can be challenging, particularly given that our products are widely distributed throughout the world and are available for download without registration. Any failure by us or our partners to comply with applicable laws and regulations would have negative consequences for us, including reputational harm, government investigations, and penalties.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In addition, various countries regulate the import of certain encryption technology, including through import permit and license requirements, and have enacted laws that could limit our ability to distribute our offerings or the ability of our customers or their employees or end customers to implement our offerings in those countries. Changes in our offerings or changes in export and import regulations in such countries may create delays in the introduction of our offerings into international markets, prevent our end-customers with international operations from deploying our offerings globally or, in some cases, prevent or delay the export or import of our offerings to certain countries, governments, or persons altogether. Any change in export or import laws or regulations, economic sanctions or related legislation, shift in the enforcement or scope of existing export, import or sanctions laws or regulations, or change in the countries, governments, persons, or technologies targeted by such export, import or sanctions laws or regulations, could result in decreased use of our offerings by, or in our decreased ability to export or sell our offerings to, existing or potential customers with international operations. Any decreased use of our offerings or limitation on our ability to export to or sell our offerings in international markets could adversely affect our business, financial condition and results of operations, and our ability to execute our growth strategy.</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Changes in laws and regulations related to the internet, changes in the internet infrastructure itself, or increases in the cost of internet connectivity and network access may diminish the demand for our offerings and could harm our business.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future success of our business depends upon the continued use of the internet as a primary medium for commerce, communication, and business applications. Federal, state, or foreign governmental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our offerings, increase our cost of doing business, and adversely affect our results of operations. Changes in these laws or regulations could require us to modify our offerings, or certain aspects of our offerings,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Further, our platform depends on the quality of our customers’ and other users’ access to the internet.</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As the internet continues to experience growth in the number of users, frequency of use, and amount of data transmitted, the internet infrastructure that we and our customers and other users rely on may be unable to support the demands placed upon it. The failure of the internet infrastructure that we or our customers and other users rely on, even for a short period of time, could adversely affect our business, financial condition and results of operations. In addition,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offerings could decline.</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25</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Internet access is frequently provided by companies that have significant market power and the ability to take actions that degrade, disrupt, or increase the cost of customers’ access to our offerings. As demand for online media increases, there can be no assurance that internet and network service providers will continue to price their network access services on reasonable terms. We could incur greater operating expenses and our customer acquisition and retention could be negatively impacted if network operators: </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49" w:name="za0092f08932d4e98bd0289ae904823e9"/>
      <w:bookmarkStart w:id="50" w:name="za0092f08932d4e98bd0289ae904823e9"/>
      <w:bookmarkEnd w:id="50"/>
    </w:p>
    <w:tbl>
      <w:tblPr>
        <w:tblW w:w="5890" w:type="dxa"/>
        <w:jc w:val="left"/>
        <w:tblInd w:w="0" w:type="dxa"/>
        <w:tblLayout w:type="fixed"/>
        <w:tblCellMar>
          <w:top w:w="0" w:type="dxa"/>
          <w:left w:w="0" w:type="dxa"/>
          <w:bottom w:w="0" w:type="dxa"/>
          <w:right w:w="0" w:type="dxa"/>
        </w:tblCellMar>
      </w:tblPr>
      <w:tblGrid>
        <w:gridCol w:w="125"/>
        <w:gridCol w:w="5765"/>
      </w:tblGrid>
      <w:tr>
        <w:trPr/>
        <w:tc>
          <w:tcPr>
            <w:tcW w:w="125" w:type="dxa"/>
            <w:tcBorders/>
            <w:vAlign w:val="center"/>
          </w:tcPr>
          <w:p>
            <w:pPr>
              <w:pStyle w:val="TableContents"/>
              <w:bidi w:val="0"/>
              <w:spacing w:lineRule="auto" w:line="300" w:before="0" w:after="0"/>
              <w:jc w:val="left"/>
              <w:rPr/>
            </w:pPr>
            <w:r>
              <w:rPr/>
              <w:t>•</w:t>
            </w:r>
          </w:p>
        </w:tc>
        <w:tc>
          <w:tcPr>
            <w:tcW w:w="5765" w:type="dxa"/>
            <w:tcBorders/>
            <w:vAlign w:val="center"/>
          </w:tcPr>
          <w:p>
            <w:pPr>
              <w:pStyle w:val="TableContents"/>
              <w:bidi w:val="0"/>
              <w:spacing w:lineRule="auto" w:line="300" w:before="0" w:after="0"/>
              <w:jc w:val="both"/>
              <w:rPr/>
            </w:pPr>
            <w:r>
              <w:rPr/>
              <w:t>implement usage-based pricing;</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5765" w:type="dxa"/>
            <w:tcBorders/>
            <w:vAlign w:val="center"/>
          </w:tcPr>
          <w:p>
            <w:pPr>
              <w:pStyle w:val="TableContents"/>
              <w:bidi w:val="0"/>
              <w:spacing w:lineRule="auto" w:line="300" w:before="0" w:after="0"/>
              <w:jc w:val="both"/>
              <w:rPr/>
            </w:pPr>
            <w:r>
              <w:rPr/>
              <w:t>discount pricing for competitive products;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5765" w:type="dxa"/>
            <w:tcBorders/>
            <w:vAlign w:val="center"/>
          </w:tcPr>
          <w:p>
            <w:pPr>
              <w:pStyle w:val="TableContents"/>
              <w:bidi w:val="0"/>
              <w:spacing w:lineRule="auto" w:line="300" w:before="0" w:after="0"/>
              <w:jc w:val="both"/>
              <w:rPr/>
            </w:pPr>
            <w:r>
              <w:rPr/>
              <w:t>otherwise materially change their pricing rates or schemes;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5765" w:type="dxa"/>
            <w:tcBorders/>
            <w:vAlign w:val="center"/>
          </w:tcPr>
          <w:p>
            <w:pPr>
              <w:pStyle w:val="TableContents"/>
              <w:bidi w:val="0"/>
              <w:spacing w:lineRule="auto" w:line="300" w:before="0" w:after="0"/>
              <w:jc w:val="both"/>
              <w:rPr/>
            </w:pPr>
            <w:r>
              <w:rPr/>
              <w:t>charge us to deliver our traffic at certain levels or at all;</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5765" w:type="dxa"/>
            <w:tcBorders/>
            <w:vAlign w:val="center"/>
          </w:tcPr>
          <w:p>
            <w:pPr>
              <w:pStyle w:val="TableContents"/>
              <w:bidi w:val="0"/>
              <w:spacing w:lineRule="auto" w:line="300" w:before="0" w:after="0"/>
              <w:jc w:val="both"/>
              <w:rPr/>
            </w:pPr>
            <w:r>
              <w:rPr/>
              <w:t>throttle traffic based on its source or type;</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5765" w:type="dxa"/>
            <w:tcBorders/>
            <w:vAlign w:val="center"/>
          </w:tcPr>
          <w:p>
            <w:pPr>
              <w:pStyle w:val="TableContents"/>
              <w:bidi w:val="0"/>
              <w:spacing w:lineRule="auto" w:line="300" w:before="0" w:after="0"/>
              <w:jc w:val="both"/>
              <w:rPr/>
            </w:pPr>
            <w:r>
              <w:rPr/>
              <w:t>implement bandwidth caps or other usage restrictions; or</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5765" w:type="dxa"/>
            <w:tcBorders/>
            <w:vAlign w:val="center"/>
          </w:tcPr>
          <w:p>
            <w:pPr>
              <w:pStyle w:val="TableContents"/>
              <w:bidi w:val="0"/>
              <w:spacing w:lineRule="auto" w:line="300" w:before="0" w:after="0"/>
              <w:jc w:val="both"/>
              <w:rPr/>
            </w:pPr>
            <w:r>
              <w:rPr/>
              <w:t>otherwise try to monetize or control access to their networks.</w:t>
            </w:r>
          </w:p>
        </w:tc>
      </w:tr>
    </w:tbl>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have limited or no control over the extent to which any of these circumstances may occur, and if network access or distribution prices rise, our business, financial condition and results of operations would likely be adversely affected.</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Failure to comply with anti-bribery, anti-corruption, anti-money laundering laws, and similar laws, could subject us to penalties and other adverse consequences.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are subject to the U.S. Foreign Corrupt Practices Act of 1977, as amended (the “FCPA”), the U.S. domestic bribery statute contained in 18 U.S.C. § 201, the U.S. Travel Act, the USA PATRIOT Act, the United Kingdom Bribery Act 2010, the Proceeds of Crime Act 2002, Chapter 9 (sub-chapter 5) of the Israeli Penal Law, 5737-1977, the Israeli Prohibition on Money Laundering Law, 5760-2000 and additional anti-bribery or anti-corruption laws, regulations, or rules of the countries in which we operate. These laws generally prohibit companies and their employees and third-party partners, representatives, and agents from engaging in corruption and bribery, including by offering, promising, giving, or authorizing the provision of anything of value, either directly or indirectly, to a government official or commercial party to influence official action, direct business to any person, gain any improper advantage, or obtain or retain business. Anti-corruption and anti-bribery laws have been enforced aggressively in recent years and are interpreted broadly.</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sometimes leverage third parties to sell our products and conduct certain aspects of our business abroad. We and our third-party partners may have direct or indirect interactions with officials and employees of government agencies or state-owned or affiliated entities and may be held liable for inaccurate or incomplete accounting records, internal accounting controls deemed inadequate by applicable regulatory authorities, and corrupt or other illegal activities of our employees, affiliates, third-party partners, representatives, and agents, even if we do not explicitly authorize such activities. We cannot assure you that our employees and other agents, or those of our partners, will not take actions in violation of applicable law, for which we may be ultimately held responsible. As we increase our international sales and business operations, our risks under these laws are likely to increase.</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Any actual or alleged violation of the FCPA or other applicable anti-bribery, anti-corruption or anti-money laundering laws could result in whistleblower complaints, sanctions, settlements, prosecution, enforcement actions, fines, damages, adverse media coverage, investigations, loss of export privileges, severe criminal or civil sanctions, or suspension or debarment from U.S. government contracts, all of which may have an adverse effect on our reputation, business, financial condition, results of operations, and prospects. Responding to any investigation or action will likely result in a materially significant diversion of the attention and resources of our executive leadership team and other employees and cause us to incur significant defense costs and other professional fees. In addition, the U.S. government may seek to hold us liable for FCPA violations committed by companies that we invest in or acquire.</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Our business activities subject us to litigation risk that could materially and adversely affect us by subjecting us to significant money damages and other remedies, causing unfavorable publicity or increasing our litigation expense.</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are, from time to time, the subject of complaints or litigation, including user claims, contract claims, employee allegations of improper termination and discrimination and claims related to violations of applicable government laws regarding religious freedom, advertising and intellectual property. The number and significance of these potential claims and disputes may increase as our business expands. Any such claim, whether initiated by the Company or by the other party, could be expensive to litigate and may divert time, money, management’s attention and other valuable resources away from our operations, harm our reputation, and, thereby, adversely affect our business. Further, our insurance may not cover all potential claims made against us or be sufficient to indemnify us for all liability that may be imposed. Additionally, a substantial judgment against us could materially and adversely affect our business, financial condition, results of operations and prospects.</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26</w:t>
      </w:r>
    </w:p>
    <w:p>
      <w:pPr>
        <w:pStyle w:val="HorizontalLine"/>
        <w:bidi w:val="0"/>
        <w:spacing w:before="200" w:after="200"/>
        <w:jc w:val="left"/>
        <w:rPr/>
      </w:pPr>
      <w:r>
        <w:rPr/>
      </w:r>
    </w:p>
    <w:p>
      <w:pPr>
        <w:pStyle w:val="TextBody"/>
        <w:bidi w:val="0"/>
        <w:spacing w:lineRule="auto" w:line="300" w:before="0" w:after="0"/>
        <w:ind w:left="0" w:right="0" w:firstLine="520"/>
        <w:jc w:val="both"/>
        <w:rPr>
          <w:sz w:val="20"/>
        </w:rPr>
      </w:pPr>
      <w:r>
        <w:rPr>
          <w:sz w:val="20"/>
        </w:rPr>
        <w:t>For example, we have been, and may continue to be, subject to class and individual claims regarding our classification of certain employees.  These include a putative class action in the Superior Court for the City and County of San Francisco on October 21, 2022 and a demand letter received by the Company on January 30, 2023, threatening claims on behalf of an unidentified New York-based “inside salesperson” and other similarly-situated employees. While the Company denied these allegations, and believed them to be without merit, solely in order to avoid the costs and inconvenience of litigation as well as the uncertainty inherent in any complex litigation, the Company settled both claims. Additionally, we are presently suing Whatfix, Inc. in the U.S. Federal District Court, Northern District of California alleging claims related to Whatfix’s alleged theft and misappropriation of the Company’s trade secrets and in the U.S. Federal District Court of Delaware alleging certain Whatfix products infringe the Company’s patents.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Unanticipated changes in effective tax rates or adverse outcomes resulting from examination of our income or other tax returns could expose us to greater than anticipated tax liabilities.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tax laws applicable to our business, including the laws of Israel, the United States, and other jurisdictions, are subject to interpretation and certain jurisdictions may aggressively interpret their laws in an effort to raise additional tax revenue. The taxing authorities of the jurisdictions in which we operate may challenge our methodologies for valuing developed technology or intercompany arrangements or our revenue recognition policies, which could increase our worldwide effective tax rate and harm our financial position and results of operations. It is possible that tax authorities may disagree with certain positions we have taken and any adverse outcome of such a review or audit could have a negative effect on our financial position and results of operations. Further, the determination of our worldwide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in our consolidated financial statements and may materially affect our financial results in the period or periods for which such determination is made.</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Our corporate structure and intercompany arrangements are subject to the tax laws of various jurisdictions, and we could be obligated to pay additional taxes, which would harm our results of operations.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Based on our current corporate structure, we are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For example, the recent Inflation Reduction Act enacted in the United States introduced, among other changes, a 1% excise tax on certain stock redemptions by United States corporations which the U.S. Treasury indicated may also apply to certain stock redemptions by a foreign corporation funded (or deemed funded) by certain United States affiliates.  The authorities in these jurisdictions could review our tax returns or require us to file tax returns in jurisdictions in which we are not currently filing, and could impose additional tax, interest, and penalties. These authorities could also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interest, and penalties. Such authorities could claim that various withholding requirements apply to us or our subsidiaries or assert that benefits of tax treaties are not available to us or our subsidiaries. Any increase in the amount of taxes we pay or that are imposed on us could increase our worldwide effective tax rate and harm our business, financial condition and results of operations.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Changes in tax law relating to multinational corporations could adversely affect our tax position.</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member countries of the Organization for Economic Co-operation and Development (“OECD”), with the support of the G20, initiated the base erosion and profit shifting (“BEPS”) project in 2013 in response to concerns that changes were needed to international tax laws. In November 2015, the G20 finance ministers adopted final BEPS reports designed to prevent, among other things, the artificial shifting of income to low-tax jurisdictions, and legislation to adopt and implement the standards set forth in such reports has been enacted or is currently under consideration in a number of jurisdictions. In May 2019, the OECD published a “Programme of Work,” which was divided into two pillars. Pillar One focused on the allocation of group profits among taxing jurisdictions based on a market-based concept rather than the historical “permanent establishment” concept. Pillar Two, among other things, introduced a global minimum tax. On October 10, 2021, 137 member jurisdictions of the G20/OECD Inclusive Framework on BEPS (including Israel) joined the “Statement on a Two-Pillar Solution to Address the Tax Challenges Arising from the Digitalisation of the Economy” which sets forth the key terms of such two-pillar solution, including a reallocation of taxing rights among market jurisdictions under Pillar One and a global minimum tax rate of 15% under Pillar Two. The agreement reached by 137 of the 140 members of the OECD’s Inclusive Framework on BEPS calls for law enactment by OECD and G20 members in 2022 to take effect in 2023 and 2024. On December 20, 2021, the OECD published model rules to implement the Pillar Two rules and released commentary to the Pillar Two model rules in March 2022 and published administrative guidance in February 2023, July 2023 and December 2023. The model rules and commentary allow the OECD’s Inclusive Framework members to begin implementing the Pillar Two rules in accordance with the agreement reached in October 2021. Israel is one of the 137 jurisdictions that has agreed in principle to the adoption of the global minimum tax rate, targeting law enactment to take effect in 2023 with applicability from fiscal years beginning on or after December 31, 2023. As the Two Pillar solution is subject to implementation by each member country, the timing and ultimate impact of any such changes on our tax obligations is uncertain. These changes, when enacted, by various countries in which we do business may increase our taxes in these countries. The foregoing tax changes and other possible future tax changes may have an adverse impact on us, our business, financial condition, results of operations and cash flow.</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27</w:t>
      </w:r>
    </w:p>
    <w:p>
      <w:pPr>
        <w:pStyle w:val="HorizontalLine"/>
        <w:bidi w:val="0"/>
        <w:spacing w:before="200" w:after="200"/>
        <w:jc w:val="left"/>
        <w:rPr/>
      </w:pPr>
      <w:r>
        <w:rPr/>
      </w:r>
    </w:p>
    <w:p>
      <w:pPr>
        <w:pStyle w:val="TextBody"/>
        <w:bidi w:val="0"/>
        <w:spacing w:lineRule="auto" w:line="300" w:before="0" w:after="0"/>
        <w:jc w:val="both"/>
        <w:rPr>
          <w:b/>
          <w:i/>
          <w:sz w:val="20"/>
        </w:rPr>
      </w:pPr>
      <w:r>
        <w:rPr>
          <w:b/>
          <w:i/>
          <w:sz w:val="20"/>
        </w:rPr>
        <w:t>We could be required to collect additional sales, use, value added, digital services or other similar taxes or be subject to other liabilities that may increase the costs our clients would have to pay for our products and adversely affect our results of operations.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collect sales, value added and other similar taxes in a number of jurisdictions. One or more U.S. states or countries may seek to impose incremental or new sales, use, value added, digital services, or other tax collection obligations on us. Further, an increasing number of U.S. states have considered or adopted laws that attempt to impose tax collection obligations on out-of-state companies. Additionally, the Supreme Court of the United States has ruled that online sellers can be required to collect sales and use tax despite not having a physical presence in the state of the customer, thus permitting a wider enforcement of such sales and use tax collection requirements against non-U.S. companies that have historically not been responsible for state or local tax collection unless they had physical presence in the U.S. customer’s state. As a result, U.S. states and local governments may adopt, or begin to enforce, laws requiring us to calculate, collect, and remit taxes on sales in their jurisdictions, even if we have no physical presence in that jurisdiction. A successful assertion by one or more U.S. states requiring us to collect taxes where we presently do not do so, or to collect more taxes in a jurisdiction in which we currently do collect some taxes, could result in substantial liabilities, including taxes on past sales, as well as interest and penalties. Furthermore, certain jurisdictions, such as the United Kingdom and France, have recently introduced a digital services tax, which is generally a tax on gross revenue generated from users or customers located in those jurisdictions, and other jurisdictions have enacted or are considering enacting similar laws. A successful assertion by a U.S. state or local government, or other country or jurisdiction that we should have been or should be collecting additional sales, use, value added, digital services or other similar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Our ability to use our net operating loss carryforwards to offset future taxable income may be subject to certain limitations.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As of December 31, 2023, we had net operating loss carryforwards of $360.5 million in Israel which may be utilized against future income taxes. Limitations imposed by the applicable jurisdictions on our ability to utilize net operating loss carryforwards, including with respect to the net operating loss carryforwards of companies that we have acquired or may acquire in the future, could cause income taxes to be paid earlier than would be paid if such limitations were not in effect and could cause such net operating loss carryforwards to expire unused, in each case reducing or eliminating the benefit of such net operating loss carryforwards. Furthermore, we may not be able to generate sufficient taxable income to utilize our net operating loss carryforwards before they expire. If any of these events occur, we may not derive some or all of the expected benefits from our net operating loss carryforwards. Also, any available net operating loss carryforwards would have value only to the extent there is income in the future against which such net operating loss carryforwards may be offset. For these reasons, we may not be able to realize a tax benefit from the use of our net operating loss carryforwards, whether or not we attain profitability. We have recorded a full valuation allowance related to our carryforwards due to the uncertainty of the ultimate realization of the future benefits of those assets. </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Our reported financial results may be adversely affected by changes in accounting principles generally accepted in the United States.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accounting rules and regulations that we must comply with are complex and subject to interpretation by the Financial Accounting Standards Board (“FASB”), the SEC and various bodies formed to promulgate and interpret appropriate accounting principles. Recent actions and public comments from the FASB and the SEC have focused on the integrity of financial reporting and internal controls. In addition, many companies’ accounting policies are being subject to heightened scrutiny by regulators and the public. Further, the accounting rules and regulations are continually changing in ways that could materially impact our financial statements.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Though we cannot predict the impact of future changes to accounting principles or our accounting policies on our financial statements going forward, any such change in these principles or how they are interpreted could have a significant effect on our reported results of operations and could affect the reporting of transactions already completed before the announcement of a change.</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28</w:t>
      </w:r>
    </w:p>
    <w:p>
      <w:pPr>
        <w:pStyle w:val="HorizontalLine"/>
        <w:bidi w:val="0"/>
        <w:spacing w:before="200" w:after="200"/>
        <w:jc w:val="left"/>
        <w:rPr/>
      </w:pPr>
      <w:r>
        <w:rPr/>
      </w:r>
    </w:p>
    <w:p>
      <w:pPr>
        <w:pStyle w:val="TextBody"/>
        <w:bidi w:val="0"/>
        <w:spacing w:lineRule="auto" w:line="300" w:before="0" w:after="0"/>
        <w:jc w:val="both"/>
        <w:rPr>
          <w:b/>
          <w:i/>
          <w:sz w:val="20"/>
        </w:rPr>
      </w:pPr>
      <w:r>
        <w:rPr>
          <w:b/>
          <w:i/>
          <w:sz w:val="20"/>
        </w:rPr>
        <w:t>We are not, and do not intend to become, regulated as an “investment company” under the Investment Company Act of 1940, as amended (“Investment Company Act”), and if we were deemed an “investment company” under the Investment Company Act, applicable restrictions could make it impractical for us to continue our business as contemplated and could have a material adverse effect on our business.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An entity generally will be deemed to be an “investment company” for purposes of the Investment Company Act if:</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51" w:name="z17bc03e2fe844227aa11ad45e34d60f7"/>
      <w:bookmarkStart w:id="52" w:name="z17bc03e2fe844227aa11ad45e34d60f7"/>
      <w:bookmarkEnd w:id="52"/>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it is an “orthodox” investment company because it is or holds itself out as being engaged primarily, or proposes to engage primarily, in the business of investing, reinvesting or trading in securities; or</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it is an inadvertent investment company because, absent an applicable exemption, (i) it owns or proposes to acquire investment securities having a value exceeding 40% of the value of its total assets (exclusive of U.S. government securities and cash items) on an unconsolidated basis, or (ii) it owns or proposes to acquire investment securities having a value exceeding 45% of the value of its total assets (exclusive of U.S. government securities and cash items) and/or more than 45% of its income is derived from investment securities on a consolidated basis with its wholly owned subsidiaries.</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We are engaged primarily in the business of providing clients with our cloud-based Digital Adoption Platform, which enables organizations to better realize the value of their software investments. We hold ourselves out as a cloud-based technology company and do not propose to engage primarily in the business of investing, reinvesting or trading in securities. Accordingly, we do not believe that we are an “orthodox” investment company as defined in Section 3(a)(1)(A) of the Investment Company Act and described in the first bullet point above. Furthermore, we believe that on a consolidated basis less than 45% of our total assets (exclusive of U.S. government securities and cash items) are composed of, and less than 45% of our income is derived from, assets that could be considered investment securities. Accordingly, we do not believe that we are an inadvertent investment company by virtue of the 45% tests in Rule 3a-1 of the Investment Company Act as described in the second bullet point above. In addition, we believe that we are not an investment company under Section 3(b)(1) of the Investment Company Act because we are primarily engaged in a noninvestment company business.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Investment Company Act and the rules thereunder contain detailed parameters for the organization and operation of investment companies. Among other things, the Investment Company Act and the rules thereunder limit or prohibit transactions with affiliates, impose limitations on the issuance of debt and equity securities, generally prohibit the issuance of options and impose certain governance requirements. We intend to conduct our operations so that we will not be deemed to be an investment company under the Investment Company Act or otherwise conduct our business in a manner that does not subject us to the registration and other requirements of the Investment Company Act. In order to ensure that we are not deemed to be an investment company, we may be limited in the assets that we may continue to own and, further, may need to dispose of or acquire certain assets at such times or on such terms as may be less favorable to us than in the absence of such requirement. In particular, as is common in Israel, much of our marketable securities and some of our cash is held in the form of time-based depositary accounts, which may be considered securities under the Investment Company Act, and we could be required to invest our cash into accounts that yield a lower return in order to avoid becoming an investment company. If anything were to happen which would cause us to be deemed to be an investment company under the Investment Company Act, the requirements imposed by the Investment Company Act could make it impractical for us to continue our business as currently conducted, which would materially adversely affect our business, financial condition and results of operations. In addition, if we were to become inadvertently subject to the Investment Company Act, any violation of the Investment Company Act could subject us to material adverse consequences, including potentially significant regulatory penalties.</w:t>
      </w:r>
    </w:p>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Risks Relating to Our Ordinary Shares and Reporting Obligations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Our share price has been and may continue to be volatile, and you may lose all or part of your investment.</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market price of our ordinary shares has experienced significant price and volume volatility and may continue to fluctuate in the future, substantially as a result of many factors, including:</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3" w:name="z197e00d5b5234efaa8a2512a1ab5d890"/>
      <w:bookmarkStart w:id="54" w:name="z197e00d5b5234efaa8a2512a1ab5d890"/>
      <w:bookmarkEnd w:id="54"/>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actual or anticipated changes or fluctuations in our results of operations;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the guidance we may provide to the public, and any changes in, or our failure to perform in line with, such guidance;</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5" w:name="zec4d7eb56a4944d387eb8cee94eaea17"/>
      <w:bookmarkStart w:id="56" w:name="zec4d7eb56a4944d387eb8cee94eaea17"/>
      <w:bookmarkEnd w:id="56"/>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announcements by us or our competitors of significant business developments, new offerings or new or terminated significant contracts, commercial relationships or capital commitments;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industry or financial analyst or investor reaction to our press releases, other public announcements, and filings with the SEC;</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rumors and market speculation involving us or other companies in our industry;</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future sales or expected future sales of our ordinary shares;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investor perceptions of us and the industries and markets in which we operate;</w:t>
            </w:r>
          </w:p>
        </w:tc>
      </w:tr>
    </w:tbl>
    <w:p>
      <w:pPr>
        <w:pStyle w:val="TextBody"/>
        <w:bidi w:val="0"/>
        <w:spacing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29</w:t>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price and volume fluctuations in the overall stock market from time to time;</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changes in operating performance and stock market valuations of other technology companies generally, or those in our industry in particular;</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failure of industry or financial analysts to maintain coverage of us, changes in financial estimates by any analysts who follow our Company, or our failure to meet these estimates or the expectations of investors;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actual or anticipated developments in our business or our competitors’ businesses or the competitive landscape generally;</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litigation involving us, our industry or both, or investigations by regulators into our operations or those of our competitors;</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developments or disputes concerning our intellectual property rights or our solutions, or third-party proprietary rights;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announced or completed acquisitions of businesses or technologies by us or our competitors;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actual or perceived breaches of, or failures relating to, privacy, data protection or data security;</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new laws or regulations or new interpretations of existing laws or regulations applicable to our business;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actual or anticipated changes in our executive leadership team or our board of directors;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general economic conditions such as inflation, higher interest rates and slow or negative growth of our target markets; and</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other events or factors, including those resulting from pandemics, war, incidents of terrorism or responses to these events.</w:t>
            </w:r>
          </w:p>
        </w:tc>
      </w:tr>
    </w:tbl>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In addition, the stock markets have recently experienced extreme price and volume fluctuations. Broad market and industry factors may materially harm the market price of our ordinary shares, regardless of our operating performance, which may limit or prevent investors from readily selling their shares and may otherwise negatively affect the liquidity of our ordinary shares. In the past, following periods of volatility in the market price of a company’s securities, securities class action litigation has often been instituted against that company. If we were involved in any similar litigation we could incur substantial costs and our attention and resources of our executive leadership team and other employees could be diverted.</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An active trading market for our ordinary shares may not be sustained to provide adequate liquidity.</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An active trading market may not be sustained for our ordinary shares. The lack of an active market may impair your ability to sell your shares at the time you wish to sell them or at a price that you consider reasonable. An inactive market may also impair our ability to raise capital by selling ordinary shares and may impair our ability to acquire other companies by using our shares as consideration.</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If we do not meet the expectations of equity research analysts, if they do not publish research or reports about our business or if they issue unfavorable commentary or downgrade our ordinary shares, the price of our ordinary shares could decline.</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 xml:space="preserve">The trading market for our ordinary shares relies in part on the research and reports that securities analysts publish about us and our business. The analysts’ estimates are based upon their own opinions and are often different from our estimates or expectations. If our revenues, our results of operations, or our financial condition are </w:t>
      </w:r>
      <w:r>
        <w:rPr>
          <w:i/>
          <w:sz w:val="20"/>
        </w:rPr>
        <w:t>below</w:t>
      </w:r>
      <w:r>
        <w:rPr>
          <w:sz w:val="20"/>
        </w:rPr>
        <w:t xml:space="preserve"> the estimates or expectations of public market analysts and investors, the price of our ordinary shares could decline. Moreover, the price of our ordinary shares could decline if one or more securities analysts issue unfavorable commentary or cease publishing reports about us or our business.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We are an “emerging growth company,” as defined in the JOBS Act, and we cannot be certain if the reduced disclosure requirements applicable to emerging growth companies will make our ordinary shares less attractive to investors.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are an “emerging growth company,” as defined in the JOBS Act, and we are eligible to take advantage of specified reduced disclosure and other requirements that are applicable to public companies that are not emerging growth companies. These provisions include, among others, not being required to comply with the auditor attestation requirements of Section 404 of the Sarbanes-Oxley Act of 2002 (“Section 404”) and not being required to comply with any requirement that may be adopted by the PCAOB regarding mandatory audit firm rotation or a supplement to the auditor’s report providing additional information about the audit and the financial statements. In addition, while we remain an emerging growth company we can take advantage of an extended transition period for complying with new or revised accounting standards. This allows us to delay the adoption of certain accounting standards until those standards would otherwise apply to private companies. We have elected to take advantage of this extended transition period and, as a result, our operating results and financial statements may not be comparable to the operating results and financial statements of companies who have adopted the new or revised accounting standards.</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30</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We may remain an emerging growth company until the earliest to occur of: (i) the last day of the first fiscal year in which our annual gross revenue equals or exceeds $1.235 billion; (ii) the date that we become a “large accelerated filer,” as defined in Rule 12b-2 under the Exchange Act, which will occur if the market value of our common equity securities held by non-affiliates is at least $700 million as of the last business day of our most recently completed second fiscal quarter; (iii) the date on which we have issued, during the preceding three-year period, more than $1.0 billion in non-convertible debt securities; and (iv) December 31, 2026, which is the last day of the fiscal year ending after the fifth anniversary of our initial public offering (“IPO”).</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490"/>
        <w:jc w:val="both"/>
        <w:rPr>
          <w:sz w:val="20"/>
        </w:rPr>
      </w:pPr>
      <w:r>
        <w:rPr>
          <w:sz w:val="20"/>
        </w:rPr>
        <w:t>Investors may find our ordinary shares less attractive to the extent we rely on the exemptions and relief granted by the JOBS Act. If some investors find our ordinary shares less attractive as a result, there may be a less active trading market for our ordinary shares and the price of our ordinary shares may decline or become more volatile.</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We are a foreign private issuer and, as a result, we are not subject to U.S. proxy rules and will be subject to Exchange Act reporting obligations that, to some extent, are more lenient and less frequent than those of a U.S. domestic public company.</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report under the Exchange Act as a non-U.S. company with foreign private issuer status. Because we qualify as a foreign private issuer, we take advantage of certain provisions under the Nasdaq corporate governance rules that allow us to follow Israeli law for certain corporate governance matters. As long as we qualify as a foreign private issuer under the Exchange Act, we are exempt from certain provisions of the Exchange Act that are applicable to U.S. domestic public companies, including among others: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7" w:name="z7b74a7f932ba451eaa318374d39fe0f8"/>
      <w:bookmarkStart w:id="58" w:name="z7b74a7f932ba451eaa318374d39fe0f8"/>
      <w:bookmarkEnd w:id="58"/>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the sections of the Exchange Act regulating the solicitation of proxies, consents or authorizations in respect of a security registered under the Exchange Act;</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the sections of the Exchange Act requiring insiders to file public reports of their share ownership and trading activities and liability for insiders who profit from trades made in a short period of time;</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the rules under the Exchange Act requiring the filing with the SEC of quarterly reports on Form 10-Q containing unaudited financial and other specified information, or current reports on Form 8-K, upon the occurrence of specified significant events; and</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Regulation Fair Disclosure (“Regulation FD”), which regulates selective disclosures of material information by issuers.</w:t>
            </w:r>
          </w:p>
        </w:tc>
      </w:tr>
    </w:tbl>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In addition, foreign private issuers are not required to file their annual report on Form 20-F until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like emerging growth companies, also are exempt from certain more stringent executive compensation disclosure rules. As a result of all of the above, you may not have the same protections afforded to shareholders of a company that is not a foreign private issuer.</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We may lose our foreign private issuer status in the future, which could result in significant additional costs and expenses.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As discussed above, we are a foreign private issuer, and therefore, we are not required to comply with all of the periodic disclosure and current reporting requirements of the Exchange Act that are applicable to U.S. domestic public companies. The determination of foreign private issuer status is made annually on the last business day of an issuer’s most recently completed second fiscal quarter, and, accordingly, the next determination will be made with respect to us on June 30, 2024. In the future, we would lose our foreign private issuer status if more than 50% of our outstanding voting securities are owned by U.S. residents and any of the following three circumstances applies: (1) the majority of our directors or executive officers are U.S. citizens or residents, (2) more than 50% of our assets are located in the United States, or (3) our business is administered principally in the United States. If we lose our foreign private issuer status,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Nasdaq listing rules. As a U.S. listed public company that is not a foreign private issuer, we will incur significant additional legal, accounting and other expenses that we will not incur as a foreign private issuer.</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31</w:t>
      </w:r>
    </w:p>
    <w:p>
      <w:pPr>
        <w:pStyle w:val="HorizontalLine"/>
        <w:bidi w:val="0"/>
        <w:spacing w:before="200" w:after="200"/>
        <w:jc w:val="left"/>
        <w:rPr/>
      </w:pPr>
      <w:r>
        <w:rPr/>
      </w:r>
    </w:p>
    <w:p>
      <w:pPr>
        <w:pStyle w:val="TextBody"/>
        <w:bidi w:val="0"/>
        <w:spacing w:lineRule="auto" w:line="300" w:before="0" w:after="0"/>
        <w:jc w:val="both"/>
        <w:rPr>
          <w:b/>
          <w:i/>
          <w:sz w:val="20"/>
        </w:rPr>
      </w:pPr>
      <w:r>
        <w:rPr>
          <w:b/>
          <w:i/>
          <w:sz w:val="20"/>
        </w:rPr>
        <w:t>As we are a foreign private issuer and intend to follow certain home country corporate governance practices, our shareholders may not have the same protections afforded to shareholders of companies that are subject to all corporate governance requirements.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As a foreign private issuer, we have the option to follow certain home country corporate governance practices rather than the Nasdaq corporate governance rules, provided that we disclose and describe the requirements we are not following and the Israeli practices we are following. We rely on this “foreign private issuer exemption” with respect to the quorum requirement for shareholder meetings, and may in the future elect to follow home country practices with regard to other matters. As a result, our shareholders may not have the same protections afforded to shareholders of companies that are subject to all Nasdaq corporate governance requirements.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The market price of our ordinary shares could be negatively affected by future issuances and sales of our ordinary shares.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Sales by us or our shareholders of a substantial number of ordinary shares in the public market, or the perception that these sales might occur, could cause the market price of our ordinary shares to decline or could impair our ability to raise capital through a future sale of, or pay for acquisitions using, our equity securities.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As of December 31, 2023, we are authorized to issue up to 900,000,000 ordinary shares. Subject to compliance with applicable rules and regulations, we may issue ordinary shares or securities convertible into ordinary shares from time to time in connection with a financing, acquisition, investment, our share incentive plans or otherwise. Any such issuance could result in substantial dilution to our existing shareholders and cause the market price of our ordinary shares to decline.</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We may be classified as a passive foreign investment company, which could result in adverse U.S. federal income tax consequences to U.S. Holders of our ordinary shares.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would be classified as a passive foreign investment company (“PFIC”) for any taxable year if, after the application of certain look-through rules, either: (i) 75% or more of our gross income for such year is “passive income” (as defined in the relevant provisions of the Internal Revenue Code of 1986, as amended), or (ii) 50% or more of the value of our gross assets (determined on the basis of a quarterly average) during such year is attributable to assets that produce or are held for the production of passive income (the “asset test”). For these purposes, cash and other assets readily convertible into cash are categorized as passive assets, and the company’s goodwill and other unbooked intangibles are generally taken into account.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more than 25% (by value) of the stock. Based on the composition of our income, assets and operations, we do not believe that we were a PFIC for the taxable year ended December 31, 2023. However, our status as a PFIC requires a factual determination that depends on, among other things, our income, assets and operations in each year. Fluctuations in the market price of our ordinary shares may cause our classification as a PFIC for the current or future taxable years to change because the value of our assets for purposes of the asset test, including the value of our goodwill and unbooked intangibles, may be determined by reference to the market price of our shares from time to time (which may be volatile). Among other matters, if our market capitalization subsequently declines, it may make our classification as a PFIC more likely for the current or future taxable years. The composition of our income and assets may also be affected by how, and how quickly, we use our liquid assets. Therefore, there can be no assurance that we will not be treated as a PFIC for our current taxable year or any future taxable year.</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Certain adverse U.S. federal income tax consequences could apply to a U.S. Holder (as defined in Item 10.E. “Tax Considerations - U.S. Federal Income Tax Considerations”) if we are treated as a PFIC for any taxable year during which such U.S. Holder holds our ordinary shares. U.S. Holders should consult their tax advisors regarding the application of PFIC rules to an investment in our ordinary shares. For further discussion, see Item 10.E. “Tax Considerations - Material United States Tax Considerations.”</w:t>
        <w:br/>
        <w:t> </w:t>
      </w:r>
    </w:p>
    <w:p>
      <w:pPr>
        <w:pStyle w:val="TextBody"/>
        <w:bidi w:val="0"/>
        <w:spacing w:lineRule="auto" w:line="300" w:before="0" w:after="0"/>
        <w:jc w:val="both"/>
        <w:rPr>
          <w:b/>
          <w:i/>
          <w:sz w:val="20"/>
        </w:rPr>
      </w:pPr>
      <w:r>
        <w:rPr>
          <w:b/>
          <w:i/>
          <w:sz w:val="20"/>
        </w:rPr>
        <w:t>If a United States person is treated as owning at least 10% of our ordinary shares, such holder may be subject to adverse U.S. federal income tax consequences.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If a United States person is treated as owning (directly, indirectly, or constructively) at least 10% of the value or voting power of our ordinary shares, such person may be treated as a “United States shareholder” with respect to each “controlled foreign corporation” (“CFC”) in our group (if any). Because our group includes a U.S. subsidiary, certain of our non-U.S. subsidiaries will be treated as CFCs (regardless of whether or not we are treated as a CFC). A United States shareholder of a CFC may be required to report annually and include in its U.S. taxable income its pro rata share of “Subpart F income,” “global intangible low-taxed income,” and investments in U.S. property by CFC, regardless of whether we make any 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we are or any of our non-U.S. subsidiaries is treated as a CFC or whether any investor is treated as a United States shareholder with respect to any such CFC or furnish to any United States shareholders information that may be necessary to comply with the aforementioned reporting and tax paying obligations. The United States Internal Revenue Service has provided limited guidance on situations in which investors may rely on publicly available information to comply with their reporting and taxpaying obligations with respect to foreign-controlled CFCs. A United States investor should consult its advisors regarding the potential application of these rules to an investment in our ordinary shares.</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32</w:t>
      </w:r>
    </w:p>
    <w:p>
      <w:pPr>
        <w:pStyle w:val="HorizontalLine"/>
        <w:bidi w:val="0"/>
        <w:spacing w:before="200" w:after="200"/>
        <w:jc w:val="left"/>
        <w:rPr/>
      </w:pPr>
      <w:r>
        <w:rPr/>
      </w:r>
    </w:p>
    <w:p>
      <w:pPr>
        <w:pStyle w:val="TextBody"/>
        <w:bidi w:val="0"/>
        <w:spacing w:lineRule="auto" w:line="300" w:before="0" w:after="0"/>
        <w:jc w:val="both"/>
        <w:rPr>
          <w:b/>
          <w:i/>
          <w:sz w:val="20"/>
        </w:rPr>
      </w:pPr>
      <w:r>
        <w:rPr>
          <w:b/>
          <w:i/>
          <w:sz w:val="20"/>
        </w:rPr>
        <w:t>Provisions of Israeli law and our Articles of Association may delay, prevent or make undesirable an acquisition of all or a significant portion of our shares or assets.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Provisions of Israeli law, including the Israeli Companies Law, 5759-1999 (the “Companies Law”), and our amended and restated Articles of Association could have the effect of delaying or preventing a change in control and may make it more difficult for a third-party to acquire us or our shareholders to elect different individuals to our board of directors, even if doing so would be considered to be beneficial by some of our shareholders, and may limit the price that investors may be willing to pay in the future for our ordinary shares. Among other things:</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59" w:name="za764ac209d554ab0b81b37bd8a6ee3c4"/>
      <w:bookmarkStart w:id="60" w:name="za764ac209d554ab0b81b37bd8a6ee3c4"/>
      <w:bookmarkEnd w:id="60"/>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the Companies Law regulates mergers and requires that a tender offer be effected when more than a specified percentage of shares in a company are purchased;</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the Companies Law requires special approvals for certain transactions involving directors, officers or certain significant shareholders and regulates other matters that may be relevant to these types of transactions;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the Companies Law does not provide for shareholder action by written consent for public companies, thereby requiring all shareholder actions to be taken at a general meeting of shareholders;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our amended and restates Articles of Association divide our directors into three classes, each of which is elected once every three years, and accordingly, each of our directors serves until the third annual general meeting following his or her election or re-election or until he or she is removed;</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an amendment to our amended and restates Articles of Association will generally require, in addition to the approval of our board of directors, a vote of the holders of a majority of our outstanding ordinary shares entitled to vote and present and voting on the matter at a general meeting of shareholders (referred to as simple majority), and the amendment of a limited number of provisions, such as the provision dividing our directors into three classes, requires a vote of the holders of at least 65% of the total voting power of our shareholders;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our amended and restates Articles of Association do not permit a director to be removed except by a vote of the holders of at least 65% of the total voting power of our shareholders and any amendment to such provision shall require the approval of at least 65% of the total voting power of our shareholders; and</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our amended and restates Articles of Association provide that director vacancies may be filled by our board of directors.</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Israeli tax considerations may also make potential transactions undesirable to us or to some of our shareholders whose country of residence does not have a tax treaty with Israel granting tax relief to such shareholders from Israeli tax. With respect to mergers, Israeli tax law allows for tax deferral in certain circumstances but makes the deferral contingent on the fulfillment of numerous conditions, including a holding period of up to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no disposition of the shares has occurred.</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Furthermore, under the Encouragement of Research, Development and Technological Innovation in the Industry Law, 5744-1984, and the regulations, guidelines, rules, procedures, and benefit tracks thereunder (collectively, the “Innovation Law”), to which we are subject due to our receipt of grants from the Israeli National Authority for Technological Innovation, or the Israeli Innovation Authority (the “IIA”), a recipient of IIA grants such as our Company must report to the IIA regarding any change in the holding of means of control of our Company which transforms any non-Israeli citizen or resident into an “interested party,” as defined in the Israeli Securities Law, 5728-1968 (the “Israeli Securities Law”), and such non-Israeli citizen or resident shall execute an undertaking in favor of IIA, in a form prescribed by IIA.</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33</w:t>
      </w:r>
    </w:p>
    <w:p>
      <w:pPr>
        <w:pStyle w:val="HorizontalLine"/>
        <w:bidi w:val="0"/>
        <w:spacing w:before="200" w:after="200"/>
        <w:jc w:val="left"/>
        <w:rPr/>
      </w:pPr>
      <w:r>
        <w:rPr/>
      </w:r>
    </w:p>
    <w:p>
      <w:pPr>
        <w:pStyle w:val="TextBody"/>
        <w:bidi w:val="0"/>
        <w:spacing w:lineRule="auto" w:line="300" w:before="0" w:after="0"/>
        <w:jc w:val="both"/>
        <w:rPr>
          <w:b/>
          <w:i/>
          <w:sz w:val="20"/>
        </w:rPr>
      </w:pPr>
      <w:r>
        <w:rPr>
          <w:b/>
          <w:i/>
          <w:sz w:val="20"/>
        </w:rPr>
        <w:t>We do not intend to pay dividends in the foreseeable future.</w:t>
      </w:r>
    </w:p>
    <w:p>
      <w:pPr>
        <w:pStyle w:val="TextBody"/>
        <w:bidi w:val="0"/>
        <w:spacing w:lineRule="auto" w:line="300" w:before="0" w:after="0"/>
        <w:jc w:val="both"/>
        <w:rPr>
          <w:sz w:val="20"/>
        </w:rPr>
      </w:pPr>
      <w:r>
        <w:rPr>
          <w:sz w:val="20"/>
        </w:rPr>
        <w:br/>
        <w:t>         We have never declared or paid any cash dividends on our ordinary shares. We currently intend to retain all available funds and any future earnings to finance the operation and expansion of our business and do not anticipate paying any dividends on our ordinary shares in the foreseeable future. Consequently, investors who purchase ordinary shares may be unable to realize a gain on their investment except by selling such shares after price appreciation, which may never occur.</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board of directors has sole discretion regarding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Companies Law imposes restrictions on our ability to declare and pay dividends.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We will continue to incur increased costs as a result of operating as a public company, and our executive leadership team and other employees are required to devote substantial time to new compliance initiatives and corporate governance practices.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As a public company we have, and particularly after we are no longer an emerging growth company, we will continue to incur significant legal, accounting and other expenses that we did not incur as a private company. The Sarbanes-Oxley Act, the Dodd-Frank Wall Street Reform and Consumer Protection Act, the listing requirements of the Nasdaq and other applicable rules and regulations impose various requirements on public companies, including the establishment and maintenance of effective disclosure and financial controls and corporate governance practices. Our executive leadership team and other personnel continue to devote a substantial amount of time to these compliance initiatives. Moreover, these rules and regulations will continue to increase our legal and financial compliance costs and will make some activities more time-consuming and costly. For example, we expect that these rules and regulations may make it more difficult and more expensive for us to obtain director and officer liability insurance, and could also make it more difficult for us to attract and retain qualified members of our board.</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In addition to our results determined in accordance with U.S. GAAP, we believe certain non-GAAP measures and key metrics may be useful in evaluating our operating performance. We present certain non-GAAP financial measures and key performance metrics in this Annual Report and intend to continue to present certain non-GAAP financial measures and key performance metrics in future filings with the SEC and other public statements. Any failure to accurately report and present our non-GAAP financial measures and key performance metrics could cause investors to lose confidence in our reported financial and other information, which would likely have a negative effect on the trading price of our ordinary shares.</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34</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Our current controls and any new controls that we develop may become inadequate because of changes in conditions in our business, as a result of our growth and expansion, changes to or additions of new products or otherwise. Further, weaknesses in our disclosure controls and internal control over financial reporting may be discovered in the future. Any failure to develop or maintain effective controls or any difficulties encountered in their implementation or improvement could harm our business, financial condition, and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that we are required to file with the SEC and annual independent registered public accounting firm attestation reports regarding the effectiveness of our internal control over financial reporting that we will be required to include in our annual reports after we lose our status as an “emerging growth company.” Ineffective disclosure controls and procedures and internal control over financial reporting could also cause investors to lose confidence in our reported financial and other information, which would likely have a negative effect on the trading price of our ordinary shares. In addition, if we are unable to continue to meet these requirements, we may not be able to remain listed on Nasdaq.</w:t>
      </w:r>
    </w:p>
    <w:p>
      <w:pPr>
        <w:pStyle w:val="TextBody"/>
        <w:bidi w:val="0"/>
        <w:spacing w:lineRule="auto" w:line="300" w:before="0" w:after="0"/>
        <w:jc w:val="both"/>
        <w:rPr/>
      </w:pPr>
      <w:r>
        <w:rPr/>
        <w:t> </w:t>
      </w:r>
    </w:p>
    <w:p>
      <w:pPr>
        <w:pStyle w:val="TextBody"/>
        <w:bidi w:val="0"/>
        <w:spacing w:lineRule="auto" w:line="300" w:before="0" w:after="0"/>
        <w:ind w:left="0" w:right="0" w:firstLine="500"/>
        <w:jc w:val="both"/>
        <w:rPr>
          <w:sz w:val="20"/>
        </w:rPr>
      </w:pPr>
      <w:r>
        <w:rPr>
          <w:sz w:val="20"/>
        </w:rPr>
        <w:t>We are required to furnish a report by management on, among other things, the effectiveness of our internal control over financial reporting pursuant to Section 404(a). This assessment needs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Additionally, when we are no longer an “emerging growth company,” our independent registered public accounting firm will be required to formally attest to the effectiveness of our internal control over financial reporting pursuant to Section 404(b). At such time, our independent registered public accounting firm may issue a report that is adverse in the event it is not satisfied with the level at which our internal control over financial reporting is documented, designed or operating. To comply with Section 404, we continuously document and evaluate our internal control over financial reporting, which is both costly and challenging. In this regard, we need to continue to dedicate internal resources, potentially engage outside consultants, and continue undertaking steps to improve control processes as appropriate. There is a risk that we will not be able to conclude that our internal control over financial reporting is effective as required by Section 404. If we identify one or more material weaknesses, it could result in an adverse reaction in the financial markets due to a loss of confidence in the reliability of our financial statements. As a result, the market price of our ordinary shares could be negatively affected, and we could become subject to investigations by the SEC or other regulatory authorities, which could require additional financial and management resources.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Any failure to maintain effective disclosure controls and internal control over financial reporting could adversely affect our business, financial condition, and results of operations and could cause a decline in the price of our ordinary shares.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Our Articles of Association designate the federal district courts of the United States as the sole and exclusive forum for certain types of actions and proceedings that may be initiated by our shareholders.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Articles of Association provide that, unless we consent in writing to the selection of an alternative forum, the U.S. federal district courts shall be the sole and exclusive forum for any claim asserting a cause of action arising under the Securities Act. Section 22 of the Securities Act creates concurrent jurisdiction for federal and state courts over all such Securities Act actions. Accordingly, both state and federal courts have jurisdiction to entertain such claims. We note that investors cannot waive compliance with U.S. federal securities laws and the rules and regulations thereunder. This choice of forum provision may limit a shareholder’s ability to bring a claim in a judicial forum that it finds favorable for disputes with us or our directors, officers or other employees and may increase the costs associated with such lawsuits, which may discourage such lawsuits against us and our directors, officers and employees. Alternatively, if a court were to find these provisions of our amended and restates Articles of Association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our share capital shall be deemed to have notice of and to have consented to the choice of forum provisions of our Articles of Association described above. This provision would not apply to suits brought to enforce a duty or liability created by the Exchange Act or any other claim for which the U.S. federal courts have exclusive jurisdiction.</w:t>
      </w:r>
    </w:p>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Risks relating to Our Incorporation and Location in Israel</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Conditions in Israel, including the recent attack by Hamas and other terrorist organizations from the Gaza Strip and elsewhere in the region, and Israel’s war against them, may materially and adversely affect our revenues, our results of operations and our financial condition.</w:t>
      </w:r>
    </w:p>
    <w:p>
      <w:pPr>
        <w:pStyle w:val="TextBody"/>
        <w:bidi w:val="0"/>
        <w:spacing w:lineRule="auto" w:line="300" w:before="0" w:after="0"/>
        <w:jc w:val="left"/>
        <w:rPr/>
      </w:pPr>
      <w:r>
        <w:rPr/>
      </w:r>
    </w:p>
    <w:p>
      <w:pPr>
        <w:pStyle w:val="TextBody"/>
        <w:bidi w:val="0"/>
        <w:spacing w:lineRule="auto" w:line="300" w:before="0" w:after="0"/>
        <w:ind w:left="0" w:right="0" w:firstLine="520"/>
        <w:jc w:val="both"/>
        <w:rPr>
          <w:sz w:val="20"/>
        </w:rPr>
      </w:pPr>
      <w:r>
        <w:rPr>
          <w:sz w:val="20"/>
        </w:rPr>
        <w:t>We are incorporated under the laws of Israel and a significant portion of our operations are conducted in Israel. Moreover, members of our board of directors and leadership team as well as approximately half of our employees and consultants, including employees of our service providers, are located in Israel. Accordingly, our business, revenues, results of operations and financial condition are directly affected by economic, political, geopolitical and military conditions in Israel.</w:t>
      </w:r>
    </w:p>
    <w:p>
      <w:pPr>
        <w:pStyle w:val="TextBody"/>
        <w:bidi w:val="0"/>
        <w:spacing w:lineRule="auto" w:line="300" w:before="0" w:after="0"/>
        <w:ind w:left="0" w:right="0" w:firstLine="520"/>
        <w:jc w:val="both"/>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35</w:t>
      </w:r>
    </w:p>
    <w:p>
      <w:pPr>
        <w:pStyle w:val="HorizontalLine"/>
        <w:bidi w:val="0"/>
        <w:spacing w:before="200" w:after="200"/>
        <w:jc w:val="left"/>
        <w:rPr/>
      </w:pPr>
      <w:r>
        <w:rPr/>
      </w:r>
    </w:p>
    <w:p>
      <w:pPr>
        <w:pStyle w:val="TextBody"/>
        <w:bidi w:val="0"/>
        <w:spacing w:lineRule="auto" w:line="300" w:before="0" w:after="0"/>
        <w:ind w:left="0" w:right="0" w:firstLine="520"/>
        <w:jc w:val="both"/>
        <w:rPr>
          <w:sz w:val="20"/>
        </w:rPr>
      </w:pPr>
      <w:r>
        <w:rPr>
          <w:sz w:val="20"/>
        </w:rPr>
        <w:t>Since the establishment of the State of Israel in 1948, a number of armed conflicts have occurred between Israel and its neighboring countries and terrorist organizations active in the region. These conflicts have involved missile strikes, hostile infiltrations and terrorism against civilian targets in various parts of Israel, which have negatively affected business conditions in Israel.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which has threatened to attack Israel, may be developing nuclear weapons and has targeted cyber attacks against Israeli entities.</w:t>
      </w:r>
    </w:p>
    <w:p>
      <w:pPr>
        <w:pStyle w:val="TextBody"/>
        <w:bidi w:val="0"/>
        <w:spacing w:lineRule="auto" w:line="300" w:before="0" w:after="0"/>
        <w:ind w:left="0" w:right="0" w:firstLine="520"/>
        <w:jc w:val="both"/>
        <w:rPr/>
      </w:pPr>
      <w:r>
        <w:rPr/>
      </w:r>
    </w:p>
    <w:p>
      <w:pPr>
        <w:pStyle w:val="TextBody"/>
        <w:bidi w:val="0"/>
        <w:spacing w:lineRule="auto" w:line="300" w:before="0" w:after="0"/>
        <w:ind w:left="0" w:right="0" w:firstLine="520"/>
        <w:jc w:val="both"/>
        <w:rPr>
          <w:sz w:val="20"/>
        </w:rPr>
      </w:pPr>
      <w:r>
        <w:rPr>
          <w:sz w:val="20"/>
        </w:rPr>
        <w:t>In October 2023, Hamas and other terrorists organizations infiltrated Israel’s southern border from the Gaza Strip and conducted a series of attacks on civilian and military targets. Hamas and other terrorist organizations also launched extensive rocket attacks on Israeli population and industrial centers located along Israel’s border with the Gaza Strip and in other areas within the State of Israel. These attacks resulted in extensive deaths, injuries and kidnapping of civilians and soldiers. Following the attack, Israel’s security cabinet declared war against Hamas and a military campaign against these terrorist organizations commenced in parallel to their continued rocket and terror attacks. In addition, since the initial attack by Hamas, there have been continued hostilities along Israel’s northern border with the Hezbollah terrorist organization in Lebanon, and along Israel’s southern border next to the Red Sea with the Houthis movement located in Yemen, have accelerated, and these clashes may escalate in the future into a greater regional conflict. It is possible that hostilities with Hezbollah in Lebanon will escalate, and that other terrorist organizations, including Palestinian military organizations in the West Bank as well as other hostile countries, such as Iran, will join the hostilities.</w:t>
      </w:r>
    </w:p>
    <w:p>
      <w:pPr>
        <w:pStyle w:val="TextBody"/>
        <w:bidi w:val="0"/>
        <w:spacing w:lineRule="auto" w:line="300" w:before="0" w:after="0"/>
        <w:jc w:val="left"/>
        <w:rPr/>
      </w:pPr>
      <w:r>
        <w:rPr/>
      </w:r>
    </w:p>
    <w:p>
      <w:pPr>
        <w:pStyle w:val="TextBody"/>
        <w:bidi w:val="0"/>
        <w:spacing w:lineRule="auto" w:line="300" w:before="0" w:after="0"/>
        <w:ind w:left="0" w:right="0" w:firstLine="520"/>
        <w:jc w:val="both"/>
        <w:rPr>
          <w:sz w:val="20"/>
        </w:rPr>
      </w:pPr>
      <w:r>
        <w:rPr>
          <w:sz w:val="20"/>
        </w:rPr>
        <w:t>The intensity and duration of Israel’s current war against Hamas is difficult to predict, as are such war’s economic implications on the Company’s business and operations and on Israel's economy in general. The ongoing conflict is rapidly evolving and developing and it is currently not possible to predict the duration or severity of the ongoing conflict or its effect on our business, operations and financial conditions. Moreover, these events may be intertwined with wider macroeconomic indications of a deterioration of Israel’s economic standing, potentially including a downgrade in Israel's credit rating by rating agencies (such as the recent downgrade by Moody’s of its credit rating of Israel from A1 to A2, as well as the downgrade of its outlook rating from “stable” to “negative”), which may have a material adverse effect on the Company and its ability to effectively conduct its operations, which may have a material adverse effect on the Company and its ability to effectively conduct its operations.</w:t>
      </w:r>
    </w:p>
    <w:p>
      <w:pPr>
        <w:pStyle w:val="TextBody"/>
        <w:bidi w:val="0"/>
        <w:spacing w:lineRule="auto" w:line="300" w:before="0" w:after="0"/>
        <w:jc w:val="left"/>
        <w:rPr/>
      </w:pPr>
      <w:r>
        <w:rPr/>
      </w:r>
    </w:p>
    <w:p>
      <w:pPr>
        <w:pStyle w:val="TextBody"/>
        <w:bidi w:val="0"/>
        <w:spacing w:lineRule="auto" w:line="300" w:before="0" w:after="0"/>
        <w:ind w:left="0" w:right="0" w:firstLine="520"/>
        <w:jc w:val="both"/>
        <w:rPr>
          <w:sz w:val="20"/>
        </w:rPr>
      </w:pPr>
      <w:r>
        <w:rPr>
          <w:sz w:val="20"/>
        </w:rPr>
        <w:t>In connection with the Israeli security cabinet’s declaration of war against Hamas and possible hostilities with other organizations, several hundred thousand Israeli military reservists were drafted to perform immediate military service. Certain of our employees and consultants in Israel, in addition to employees of our service providers located in Israel, have been called, and additional employees may be called, for service in the current or future wars or other armed conflicts with Hamas, and such persons may be absent for an extended period of time. As a result, our operations may be disrupted by such absences, which disruption may materially and adversely affect our business and results of operations. Additionally, the absence of employees of our Israeli suppliers and contract manufacturers due to their military service in the current or future wars or other armed conflicts may disrupt their operations, which in turn may materially and adversely affect our ability to deliver or provide products and services to customers.</w:t>
      </w:r>
    </w:p>
    <w:p>
      <w:pPr>
        <w:pStyle w:val="TextBody"/>
        <w:bidi w:val="0"/>
        <w:spacing w:lineRule="auto" w:line="300" w:before="0" w:after="0"/>
        <w:jc w:val="left"/>
        <w:rPr/>
      </w:pPr>
      <w:r>
        <w:rPr/>
      </w:r>
    </w:p>
    <w:p>
      <w:pPr>
        <w:pStyle w:val="TextBody"/>
        <w:bidi w:val="0"/>
        <w:spacing w:lineRule="auto" w:line="300" w:before="0" w:after="0"/>
        <w:ind w:left="0" w:right="0" w:firstLine="520"/>
        <w:jc w:val="both"/>
        <w:rPr>
          <w:sz w:val="20"/>
        </w:rPr>
      </w:pPr>
      <w:r>
        <w:rPr>
          <w:sz w:val="20"/>
        </w:rPr>
        <w:t>It is possible that other terrorist organizations, including Hezbollah in Lebanon, and Palestinian military organizations in the West Bank, as well as other hostile countries, such as Iran, will join the hostilities. Such hostilities may include terror and missile attacks. In the event that our facilities are damaged as a result of hostile actions, or hostilities otherwise disrupt our ongoing operations, our ability to deliver or provide products and services in a timely manner to meet our contractual obligations towards customers and vendors could be materially and adversely affected. 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such government coverage will be maintained or that it will sufficiently cover our potential damages. Any losses or damages incurred by us could have a material adverse effect on our business.</w:t>
      </w:r>
    </w:p>
    <w:p>
      <w:pPr>
        <w:pStyle w:val="TextBody"/>
        <w:bidi w:val="0"/>
        <w:spacing w:lineRule="auto" w:line="300" w:before="0" w:after="0"/>
        <w:jc w:val="left"/>
        <w:rPr/>
      </w:pPr>
      <w:r>
        <w:rPr/>
      </w:r>
    </w:p>
    <w:p>
      <w:pPr>
        <w:pStyle w:val="TextBody"/>
        <w:bidi w:val="0"/>
        <w:spacing w:lineRule="auto" w:line="300" w:before="0" w:after="0"/>
        <w:ind w:left="0" w:right="0" w:firstLine="520"/>
        <w:jc w:val="both"/>
        <w:rPr>
          <w:sz w:val="20"/>
        </w:rPr>
      </w:pPr>
      <w:r>
        <w:rPr>
          <w:sz w:val="20"/>
        </w:rPr>
        <w:t>Finally, political conditions within Israel may affect our operations. Israel has held five general elections between 2019 and 2022, and prior to the Hamas attack in October 2023, the Israeli government pursued extensive changes to Israel’s judicial system, which sparked extensive political debate and unrest. In response to such initiative, many individuals, organizations and institutions, both within and outside of Israel, have voiced concerns that the proposed changes may negatively impact the business environment in Israel including due to reluctance of foreign investors to invest or transact business in Israel, as well as due to increased currency fluctuations, downgrades in credit rating, increased interest rates, increased volatility in securities markets and other changes in macroeconomic conditions. To date, these initiatives have been substantially put on hold. If such changes to Israel’s judicial system are again pursued by the government and approved by the parliament, this may have an adverse effect on our business, our results of operations and our ability to raise additional funds, if deemed necessary by our management and board of directors</w:t>
      </w:r>
      <w:r>
        <w:rPr>
          <w:b/>
          <w:i/>
          <w:sz w:val="20"/>
        </w:rPr>
        <w:t>.</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36</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It may be difficult to enforce a U.S. judgment against us, and our officers and directors named in this Annual Report, in Israel or the United States, or to assert U.S. securities laws claims in Israel or serve process on our officers and directors.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Not all of our directors or officers are residents of the United States and most of their and our assets are located outside the United States. Service of process upon us or our non-U.S. resident directors and officers and enforcement of judgments obtained in the United States against us or our non-U.S. our directors and executive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Under certain circumstances, Israeli courts might not enforce judgments rendered outside Israel, which may make it difficult to collect on judgments rendered against us or our non-U.S. officers and directors.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Your rights and responsibilities as our shareholder will be governed by Israeli law, which differ in some respects from the rights and responsibilities of shareholders of U.S. corporations.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are incorporated under Israeli law. The rights and responsibilities of holders of our ordinary shares are governed by our Articles of Association and the Companies Law. These rights and responsibilities differ in some respects from the rights and responsibilities of shareholders in typical U.S. corporations. In particular, pursuant to the Companies Law, each shareholder of an Israeli company has to act in good faith and in a customary manner in exercising his or her rights and fulfilling his or her obligations toward the Company and other shareholders and to refrain from abusing his or her power in the Company, including, among other things, in voting at the general meeting of shareholders on amendments to a company’s articles of association, and with regard to increases in a company’s authorized share capital, mergers and certain transactions requiring shareholders’ approval under the Companies Law. In addition, a controlling shareholder of an Israeli company or a shareholder who knows that it possesses the power to determine the outcome of a shareholder vote or who has the power to appoint or prevent the appointment of a director or officer in the company or has other powers toward the Company has a duty of fairness toward the Company. However, Israeli law does not define the substance of this duty of fairness. There is little case law available to assist in understanding the implications of these provisions that govern shareholder behavior.</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We (or companies we have acquired) have received Israeli government grants for certain research and development activities. The terms of these grants may require us to satisfy specified conditions in order to develop and transfer technologies supported by such grants outside of Israel. In addition, in some circumstances, we may be required to pay penalties in addition to repaying the grants.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 company we acquired in 2017 was previously financed, in part, through grants from the IIA. As part of the acquisition transaction, we assumed all rights, restrictions and obligation towards the IIA in respect of such grants. From its inception through 2017, that company conducted projects with the IIA’s support and received grants totaling $0.3 million from the IIA, which have been fully repaid.</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Innovation Law requires, inter alia, that the products developed as part of the programs under which the grants were given be manufactured in Israel and restricts the ability to transfer know-how funded by IIA outside of Israel. Transfer of IIA-funded know-how outside of Israel requires prior approval and is subject to payment of a redemption fee to the IIA calculated according to a formula provided under the Innovation Law. A transfer for the purpose of the Innovation Law is generally interpreted very broadly and includes, inter alia, any actual sale of the IIA-funded know-how, any license to develop the IIA-funded know-how or the products resulting from such IIA-funded know-how or any other transaction, which, in essence, constitutes a transfer of IIA-funded know-how. We cannot be certain that any approval of the IIA will be obtained on terms that are acceptable to us, or at all. We may not receive the required approvals should we wish to transfer IIA-funded know-how and/or development outside of Israel in the future.</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Subject to prior approval of the IIA, we may transfer the IIA-funded know-how to another Israeli company. If the IIA-funded know-how is transferred to another Israeli entity, the transfer would still require IIA approval but will not be subject to the payment of the redemption fee. In such case, the acquiring company would have to assume all of the applicable restrictions and obligations towards the IIA (including the restrictions on the transfer of know-how and manufacturing capacity, to the extent applicable, outside of Israel) as a condition to IIA approval.</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37</w:t>
      </w:r>
    </w:p>
    <w:p>
      <w:pPr>
        <w:pStyle w:val="HorizontalLine"/>
        <w:bidi w:val="0"/>
        <w:spacing w:before="200" w:after="200"/>
        <w:jc w:val="left"/>
        <w:rPr/>
      </w:pPr>
      <w:r>
        <w:rPr/>
      </w:r>
    </w:p>
    <w:p>
      <w:pPr>
        <w:pStyle w:val="TextBody"/>
        <w:bidi w:val="0"/>
        <w:spacing w:lineRule="auto" w:line="300" w:before="0" w:after="0"/>
        <w:jc w:val="both"/>
        <w:rPr>
          <w:b/>
          <w:i/>
          <w:sz w:val="20"/>
        </w:rPr>
      </w:pPr>
      <w:r>
        <w:rPr>
          <w:b/>
          <w:i/>
          <w:sz w:val="20"/>
        </w:rPr>
        <w:t>We may become subject to claims for remuneration or royalties for assigned service invention rights by our employees, which could result in litigation and adversely affect our business.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 significant portion of our intellectual property has been developed by our employees in the course of their employment for us. Under the Israeli Patent Law, 5727-1967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service invention rights. The Patent Law also provides that if there is no such agreement between an employer and an employee, the Israeli Compensation and Royalties Committee (the “Committee”), a body constituted under the Patent Law, shall determine whether the employee is entitled to remuneration for his or her inventions. Case law clarifies that the right to receive consideration for “service inventions” can be waived by the employee. The Committee will examine, on a case-by-case basis, the general contractual framework between the parties, using interpretation rules of the general Israeli contract laws. Further, the Committee has not yet determined one specific formula for calculating this remuneration, but rather uses the criteria specified in the Patent Law. Although we generally enter into assignment-of-invention agreements with our employees pursuant to which such individuals waive their right to remuneration for service inventions, we may face claims demanding remuneration in consideration for assigned inventions. As a consequence of such claims, we could be required to pay additional remuneration or royalties to our current and/or former employees, or be forced to litigate such claims, which could negatively affect our business.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Our Articles of Association provide that unless we consent otherwise, the competent courts of Tel Aviv, Israel shall be the sole and exclusive forum for substantially all disputes between us and our shareholders under the Companies Law and the Israeli Securities Law, which could limit our shareholders’ ability to bring claims and proceedings against, as well as obtain a favorable judicial forum for disputes with, us and our directors, officers and other employees.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Unless we consent in writing to the selection of an alternative forum, the competent courts of Tel Aviv, Israel shall be the exclusive forum for (i) any derivative action or proceeding brought on our behalf, (ii) any action asserting a claim of breach of fiduciary duty owed by any of our directors, officers or other employees to us or our shareholders, or (iii) any action asserting a claim arising pursuant to any provision of the Companies Law or the Israeli Securities Law. This exclusive forum provision is intended to apply to claims arising under Israeli Law and would not apply to claims brought pursuant to the Securities Act or the Exchange Act or any other claim for which U.S. federal courts would have exclusive jurisdiction. Such exclusive forum provision in our Articles of Association will not relieve us of our duties to comply with U.S. federal securities laws and the rules and regulations thereunder, and shareholders will not be deemed to have waived our compliance with these laws, rules and regulations. This exclusive forum provision may limit a shareholder’s ability to bring a claim in a judicial forum of its choosing for disputes with us or our directors, officers or other employees, which may discourage lawsuits against us and our directors, officers and other employees.</w:t>
      </w:r>
    </w:p>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General Risk Factors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If we are unable to consummate acquisitions at acceptable prices, and to enter into other strategic transactions and relationships that support our long-term strategy, our growth rate and our business, financial condition and results of operations could be negatively affected. These transactions and relationships also subject us to certain risks.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As part of our business strategy, we may acquire or make investments in complementary companies, products or technologies, and enter into other strategic transactions and relationships in the ordinary course. Our ability to grow our revenues,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the past, which could adversely impact our growth rate and our business, financial condition and results of operations. Promising acquisitions, investments and other strategic transactions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acceptable terms. In addition, competition for acquisitions, investments and other strategic transactions may result in higher purchase prices or other terms less economically favorable to us. Changes in accounting or regulatory requirements or instability in the credit markets could also adversely impact our ability to consummate these transactions on acceptable terms or at all.</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In addition, even if we are able to consummate acquisitions and enter into other strategic transactions and relationships, these transactions and relationships involve a number of financial, accounting, managerial, operational, legal, compliance and other risks and challenges, including the following, any of which could negatively affect our growth rate and the trading price of our ordinary shares, and may have a material adverse effect on our business, financial condition and results of operations:</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61" w:name="zfd9424cab7424caba385a3bf3111166e"/>
      <w:bookmarkStart w:id="62" w:name="zfd9424cab7424caba385a3bf3111166e"/>
      <w:bookmarkEnd w:id="62"/>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Any business, technology, product or solution that we acquire or invest in could under-perform relative to our expectations and the price that we paid or not perform in accordance with our anticipated timetable, or we could fail to operate any such business or deploy any such technology, product or solution profitably.</w:t>
            </w:r>
          </w:p>
        </w:tc>
      </w:tr>
    </w:tbl>
    <w:p>
      <w:pPr>
        <w:pStyle w:val="TextBody"/>
        <w:bidi w:val="0"/>
        <w:spacing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38</w:t>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We may incur or assume significant debt in connection with our acquisitions and other strategic transactions and relationships, which could also cause a deterioration of our credit ratings, result in increased borrowing costs and interest expense and diminish our future access to the capital markets.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Acquisitions and other strategic transactions and relationships could cause our financial results to differ from our own or the investment community’s expectations in any given period, or over the long-term.</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Pre-closing and post-closing earnings charges could adversely impact operating results in any given period, and the impact may be substantially different from period to period.</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Acquisitions and other strategic transactions and relationships could create demands on our management, operational resources and financial and internal control systems that we are unable to effectively address.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We could experience difficulty in integrating personnel, operations and financial and other controls and systems and retaining key employees and customers.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We may be unable to achieve cost savings or other synergies anticipated in connection with an acquisition or other strategic transaction or relationship.</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In connection with acquisitions and other strategic transactions and relationships, we often enter into post-closing financial arrangements such as purchase price adjustments, earn-out obligations and indemnification obligations, which may have unpredictable financial results.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As a result of our acquisitions, we have recorded goodwill and other assets on our balance sheet and if we are not able to realize the value of these assets, or if the fair value of our investments declines, we may be required to incur impairment charges.</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We may have interests that diverge from those of our strategic partners and we may not be able to direct the management and operations of the strategic relationship in the manner we believe is most appropriate, exposing us to additional risk.</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The estimates of market opportunity and forecasts of market growth included in this Annual Report may prove to be inaccurate, and even if the markets in which we compete achieve the forecasted growth, our business could fail to grow at similar rates, or at all.</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estimates of market opportunity and forecasts of market growth included in this Annual Report may prove to be inaccurate. Market opportunity estimates and growth forecasts are subject to significant uncertainty and are based on assumptions and estimates that may not prove to be accurate, including as a result of any of the risks described in this Annual Report.</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variables that go into the calculation of our market opportunity are subject to change over time, and there is no guarantee that any particular number or percentage of addressable users or companies covered by our market opportunity estimates will purchase our products at all or generate any particular level of revenue for us. In addition, our ability to expand in any of our target markets depends on a number of factors, including the widespread awareness among key organizational decision makers of, and the cost, performance, and perceived value associated with, our platform and products and those of our competitors. Even if the markets in which we compete meet the size estimates and growth forecasted in this Annual Report, our business could fail to grow at similar rates, or at all. Our growth is subject to many factors, including our success in implementing our business strategy, which is subject to many risks and uncertainties. Accordingly, the forecasts of market growth included in this Annual Report should not be taken as indicative of our future growth.</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39</w:t>
      </w:r>
    </w:p>
    <w:p>
      <w:pPr>
        <w:pStyle w:val="HorizontalLine"/>
        <w:bidi w:val="0"/>
        <w:spacing w:before="200" w:after="200"/>
        <w:jc w:val="left"/>
        <w:rPr/>
      </w:pPr>
      <w:r>
        <w:rPr/>
      </w:r>
    </w:p>
    <w:p>
      <w:pPr>
        <w:pStyle w:val="TextBody"/>
        <w:bidi w:val="0"/>
        <w:spacing w:lineRule="auto" w:line="300" w:before="0" w:after="0"/>
        <w:jc w:val="both"/>
        <w:rPr>
          <w:b/>
          <w:i/>
          <w:sz w:val="20"/>
        </w:rPr>
      </w:pPr>
      <w:r>
        <w:rPr>
          <w:b/>
          <w:i/>
          <w:sz w:val="20"/>
        </w:rPr>
        <w:t>If our estimates or judgments relating to our critical accounting policies are based on assumptions that change or prove to be incorrect, our results of operations could fall below the expectations of securities analysts and investors, resulting in a decline in the trading price of our ordinary shares.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the section titled “Operating and Financial Review and Prospects’” included elsewhere in this Annual Report, the results of which form the basis for making judgments about the carrying values of assets, liabilities, equity, revenue, and expenses that are not readily apparent from other sources. Our results of operations may be adversely affected if our assumptions change or if actual circumstances differ from those in our assumptions, which could cause our results of operations to fall below our publicly announced guidance or the expectations of securities analysts and investors, resulting in a decline in the market price of our ordinary shares.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Increased attention to, and evolving expectations for, environmental, social, and governance (“ESG”) initiatives could increase our costs, harm our reputation, or otherwise adversely impact our business.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Companies across industries are facing increasing scrutiny from a variety of stakeholders related to their ESG and sustainability practices. Expectations regarding voluntary ESG initiatives and disclosures and consumer demand for alternative forms of energy may result in increased costs (including but not limited to increased costs related to compliance, stakeholder engagement, contracting and insurance), changes in demand for certain products, enhanced compliance or disclosure obligations, or other adverse impacts to our business, financial condition, or results of operations.</w:t>
      </w:r>
    </w:p>
    <w:p>
      <w:pPr>
        <w:pStyle w:val="TextBody"/>
        <w:bidi w:val="0"/>
        <w:spacing w:lineRule="auto" w:line="300" w:before="0" w:after="0"/>
        <w:jc w:val="both"/>
        <w:rPr/>
      </w:pPr>
      <w:r>
        <w:rPr/>
      </w:r>
    </w:p>
    <w:p>
      <w:pPr>
        <w:pStyle w:val="TextBody"/>
        <w:bidi w:val="0"/>
        <w:spacing w:lineRule="auto" w:line="300" w:before="0" w:after="0"/>
        <w:ind w:left="0" w:right="0" w:firstLine="490"/>
        <w:jc w:val="both"/>
        <w:rPr>
          <w:sz w:val="20"/>
        </w:rPr>
      </w:pPr>
      <w:r>
        <w:rPr>
          <w:sz w:val="20"/>
        </w:rPr>
        <w:t>While we may at times engage in voluntary initiatives (such as voluntary disclosures, certifications, or goals, among others) or commitments to improve the ESG profile of our company and/or products, such initiatives or achievements of such commitments may be costly and may not have the desired effect. For example, expectations around a company's management of ESG matters continues to evolve rapidly, in many instances due to factors that are out of our control. In addition, we may commit to certain initiatives or goals but not ultimately achieve such commitments or goals due to factors that are both within or outside of our control. Moreover, actions or statements that we may take based on expectations, assumptions, or third-party information that we currently believe to be reasonable may subsequently be determined to be erroneous or be subject to misinterpretation. Even if this is not the case, our current actions may subsequently be determined to be insufficient by various stakeholders, and we may be subject to investor or regulator engagement on our ESG initiatives and disclosures, even if such initiatives are currently voluntary.</w:t>
      </w:r>
    </w:p>
    <w:p>
      <w:pPr>
        <w:pStyle w:val="TextBody"/>
        <w:bidi w:val="0"/>
        <w:spacing w:lineRule="auto" w:line="300" w:before="0" w:after="0"/>
        <w:jc w:val="both"/>
        <w:rPr/>
      </w:pPr>
      <w:r>
        <w:rPr/>
      </w:r>
    </w:p>
    <w:p>
      <w:pPr>
        <w:pStyle w:val="TextBody"/>
        <w:bidi w:val="0"/>
        <w:spacing w:lineRule="auto" w:line="300" w:before="0" w:after="0"/>
        <w:ind w:left="0" w:right="0" w:firstLine="490"/>
        <w:jc w:val="both"/>
        <w:rPr>
          <w:sz w:val="20"/>
        </w:rPr>
      </w:pPr>
      <w:r>
        <w:rPr>
          <w:sz w:val="20"/>
        </w:rPr>
        <w:t>Certain market participants, including major institutional investors and capital providers, use third-party benchmarks and scores to assess companies’ ESG profiles in making investment or voting decisions. Unfavorable ESG ratings could lead to increased negative investor sentiment towards us or our industry, which could negatively impact our share price as well as our access to and cost of capital. Increasing ESG-related regulation, including disclosure obligations that policymakers such as the SEC and European Union have adopted or are considering adopting, may also result in increased compliance costs or scrutiny. Simultaneously, there are efforts by some parties, including certain policymakers, to reduce or eliminate companies’ consideration of certain ESG matters. Both advocates and opponents of ESG initiatives are increasingly resorting to a range of activism forms, including media campaigns and litigation, to advance their perspectives. To the extent we are subject to such activism, it may require us to incur costs or otherwise adversely impact our business. To the extent ESG matters negatively impact our reputation, it may also impede our ability to compete as effectively to attract and retain employees or customers, which may adversely impact our operations. Such ESG matters may also impact our suppliers and customers, which may augment or cause additional impacts on our business, financial condition, or results of operations.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Our insurance may not provide adequate levels of coverage against claims.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believe that we maintain insurance customary for businesses of our size and type. However, there are types of losses we may incur that cannot be insured against or that we believe are not economically reasonable to insure. Moreover, any loss incurred could exceed policy limits and policy payments made to us may not be made on a timely basis.</w:t>
      </w:r>
    </w:p>
    <w:p>
      <w:pPr>
        <w:pStyle w:val="TextBody"/>
        <w:bidi w:val="0"/>
        <w:spacing w:lineRule="auto" w:line="300" w:before="0" w:after="0"/>
        <w:jc w:val="left"/>
        <w:rPr/>
      </w:pPr>
      <w:r>
        <w:rPr/>
      </w:r>
    </w:p>
    <w:p>
      <w:pPr>
        <w:pStyle w:val="TextBody"/>
        <w:bidi w:val="0"/>
        <w:spacing w:lineRule="auto" w:line="300" w:before="0" w:after="0"/>
        <w:jc w:val="left"/>
        <w:rPr>
          <w:b/>
          <w:sz w:val="20"/>
        </w:rPr>
      </w:pPr>
      <w:bookmarkStart w:id="63" w:name="Item4"/>
      <w:bookmarkEnd w:id="63"/>
      <w:r>
        <w:rPr>
          <w:b/>
          <w:sz w:val="20"/>
        </w:rPr>
        <w:t>Item 4. Information on the Company</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4" w:name="z901c1108081d4c939d1f8af1fd09b70b"/>
      <w:bookmarkStart w:id="65" w:name="z901c1108081d4c939d1f8af1fd09b70b"/>
      <w:bookmarkEnd w:id="65"/>
    </w:p>
    <w:tbl>
      <w:tblPr>
        <w:tblW w:w="4600" w:type="dxa"/>
        <w:jc w:val="left"/>
        <w:tblInd w:w="0" w:type="dxa"/>
        <w:tblLayout w:type="fixed"/>
        <w:tblCellMar>
          <w:top w:w="0" w:type="dxa"/>
          <w:left w:w="0" w:type="dxa"/>
          <w:bottom w:w="0" w:type="dxa"/>
          <w:right w:w="0" w:type="dxa"/>
        </w:tblCellMar>
      </w:tblPr>
      <w:tblGrid>
        <w:gridCol w:w="275"/>
        <w:gridCol w:w="4325"/>
      </w:tblGrid>
      <w:tr>
        <w:trPr/>
        <w:tc>
          <w:tcPr>
            <w:tcW w:w="275" w:type="dxa"/>
            <w:tcBorders/>
            <w:vAlign w:val="center"/>
          </w:tcPr>
          <w:p>
            <w:pPr>
              <w:pStyle w:val="TableContents"/>
              <w:bidi w:val="0"/>
              <w:spacing w:lineRule="auto" w:line="300" w:before="0" w:after="0"/>
              <w:jc w:val="left"/>
              <w:rPr>
                <w:b/>
              </w:rPr>
            </w:pPr>
            <w:r>
              <w:rPr>
                <w:b/>
              </w:rPr>
              <w:t>A.</w:t>
            </w:r>
          </w:p>
        </w:tc>
        <w:tc>
          <w:tcPr>
            <w:tcW w:w="4325" w:type="dxa"/>
            <w:tcBorders/>
            <w:vAlign w:val="center"/>
          </w:tcPr>
          <w:p>
            <w:pPr>
              <w:pStyle w:val="TableContents"/>
              <w:bidi w:val="0"/>
              <w:spacing w:lineRule="auto" w:line="300" w:before="0" w:after="0"/>
              <w:jc w:val="both"/>
              <w:rPr>
                <w:b/>
              </w:rPr>
            </w:pPr>
            <w:r>
              <w:rPr>
                <w:b/>
              </w:rPr>
              <w:t>History and Development of the Company</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WalkMe Ltd. was founded in October 2011 under the name Make Tutorial Ltd. and changed its legal name to WalkMe Ltd. in March of 2012. Our commercial name is WalkMe. In June 2021, we listed our shares on the Nasdaq Global Select Market under the symbol “WKME.” We are a company limited by shares organized under and subject to the laws of the State of Israel. We are registered with the Israeli Registrar of Companies. Our registration number is 51-4682269. Our principal executive offices are located at 1 Walter Moses St., Tel Aviv, 6789903, Israel.</w:t>
      </w:r>
    </w:p>
    <w:p>
      <w:pPr>
        <w:pStyle w:val="TextBody"/>
        <w:bidi w:val="0"/>
        <w:spacing w:lineRule="auto" w:line="300" w:before="0" w:after="0"/>
        <w:ind w:left="0" w:right="0" w:firstLine="49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40</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Our website address is www.walkme.com, and our telephone number is +972-3-763-0333. We use our website as a means of disclosing material non-public information. Such disclosures will be included on our website in the “Investor Relations” sections. Accordingly, investors should monitor such sections of our website, in addition to following our press releases, SEC filings and public conference calls and webcasts. Information contained on, or that can be accessed through, our website does not constitute a part of this Annual Report and is not incorporated by reference herein. We have included our website address in this Annual Report solely for informational purposes. Our SEC filings are available to you on the SEC’s website at http://www.sec.gov. This site contains reports and other information regarding issuers that file electronically with the SEC. The information on that website is not part of this Annual Report and is not incorporated by reference herein.</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490"/>
        <w:jc w:val="both"/>
        <w:rPr>
          <w:sz w:val="20"/>
        </w:rPr>
      </w:pPr>
      <w:r>
        <w:rPr>
          <w:sz w:val="20"/>
        </w:rPr>
        <w:t>Our agent for service of process in the United States is WalkMe, Inc., which maintains its principal offices at 71 Stevenson Street, Floor 20, San Francisco, CA 94105. Its telephone number is 855-492-5563.</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490"/>
        <w:jc w:val="both"/>
        <w:rPr>
          <w:sz w:val="20"/>
        </w:rPr>
      </w:pPr>
      <w:r>
        <w:rPr>
          <w:sz w:val="20"/>
        </w:rPr>
        <w:t>For a description of our principal capital expenditures and divestitures, see Item 5. “Operating and Financial Review and Prospects-Liquidity and Capital Resources” and Note 2 to our audited consolidated financial statements included elsewhere in this Annual Report.</w:t>
      </w:r>
    </w:p>
    <w:p>
      <w:pPr>
        <w:pStyle w:val="TextBody"/>
        <w:bidi w:val="0"/>
        <w:spacing w:lineRule="auto" w:line="300" w:before="0" w:after="0"/>
        <w:jc w:val="left"/>
        <w:rPr/>
      </w:pPr>
      <w:r>
        <w:rPr/>
      </w:r>
    </w:p>
    <w:p>
      <w:pPr>
        <w:pStyle w:val="TextBody"/>
        <w:bidi w:val="0"/>
        <w:spacing w:lineRule="auto" w:line="300" w:before="0" w:after="0"/>
        <w:ind w:left="0" w:right="0" w:firstLine="490"/>
        <w:jc w:val="both"/>
        <w:rPr>
          <w:rFonts w:ascii="Times New Roman;Times;serif" w:hAnsi="Times New Roman;Times;serif"/>
          <w:sz w:val="20"/>
        </w:rPr>
      </w:pPr>
      <w:r>
        <w:rPr>
          <w:rFonts w:ascii="Times New Roman;Times;serif" w:hAnsi="Times New Roman;Times;serif"/>
          <w:sz w:val="20"/>
        </w:rPr>
        <w:t>For a description of other important events in the development of the Company’s business, see Item 5. “Operating and Financial Review and Prospects.”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66" w:name="zcff43e9fb0654a8fa71d58282b06dcec"/>
      <w:bookmarkStart w:id="67" w:name="zcff43e9fb0654a8fa71d58282b06dcec"/>
      <w:bookmarkEnd w:id="67"/>
    </w:p>
    <w:tbl>
      <w:tblPr>
        <w:tblW w:w="2200" w:type="dxa"/>
        <w:jc w:val="left"/>
        <w:tblInd w:w="0" w:type="dxa"/>
        <w:tblLayout w:type="fixed"/>
        <w:tblCellMar>
          <w:top w:w="0" w:type="dxa"/>
          <w:left w:w="0" w:type="dxa"/>
          <w:bottom w:w="0" w:type="dxa"/>
          <w:right w:w="0" w:type="dxa"/>
        </w:tblCellMar>
      </w:tblPr>
      <w:tblGrid>
        <w:gridCol w:w="260"/>
        <w:gridCol w:w="1940"/>
      </w:tblGrid>
      <w:tr>
        <w:trPr/>
        <w:tc>
          <w:tcPr>
            <w:tcW w:w="260" w:type="dxa"/>
            <w:tcBorders/>
            <w:vAlign w:val="center"/>
          </w:tcPr>
          <w:p>
            <w:pPr>
              <w:pStyle w:val="TableContents"/>
              <w:bidi w:val="0"/>
              <w:spacing w:lineRule="auto" w:line="300" w:before="0" w:after="0"/>
              <w:jc w:val="both"/>
              <w:rPr>
                <w:b/>
              </w:rPr>
            </w:pPr>
            <w:r>
              <w:rPr>
                <w:b/>
              </w:rPr>
              <w:t>B.</w:t>
            </w:r>
          </w:p>
        </w:tc>
        <w:tc>
          <w:tcPr>
            <w:tcW w:w="1940" w:type="dxa"/>
            <w:tcBorders/>
            <w:vAlign w:val="center"/>
          </w:tcPr>
          <w:p>
            <w:pPr>
              <w:pStyle w:val="TableContents"/>
              <w:bidi w:val="0"/>
              <w:spacing w:lineRule="auto" w:line="300" w:before="0" w:after="0"/>
              <w:jc w:val="both"/>
              <w:rPr>
                <w:b/>
              </w:rPr>
            </w:pPr>
            <w:r>
              <w:rPr>
                <w:b/>
              </w:rPr>
              <w:t>Business Overview</w:t>
            </w:r>
          </w:p>
        </w:tc>
      </w:tr>
    </w:tbl>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Overview</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WalkMe pioneered the world’s leading Digital Adoption Platform (DAP) so companies can effectively navigate the constant change brought on by technology. Our AI-driven platform sits on top of an organization's technology stack, identifies where people experience friction in workflows and critical business processes, and delivers the personalized guidance and automation needed to reduce the friction and complete tasks, right in the flow of work.</w:t>
      </w:r>
    </w:p>
    <w:p>
      <w:pPr>
        <w:pStyle w:val="TextBody"/>
        <w:bidi w:val="0"/>
        <w:spacing w:lineRule="auto" w:line="300" w:before="0" w:after="0"/>
        <w:ind w:left="0" w:right="0" w:firstLine="490"/>
        <w:jc w:val="left"/>
        <w:rPr/>
      </w:pPr>
      <w:r>
        <w:rPr/>
        <w:t> </w:t>
      </w:r>
    </w:p>
    <w:p>
      <w:pPr>
        <w:pStyle w:val="TextBody"/>
        <w:bidi w:val="0"/>
        <w:spacing w:lineRule="auto" w:line="300" w:before="0" w:after="0"/>
        <w:ind w:left="0" w:right="0" w:firstLine="490"/>
        <w:jc w:val="both"/>
        <w:rPr>
          <w:sz w:val="20"/>
        </w:rPr>
      </w:pPr>
      <w:r>
        <w:rPr>
          <w:sz w:val="20"/>
        </w:rPr>
        <w:t>Using our unique, low/no code software implementation process, our platform overlays on any application to provide visibility into gaps between user interactions and intended business goals. With these data-driven insights, we enable organizations to optimize workflows by creating personalized experiences that drive user success, ensure frictionless adoption, and maximize value from software investments. This connects technology usage data to actions that improve experiences for the end user, driving better business outcomes.</w:t>
      </w:r>
    </w:p>
    <w:p>
      <w:pPr>
        <w:pStyle w:val="TextBody"/>
        <w:bidi w:val="0"/>
        <w:spacing w:lineRule="auto" w:line="300" w:before="0" w:after="0"/>
        <w:ind w:left="0" w:right="0" w:firstLine="490"/>
        <w:jc w:val="left"/>
        <w:rPr/>
      </w:pPr>
      <w:r>
        <w:rPr/>
        <w:t> </w:t>
      </w:r>
    </w:p>
    <w:p>
      <w:pPr>
        <w:pStyle w:val="TextBody"/>
        <w:bidi w:val="0"/>
        <w:spacing w:lineRule="auto" w:line="300" w:before="0" w:after="0"/>
        <w:ind w:left="0" w:right="0" w:firstLine="490"/>
        <w:jc w:val="both"/>
        <w:rPr>
          <w:sz w:val="20"/>
        </w:rPr>
      </w:pPr>
      <w:r>
        <w:rPr>
          <w:sz w:val="20"/>
        </w:rPr>
        <w:t>With a digital adoption strategy powered by WalkMe's platform, employees and customers are expected to benefit from intuitive and unified experiences. Executives and line-of-business leaders gain comprehensive visibility into workflow adoption and friction points across the enterprise technology stack—both for existing and newly introduced technologies. This equips organizations to become more data-driven, agile, and responsive to market demands and opportunities. By optimizing workflows, WalkMe’s platform is designed to accelerate digital strategy execution, drives consistent adoption of technology, and ultimately delivers on key business objectives—empowering organizations to achieve goals and remain competitive amid constant change.</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Technology continues to fundamentally transform how successful companies operate and compete. Worldwide IT spending is projected to total $5 trillion in 2024, an increase of 6.8% from 2023, according to a forecast by Gartner, Inc. in its Gartner Market Databook, 4Q23 Update. The Gartner report projects enterprise software spend to rise from $913 billion in 2023 to over $1 trillion in 2024 driven in part by organizations investing in the latest cloud-based applications.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Meanwhile, we are in the early stages of a new wave of digital transformation powered by AI. Investment in AI is ramping up quickly, with global AI-related spending expected to approach $200 billion by 2025 according to Goldman Sachs in its report “The Magnitude and Timing of the AI Investment Cycle”. According to a 2023 US Census Bureau survey, only 4% of US firms currently report using AI, but most CEOs expect to adopt AI capabilities across their organization within the next decade.</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According to a 2020 report by BCG titled ‘Flipping the Odds of Digital Transformation Success’, 70% of digital transformation initiatives have historically failed to achieve desired outcomes. This 'digital adoption gap' persists because people struggle to effectively navigate the constant change brought on by new technologies.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WalkMe pioneered the Digital Adoption Platform category to help organizations close this gap. By empowering employees, customers and partners to seamlessly adopt and utilize technologies to optimize workflows and drive results, WalkMe delivers on the promise of digital transformation investments.</w:t>
      </w:r>
    </w:p>
    <w:p>
      <w:pPr>
        <w:pStyle w:val="TextBody"/>
        <w:bidi w:val="0"/>
        <w:spacing w:lineRule="auto" w:line="300" w:before="0" w:after="0"/>
        <w:ind w:left="0" w:right="0" w:firstLine="49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41</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520"/>
        <w:jc w:val="both"/>
        <w:rPr>
          <w:sz w:val="20"/>
        </w:rPr>
      </w:pPr>
      <w:r>
        <w:rPr>
          <w:sz w:val="20"/>
        </w:rPr>
        <w:t>With successful digital transformation powered by a digital adoption strategy, organizations can achieve: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8" w:name="z11eb1036003d4c55ae0b8d38f97c4c88"/>
      <w:bookmarkStart w:id="69" w:name="z11eb1036003d4c55ae0b8d38f97c4c88"/>
      <w:bookmarkEnd w:id="69"/>
    </w:p>
    <w:tbl>
      <w:tblPr>
        <w:tblW w:w="8110" w:type="dxa"/>
        <w:jc w:val="left"/>
        <w:tblInd w:w="0" w:type="dxa"/>
        <w:tblLayout w:type="fixed"/>
        <w:tblCellMar>
          <w:top w:w="0" w:type="dxa"/>
          <w:left w:w="0" w:type="dxa"/>
          <w:bottom w:w="0" w:type="dxa"/>
          <w:right w:w="0" w:type="dxa"/>
        </w:tblCellMar>
      </w:tblPr>
      <w:tblGrid>
        <w:gridCol w:w="125"/>
        <w:gridCol w:w="7985"/>
      </w:tblGrid>
      <w:tr>
        <w:trPr/>
        <w:tc>
          <w:tcPr>
            <w:tcW w:w="125" w:type="dxa"/>
            <w:tcBorders/>
            <w:vAlign w:val="center"/>
          </w:tcPr>
          <w:p>
            <w:pPr>
              <w:pStyle w:val="TableContents"/>
              <w:bidi w:val="0"/>
              <w:spacing w:lineRule="auto" w:line="300" w:before="0" w:after="0"/>
              <w:jc w:val="left"/>
              <w:rPr/>
            </w:pPr>
            <w:r>
              <w:rPr/>
              <w:t>•</w:t>
            </w:r>
          </w:p>
        </w:tc>
        <w:tc>
          <w:tcPr>
            <w:tcW w:w="7985" w:type="dxa"/>
            <w:tcBorders/>
            <w:vAlign w:val="center"/>
          </w:tcPr>
          <w:p>
            <w:pPr>
              <w:pStyle w:val="TableContents"/>
              <w:bidi w:val="0"/>
              <w:spacing w:lineRule="auto" w:line="300" w:before="0" w:after="0"/>
              <w:jc w:val="left"/>
              <w:rPr/>
            </w:pPr>
            <w:r>
              <w:rPr/>
              <w:t>Visibility into workflow adoption and friction points, optimizing resource allocation;</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7985" w:type="dxa"/>
            <w:tcBorders/>
            <w:vAlign w:val="center"/>
          </w:tcPr>
          <w:p>
            <w:pPr>
              <w:pStyle w:val="TableContents"/>
              <w:bidi w:val="0"/>
              <w:spacing w:lineRule="auto" w:line="300" w:before="0" w:after="0"/>
              <w:jc w:val="left"/>
              <w:rPr/>
            </w:pPr>
            <w:r>
              <w:rPr/>
              <w:t>The ability to design streamlined, people-centric experiences that meet objectives;</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7985" w:type="dxa"/>
            <w:tcBorders/>
            <w:vAlign w:val="center"/>
          </w:tcPr>
          <w:p>
            <w:pPr>
              <w:pStyle w:val="TableContents"/>
              <w:bidi w:val="0"/>
              <w:spacing w:lineRule="auto" w:line="300" w:before="0" w:after="0"/>
              <w:jc w:val="left"/>
              <w:rPr/>
            </w:pPr>
            <w:r>
              <w:rPr/>
              <w:t>Quantifiable metrics tracking ROI on technologies against business goals; and</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7985" w:type="dxa"/>
            <w:tcBorders/>
            <w:vAlign w:val="center"/>
          </w:tcPr>
          <w:p>
            <w:pPr>
              <w:pStyle w:val="TableContents"/>
              <w:bidi w:val="0"/>
              <w:spacing w:lineRule="auto" w:line="300" w:before="0" w:after="0"/>
              <w:jc w:val="left"/>
              <w:rPr/>
            </w:pPr>
            <w:r>
              <w:rPr/>
              <w:t>Data and insights to continually refine processes amid constant change.</w:t>
            </w:r>
          </w:p>
        </w:tc>
      </w:tr>
    </w:tbl>
    <w:p>
      <w:pPr>
        <w:pStyle w:val="TextBody"/>
        <w:bidi w:val="0"/>
        <w:spacing w:lineRule="auto" w:line="300" w:before="0" w:after="0"/>
        <w:jc w:val="left"/>
        <w:rPr/>
      </w:pPr>
      <w:r>
        <w:rPr/>
        <w:t> </w:t>
      </w:r>
    </w:p>
    <w:p>
      <w:pPr>
        <w:pStyle w:val="TextBody"/>
        <w:bidi w:val="0"/>
        <w:spacing w:lineRule="auto" w:line="300" w:before="0" w:after="0"/>
        <w:ind w:left="0" w:right="0" w:firstLine="500"/>
        <w:jc w:val="both"/>
        <w:rPr>
          <w:sz w:val="20"/>
        </w:rPr>
      </w:pPr>
      <w:r>
        <w:rPr>
          <w:sz w:val="20"/>
        </w:rPr>
        <w:t>Additionally, digitally transformed organizations empower employees and customers through:</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70" w:name="zc95c62ae3a504128a5e66389ba5debb5"/>
      <w:bookmarkStart w:id="71" w:name="zc95c62ae3a504128a5e66389ba5debb5"/>
      <w:bookmarkEnd w:id="7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Intuitive experiences that simplify cross-application work;</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Efficient learning that increases productivity across workflows;</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Consolidated interfaces reducing complexity for users; and</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pPr>
            <w:r>
              <w:rPr/>
              <w:t>More frequent engagement with the business process, not just the software, which leads to increased retention.</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From new digital transformation programs to optimizing value out of existing technologies, we help organizations tie software adoption to their strategic goals across every level, from CIOs and business leaders, to employees and customers. As of December 31, 2023, through our Digital Adoption Platform, we had 1640 customers in 39 countries, including 34% of the Fortune 500.</w:t>
      </w:r>
    </w:p>
    <w:p>
      <w:pPr>
        <w:pStyle w:val="TextBody"/>
        <w:bidi w:val="0"/>
        <w:spacing w:lineRule="auto" w:line="300" w:before="0" w:after="0"/>
        <w:jc w:val="left"/>
        <w:rPr/>
      </w:pPr>
      <w:r>
        <w:rPr/>
        <w:t> </w:t>
      </w:r>
    </w:p>
    <w:p>
      <w:pPr>
        <w:pStyle w:val="TextBody"/>
        <w:bidi w:val="0"/>
        <w:spacing w:lineRule="auto" w:line="300" w:before="0" w:after="0"/>
        <w:ind w:left="0" w:right="0" w:firstLine="490"/>
        <w:jc w:val="both"/>
        <w:rPr>
          <w:sz w:val="20"/>
        </w:rPr>
      </w:pPr>
      <w:r>
        <w:rPr>
          <w:sz w:val="20"/>
        </w:rPr>
        <w:t>Our success in helping customers achieve their digital transformation strategies has allowed us to achieve substantial growth. For the years ended December 31, 2022 and 2023, our revenue was $245.0 million and $267.0 million, respectively, representing year-over-year growth of 9%. For the years ended December 31, 2022 and 2023, our net loss was $108.3 million and $56.8 million, respectively, our net cash provided by (used in) operating activities was ($46.8) million and $15.3 million, respectively, and our free cash flow was ($53.9) million and $11.5 million, respectively.</w:t>
      </w:r>
    </w:p>
    <w:p>
      <w:pPr>
        <w:pStyle w:val="TextBody"/>
        <w:bidi w:val="0"/>
        <w:spacing w:before="0" w:after="0"/>
        <w:jc w:val="left"/>
        <w:rPr/>
      </w:pPr>
      <w:r>
        <w:rPr/>
      </w:r>
    </w:p>
    <w:p>
      <w:pPr>
        <w:pStyle w:val="TextBody"/>
        <w:bidi w:val="0"/>
        <w:spacing w:lineRule="auto" w:line="300" w:before="0" w:after="0"/>
        <w:jc w:val="both"/>
        <w:rPr>
          <w:b/>
          <w:sz w:val="20"/>
        </w:rPr>
      </w:pPr>
      <w:r>
        <w:rPr>
          <w:b/>
          <w:sz w:val="20"/>
        </w:rPr>
        <w:t>Key Trends Driving the Need for a Digital Adoption Platform</w:t>
      </w:r>
    </w:p>
    <w:p>
      <w:pPr>
        <w:pStyle w:val="TextBody"/>
        <w:bidi w:val="0"/>
        <w:spacing w:lineRule="auto" w:line="300" w:before="0" w:after="0"/>
        <w:jc w:val="left"/>
        <w:rPr/>
      </w:pPr>
      <w:r>
        <w:rPr/>
      </w:r>
    </w:p>
    <w:p>
      <w:pPr>
        <w:pStyle w:val="TextBody"/>
        <w:bidi w:val="0"/>
        <w:spacing w:lineRule="auto" w:line="300" w:before="0" w:after="0"/>
        <w:ind w:left="0" w:right="0" w:firstLine="500"/>
        <w:jc w:val="both"/>
        <w:rPr>
          <w:sz w:val="20"/>
        </w:rPr>
      </w:pPr>
      <w:r>
        <w:rPr>
          <w:b/>
          <w:i/>
          <w:sz w:val="20"/>
        </w:rPr>
        <w:t xml:space="preserve">Digital transformation remains an urgent priority for enterprise organizations. </w:t>
      </w:r>
      <w:r>
        <w:rPr>
          <w:sz w:val="20"/>
        </w:rPr>
        <w:t>According to Gartner, global IT spend will reach $5 trillion in 2024, a 6.8% increase over 2023. Within that, enterprise software spend is expected to rise from $913 billion to over $1 trillion, representing more than 20% of IT budgets. According to Accenture’s Pulse of Change: 2024 Index, the rate of change affecting businesses is expected to accelerate in 2024. According to the Accenture report C-suite executives are anticipating this acceleration; 88% expect change to increase and 68% predict accelerated revenue growth, indicating that the 'Digital Achievement Gap' may widen further. Consequently, enterprises are recognizing the importance of increasing their software and technology budget allocations to drive successful digital transformation.</w:t>
      </w:r>
    </w:p>
    <w:p>
      <w:pPr>
        <w:pStyle w:val="TextBody"/>
        <w:bidi w:val="0"/>
        <w:spacing w:lineRule="auto" w:line="300" w:before="0" w:after="0"/>
        <w:jc w:val="both"/>
        <w:rPr/>
      </w:pPr>
      <w:r>
        <w:rPr/>
        <w:t> </w:t>
      </w:r>
    </w:p>
    <w:p>
      <w:pPr>
        <w:pStyle w:val="TextBody"/>
        <w:bidi w:val="0"/>
        <w:spacing w:lineRule="auto" w:line="300" w:before="0" w:after="0"/>
        <w:ind w:left="0" w:right="0" w:firstLine="500"/>
        <w:jc w:val="both"/>
        <w:rPr>
          <w:sz w:val="20"/>
        </w:rPr>
      </w:pPr>
      <w:r>
        <w:rPr>
          <w:b/>
          <w:i/>
          <w:sz w:val="20"/>
        </w:rPr>
        <w:t>In the post-pandemic era, the disruptions initiated by COVID-19 have evolved into a new landscape</w:t>
      </w:r>
      <w:r>
        <w:rPr>
          <w:sz w:val="20"/>
        </w:rPr>
        <w:t>. We believe the initial push for cloud migration and digital investments has transitioned into a strategic focus on optimizing technology return on investment as a result of macroeconomic shifts, such as inflation and rising interest rates. Organizations are now scrutinizing their software investments, driven by the need to ensure every piece of technology delivers tangible value. WalkMe’s latest ‘State of Digital Adoption’ report highlights this shift, revealing that 70% of enterprise leaders now view digital adoption as a ‘key performance indicator’.  Our 2024 survey indicates a 63% increase in investments towards digital adoption platforms.</w:t>
      </w:r>
    </w:p>
    <w:p>
      <w:pPr>
        <w:pStyle w:val="TextBody"/>
        <w:bidi w:val="0"/>
        <w:spacing w:lineRule="auto" w:line="300" w:before="0" w:after="0"/>
        <w:jc w:val="left"/>
        <w:rPr/>
      </w:pPr>
      <w:r>
        <w:rPr/>
      </w:r>
    </w:p>
    <w:p>
      <w:pPr>
        <w:pStyle w:val="TextBody"/>
        <w:bidi w:val="0"/>
        <w:spacing w:lineRule="auto" w:line="300" w:before="0" w:after="0"/>
        <w:ind w:left="0" w:right="0" w:firstLine="500"/>
        <w:jc w:val="both"/>
        <w:rPr>
          <w:sz w:val="20"/>
        </w:rPr>
      </w:pPr>
      <w:r>
        <w:rPr>
          <w:b/>
          <w:i/>
          <w:sz w:val="20"/>
        </w:rPr>
        <w:t xml:space="preserve">Digital transformation is dependent on people adopting new software applications. </w:t>
      </w:r>
      <w:r>
        <w:rPr>
          <w:sz w:val="20"/>
        </w:rPr>
        <w:t>According to OKTA's 'Business at Work 2023' report, larger companies deploy more applications, finding that companies with 2,000 employees or more deploy an average of 211 applications. Despite these investments, enterprises are not experiencing the promised returns on their digital transformation investments, largely, we believe, because their employees are overwhelmed by the increasing number of software applications they are being asked to learn and utilize, and because their customers are confused by new digital interactions that are constantly evolving as applications are updated. Additionally, business processes are constantly evolving to support changing business needs, resulting in more confusion and the need to relearn processes and applications. Enterprises require assistance bridging this gap between their digital transformation aspirations and the technical acumen of their internal and external users.</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42</w:t>
      </w:r>
    </w:p>
    <w:p>
      <w:pPr>
        <w:pStyle w:val="HorizontalLine"/>
        <w:bidi w:val="0"/>
        <w:spacing w:before="200" w:after="200"/>
        <w:jc w:val="left"/>
        <w:rPr/>
      </w:pPr>
      <w:r>
        <w:rPr/>
      </w:r>
    </w:p>
    <w:p>
      <w:pPr>
        <w:pStyle w:val="TextBody"/>
        <w:bidi w:val="0"/>
        <w:spacing w:lineRule="auto" w:line="300" w:before="0" w:after="0"/>
        <w:ind w:left="0" w:right="0" w:firstLine="520"/>
        <w:jc w:val="both"/>
        <w:rPr>
          <w:sz w:val="20"/>
        </w:rPr>
      </w:pPr>
      <w:r>
        <w:rPr>
          <w:b/>
          <w:i/>
          <w:sz w:val="20"/>
        </w:rPr>
        <w:t>Failure to adopt applications has significant costs for organizations</w:t>
      </w:r>
      <w:r>
        <w:rPr>
          <w:sz w:val="20"/>
        </w:rPr>
        <w:t>. According to internal WalkMe research, 38% of digital transformation efforts fail to meet their objectives because of a lack of adoption by end users, representing more than $12 million in wasted spend for the average enterprise.  Failed digital adoption in turn has fueled a productivity crisis in which employees spend 353 hours annually, equal to 43 working days, compensating for poor technology experiences costing enterprises an estimated $10,000 per employee every year. In total, lost productivity due to things like outdated change management models, poor support, and inefficient tracking of employees’ activity costs organizations $1.14 million every week.</w:t>
      </w:r>
    </w:p>
    <w:p>
      <w:pPr>
        <w:pStyle w:val="TextBody"/>
        <w:bidi w:val="0"/>
        <w:spacing w:lineRule="auto" w:line="300" w:before="0" w:after="0"/>
        <w:jc w:val="left"/>
        <w:rPr/>
      </w:pPr>
      <w:r>
        <w:rPr/>
      </w:r>
    </w:p>
    <w:p>
      <w:pPr>
        <w:pStyle w:val="TextBody"/>
        <w:bidi w:val="0"/>
        <w:spacing w:lineRule="auto" w:line="300" w:before="0" w:after="0"/>
        <w:ind w:left="0" w:right="0" w:firstLine="500"/>
        <w:jc w:val="both"/>
        <w:rPr>
          <w:sz w:val="20"/>
        </w:rPr>
      </w:pPr>
      <w:r>
        <w:rPr>
          <w:b/>
          <w:i/>
          <w:sz w:val="20"/>
        </w:rPr>
        <w:t>People need seamless experiences across workflows</w:t>
      </w:r>
      <w:r>
        <w:rPr>
          <w:sz w:val="20"/>
        </w:rPr>
        <w:t>. As consumer technology like smartphones and voice assistants advance, enterprise software seems increasingly cumbersome. This usability gap fuels user frustration and lost productivity. Moreover, in an era of distributed work, employees expect consumer-grade experiences executing cross-application workflows such as onboarding, lead management, procurement or expense management. Customers have even less patience navigating fragmented digital touchpoints. Friction can occur where technology and people intersect, hiding in the workflows connecting teams, tasks and systems. Without guidance, workflows easily break as applications rapidly change and people resort to unproductive workarounds that undermine adoption. We believe organizations must urgently prioritize optimizing these workflows with embedded guidance and automation to deliver intuitive experiences that simplify work across applications, despite relentless changes. Smoothing workflows to drive adoption while capturing user feedback is key to realizing a return on digital investments and to sustain competitive advantage as AI and other technologies reshape work.</w:t>
      </w:r>
    </w:p>
    <w:p>
      <w:pPr>
        <w:pStyle w:val="TextBody"/>
        <w:bidi w:val="0"/>
        <w:spacing w:lineRule="auto" w:line="300" w:before="0" w:after="0"/>
        <w:jc w:val="both"/>
        <w:rPr/>
      </w:pPr>
      <w:r>
        <w:rPr/>
        <w:t> </w:t>
      </w:r>
    </w:p>
    <w:p>
      <w:pPr>
        <w:pStyle w:val="TextBody"/>
        <w:bidi w:val="0"/>
        <w:spacing w:lineRule="auto" w:line="300" w:before="0" w:after="0"/>
        <w:ind w:left="0" w:right="0" w:firstLine="500"/>
        <w:jc w:val="both"/>
        <w:rPr>
          <w:sz w:val="20"/>
        </w:rPr>
      </w:pPr>
      <w:r>
        <w:rPr>
          <w:b/>
          <w:i/>
          <w:sz w:val="20"/>
        </w:rPr>
        <w:t>Business workflows span multiple enterprise applications across organizational silos.</w:t>
      </w:r>
      <w:r>
        <w:rPr>
          <w:sz w:val="20"/>
        </w:rPr>
        <w:t xml:space="preserve"> Employees depend on a vast array of software applications that cross organizational boundaries to perform their job functions. A sales employee may utilize CRM for pipeline management, project management tools for delivery tracking and multiple systems for order processing. According to a Harvard Business Review Analytic Services study, employees find these cross-application workflows over 40% more difficult to use than single application processes. When workflows span multiple applications without connective guidance, frustration builds, errors compound and adoption lags as employees struggle to manage multiple user interfaces and workflows across all systems. For executives and line of business leaders overseeing disjointed applications, lacking analytics into where these workflows break down obstructs their ability to make data-driven decisions. They remain blind to how friction within and across applications slows adoption, productivity and strategic outcomes. As companies rapidly adopt AI and other emerging technologies, we believe visibility into workflows and friction points will become increasingly imperative to obtaining desired business outcomes.</w:t>
      </w:r>
    </w:p>
    <w:p>
      <w:pPr>
        <w:pStyle w:val="TextBody"/>
        <w:bidi w:val="0"/>
        <w:spacing w:lineRule="auto" w:line="300" w:before="0" w:after="0"/>
        <w:ind w:left="0" w:right="0" w:firstLine="500"/>
        <w:jc w:val="both"/>
        <w:rPr/>
      </w:pPr>
      <w:r>
        <w:rPr/>
      </w:r>
    </w:p>
    <w:p>
      <w:pPr>
        <w:pStyle w:val="TextBody"/>
        <w:bidi w:val="0"/>
        <w:spacing w:lineRule="auto" w:line="300" w:before="0" w:after="0"/>
        <w:ind w:left="0" w:right="0" w:firstLine="500"/>
        <w:jc w:val="both"/>
        <w:rPr>
          <w:sz w:val="20"/>
        </w:rPr>
      </w:pPr>
      <w:r>
        <w:rPr>
          <w:b/>
          <w:i/>
          <w:sz w:val="20"/>
        </w:rPr>
        <w:t xml:space="preserve">Tech Savvy C-suite as Competitive Edge Driving DAP Adoption. </w:t>
      </w:r>
      <w:r>
        <w:rPr>
          <w:i/>
          <w:sz w:val="20"/>
          <w:u w:val="single"/>
        </w:rPr>
        <w:t>A</w:t>
      </w:r>
      <w:r>
        <w:rPr>
          <w:sz w:val="20"/>
        </w:rPr>
        <w:t> McKinsey survey titled ‘Three new mandates for capturing a digital transformation’s full value’ from 2022, highlighted that top economic performers are 70% more likely to have a digitally knowledgeable C-suite - and 2X more likely to sustain benefits of digital transformation. This highlights that digital success requires executive involvement beyond the traditional CIO role - and technology expertise as a strategic capability across leadership ranks. Becoming a digitally dexterous organization requires a shared accountability and vision to drive technology adoption. New CXO roles like Chief Data Officer and Chief Digital Officer now collaborate with their CIO counterparts to embed user guidance seamlessly across fragmented systems making digital adoption and workflow friction enterprise-wide KPIs. Our platform quantifies technology usage and workflows health organization-wide - combined with levers for tech savvy leaders to drive agility amidst constant technology change.</w:t>
      </w:r>
    </w:p>
    <w:p>
      <w:pPr>
        <w:pStyle w:val="TextBody"/>
        <w:bidi w:val="0"/>
        <w:spacing w:lineRule="auto" w:line="300" w:before="0" w:after="0"/>
        <w:jc w:val="left"/>
        <w:rPr/>
      </w:pPr>
      <w:r>
        <w:rPr/>
      </w:r>
    </w:p>
    <w:p>
      <w:pPr>
        <w:pStyle w:val="TextBody"/>
        <w:bidi w:val="0"/>
        <w:spacing w:lineRule="auto" w:line="300" w:before="0" w:after="0"/>
        <w:jc w:val="both"/>
        <w:rPr>
          <w:b/>
          <w:sz w:val="20"/>
        </w:rPr>
      </w:pPr>
      <w:r>
        <w:rPr>
          <w:b/>
          <w:sz w:val="20"/>
        </w:rPr>
        <w:t>WalkMe’s Digital Adoption Platform</w:t>
      </w:r>
    </w:p>
    <w:p>
      <w:pPr>
        <w:pStyle w:val="TextBody"/>
        <w:bidi w:val="0"/>
        <w:spacing w:lineRule="auto" w:line="300" w:before="0" w:after="0"/>
        <w:jc w:val="both"/>
        <w:rPr/>
      </w:pPr>
      <w:r>
        <w:rPr/>
        <w:t> </w:t>
      </w:r>
    </w:p>
    <w:p>
      <w:pPr>
        <w:pStyle w:val="TextBody"/>
        <w:bidi w:val="0"/>
        <w:spacing w:lineRule="auto" w:line="300" w:before="0" w:after="0"/>
        <w:ind w:left="0" w:right="0" w:firstLine="500"/>
        <w:jc w:val="both"/>
        <w:rPr>
          <w:sz w:val="20"/>
        </w:rPr>
      </w:pPr>
      <w:r>
        <w:rPr>
          <w:sz w:val="20"/>
        </w:rPr>
        <w:t>WalkMe’s AI-driven Digital Adoption Platform, helps companies effectively navigate change brought on by technology. WalkMe sits on top of an organization’s tech stack, identifies where people experience friction, and delivers the personalized guidance and automation needed to get the job done, workflow by workflow, right in the flow of work.</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43</w:t>
      </w:r>
    </w:p>
    <w:p>
      <w:pPr>
        <w:pStyle w:val="HorizontalLine"/>
        <w:bidi w:val="0"/>
        <w:spacing w:before="200" w:after="200"/>
        <w:jc w:val="left"/>
        <w:rPr/>
      </w:pPr>
      <w:r>
        <w:rPr/>
      </w:r>
    </w:p>
    <w:p>
      <w:pPr>
        <w:pStyle w:val="TextBody"/>
        <w:bidi w:val="0"/>
        <w:spacing w:lineRule="auto" w:line="300" w:before="0" w:after="0"/>
        <w:jc w:val="center"/>
        <w:rPr/>
      </w:pPr>
      <w:r>
        <w:rPr/>
        <w:drawing>
          <wp:inline distT="0" distB="0" distL="0" distR="0">
            <wp:extent cx="7658100" cy="105156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58100" cy="10515600"/>
                    </a:xfrm>
                    <a:prstGeom prst="rect">
                      <a:avLst/>
                    </a:prstGeom>
                  </pic:spPr>
                </pic:pic>
              </a:graphicData>
            </a:graphic>
          </wp:inline>
        </w:drawing>
      </w:r>
    </w:p>
    <w:p>
      <w:pPr>
        <w:pStyle w:val="TextBody"/>
        <w:bidi w:val="0"/>
        <w:spacing w:before="200" w:after="200"/>
        <w:jc w:val="center"/>
        <w:rPr>
          <w:b w:val="false"/>
          <w:i w:val="false"/>
          <w:caps w:val="false"/>
          <w:smallCaps w:val="false"/>
          <w:sz w:val="20"/>
        </w:rPr>
      </w:pPr>
      <w:r>
        <w:rPr>
          <w:b w:val="false"/>
          <w:i w:val="false"/>
          <w:caps w:val="false"/>
          <w:smallCaps w:val="false"/>
          <w:sz w:val="20"/>
        </w:rPr>
        <w:t>44</w:t>
      </w:r>
    </w:p>
    <w:p>
      <w:pPr>
        <w:pStyle w:val="HorizontalLine"/>
        <w:bidi w:val="0"/>
        <w:spacing w:before="200" w:after="200"/>
        <w:jc w:val="left"/>
        <w:rPr/>
      </w:pPr>
      <w:r>
        <w:rPr/>
      </w:r>
    </w:p>
    <w:p>
      <w:pPr>
        <w:pStyle w:val="TextBody"/>
        <w:bidi w:val="0"/>
        <w:spacing w:lineRule="auto" w:line="300" w:before="0" w:after="0"/>
        <w:jc w:val="center"/>
        <w:rPr/>
      </w:pPr>
      <w:r>
        <w:rPr/>
        <w:t> </w:t>
      </w:r>
      <w:r>
        <w:rPr/>
        <w:drawing>
          <wp:inline distT="0" distB="0" distL="0" distR="0">
            <wp:extent cx="9001125" cy="68103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01125" cy="6810375"/>
                    </a:xfrm>
                    <a:prstGeom prst="rect">
                      <a:avLst/>
                    </a:prstGeom>
                  </pic:spPr>
                </pic:pic>
              </a:graphicData>
            </a:graphic>
          </wp:inline>
        </w:drawing>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400"/>
        <w:jc w:val="both"/>
        <w:rPr>
          <w:sz w:val="20"/>
        </w:rPr>
      </w:pPr>
      <w:r>
        <w:rPr>
          <w:sz w:val="20"/>
        </w:rPr>
        <w:t>Our unified, strategic platform drives value through the following building blocks: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72" w:name="zebabb3a9f1dd492b9eda3069b42ea5a9"/>
      <w:bookmarkStart w:id="73" w:name="zebabb3a9f1dd492b9eda3069b42ea5a9"/>
      <w:bookmarkEnd w:id="73"/>
    </w:p>
    <w:tbl>
      <w:tblPr>
        <w:tblW w:w="10205" w:type="dxa"/>
        <w:jc w:val="left"/>
        <w:tblInd w:w="-15" w:type="dxa"/>
        <w:tblLayout w:type="fixed"/>
        <w:tblCellMar>
          <w:top w:w="28" w:type="dxa"/>
          <w:left w:w="28" w:type="dxa"/>
          <w:bottom w:w="28" w:type="dxa"/>
          <w:right w:w="0" w:type="dxa"/>
        </w:tblCellMar>
      </w:tblPr>
      <w:tblGrid>
        <w:gridCol w:w="5135"/>
        <w:gridCol w:w="5070"/>
      </w:tblGrid>
      <w:tr>
        <w:trPr/>
        <w:tc>
          <w:tcPr>
            <w:tcW w:w="5135" w:type="dxa"/>
            <w:tcBorders>
              <w:top w:val="single" w:sz="12" w:space="0" w:color="000000"/>
              <w:left w:val="single" w:sz="12" w:space="0" w:color="000000"/>
              <w:bottom w:val="single" w:sz="12" w:space="0" w:color="000000"/>
            </w:tcBorders>
            <w:vAlign w:val="center"/>
          </w:tcPr>
          <w:p>
            <w:pPr>
              <w:pStyle w:val="TableContents"/>
              <w:bidi w:val="0"/>
              <w:spacing w:lineRule="auto" w:line="300" w:before="0" w:after="0"/>
              <w:ind w:left="0" w:right="0" w:firstLine="400"/>
              <w:jc w:val="both"/>
              <w:rPr>
                <w:rFonts w:ascii="Times New Roman;Times;serif" w:hAnsi="Times New Roman;Times;serif"/>
              </w:rPr>
            </w:pPr>
            <w:r>
              <w:rPr>
                <w:rFonts w:ascii="Times New Roman;Times;serif" w:hAnsi="Times New Roman;Times;serif"/>
                <w:b/>
              </w:rPr>
              <w:t>Data:</w:t>
            </w:r>
            <w:r>
              <w:rPr>
                <w:rFonts w:ascii="Times New Roman;Times;serif" w:hAnsi="Times New Roman;Times;serif"/>
              </w:rPr>
              <w:t xml:space="preserve"> Providing visibility into the real usage and friction points in all the software running in the company, workflow by workflow, task by task so organizations can see what workflows they need to optimize and track success.</w:t>
            </w:r>
          </w:p>
        </w:tc>
        <w:tc>
          <w:tcPr>
            <w:tcW w:w="5070"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lineRule="auto" w:line="300" w:before="0" w:after="0"/>
              <w:jc w:val="left"/>
              <w:rPr/>
            </w:pPr>
            <w:r>
              <w:rPr/>
              <w:drawing>
                <wp:inline distT="0" distB="0" distL="0" distR="0">
                  <wp:extent cx="3181350" cy="21621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181350" cy="2162175"/>
                          </a:xfrm>
                          <a:prstGeom prst="rect">
                            <a:avLst/>
                          </a:prstGeom>
                        </pic:spPr>
                      </pic:pic>
                    </a:graphicData>
                  </a:graphic>
                </wp:inline>
              </w:drawing>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45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74" w:name="z6aedebbe657f41b1935ee3fd78e5b071"/>
      <w:bookmarkStart w:id="75" w:name="z6aedebbe657f41b1935ee3fd78e5b071"/>
      <w:bookmarkEnd w:id="75"/>
    </w:p>
    <w:tbl>
      <w:tblPr>
        <w:tblW w:w="10205" w:type="dxa"/>
        <w:jc w:val="left"/>
        <w:tblInd w:w="0" w:type="dxa"/>
        <w:tblLayout w:type="fixed"/>
        <w:tblCellMar>
          <w:top w:w="28" w:type="dxa"/>
          <w:left w:w="28" w:type="dxa"/>
          <w:bottom w:w="0" w:type="dxa"/>
          <w:right w:w="0" w:type="dxa"/>
        </w:tblCellMar>
      </w:tblPr>
      <w:tblGrid>
        <w:gridCol w:w="5105"/>
        <w:gridCol w:w="5100"/>
      </w:tblGrid>
      <w:tr>
        <w:trPr/>
        <w:tc>
          <w:tcPr>
            <w:tcW w:w="5105" w:type="dxa"/>
            <w:tcBorders>
              <w:top w:val="single" w:sz="2" w:space="0" w:color="000000"/>
              <w:left w:val="single" w:sz="2" w:space="0" w:color="000000"/>
            </w:tcBorders>
            <w:vAlign w:val="center"/>
          </w:tcPr>
          <w:p>
            <w:pPr>
              <w:pStyle w:val="TableContents"/>
              <w:bidi w:val="0"/>
              <w:spacing w:lineRule="auto" w:line="300" w:before="0" w:after="0"/>
              <w:ind w:left="0" w:right="0" w:firstLine="400"/>
              <w:jc w:val="both"/>
              <w:rPr>
                <w:rFonts w:ascii="Times New Roman;Times;serif" w:hAnsi="Times New Roman;Times;serif"/>
              </w:rPr>
            </w:pPr>
            <w:r>
              <w:rPr>
                <w:rFonts w:ascii="Times New Roman;Times;serif" w:hAnsi="Times New Roman;Times;serif"/>
                <w:b/>
              </w:rPr>
              <w:t>Action:</w:t>
            </w:r>
            <w:r>
              <w:rPr>
                <w:rFonts w:ascii="Times New Roman;Times;serif" w:hAnsi="Times New Roman;Times;serif"/>
              </w:rPr>
              <w:t xml:space="preserve"> Tools and preconfigured templates to reduce the friction in key workflows by building automations and personalized guidance delivered in the flow of work.</w:t>
            </w:r>
          </w:p>
        </w:tc>
        <w:tc>
          <w:tcPr>
            <w:tcW w:w="5100"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left"/>
              <w:rPr/>
            </w:pPr>
            <w:r>
              <w:rPr/>
              <w:drawing>
                <wp:inline distT="0" distB="0" distL="0" distR="0">
                  <wp:extent cx="3181350" cy="23145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181350" cy="2314575"/>
                          </a:xfrm>
                          <a:prstGeom prst="rect">
                            <a:avLst/>
                          </a:prstGeom>
                        </pic:spPr>
                      </pic:pic>
                    </a:graphicData>
                  </a:graphic>
                </wp:inline>
              </w:drawing>
            </w:r>
          </w:p>
        </w:tc>
      </w:tr>
      <w:tr>
        <w:trPr/>
        <w:tc>
          <w:tcPr>
            <w:tcW w:w="5105" w:type="dxa"/>
            <w:tcBorders>
              <w:top w:val="single" w:sz="2" w:space="0" w:color="000000"/>
              <w:left w:val="single" w:sz="2" w:space="0" w:color="000000"/>
              <w:bottom w:val="single" w:sz="2" w:space="0" w:color="000000"/>
            </w:tcBorders>
            <w:tcMar>
              <w:bottom w:w="28" w:type="dxa"/>
            </w:tcMar>
            <w:vAlign w:val="center"/>
          </w:tcPr>
          <w:p>
            <w:pPr>
              <w:pStyle w:val="TableContents"/>
              <w:bidi w:val="0"/>
              <w:spacing w:lineRule="auto" w:line="300" w:before="0" w:after="0"/>
              <w:ind w:left="0" w:right="0" w:firstLine="400"/>
              <w:jc w:val="both"/>
              <w:rPr>
                <w:rFonts w:ascii="Times New Roman;Times;serif" w:hAnsi="Times New Roman;Times;serif"/>
              </w:rPr>
            </w:pPr>
            <w:r>
              <w:rPr>
                <w:rFonts w:ascii="Times New Roman;Times;serif" w:hAnsi="Times New Roman;Times;serif"/>
                <w:b/>
              </w:rPr>
              <w:t>Experience:</w:t>
            </w:r>
            <w:r>
              <w:rPr>
                <w:rFonts w:ascii="Times New Roman;Times;serif" w:hAnsi="Times New Roman;Times;serif"/>
              </w:rPr>
              <w:t xml:space="preserve"> People-first experiences that provide in-app guidance, a conversational text-to-action interface to answer questions and initiative, and helpful notifications; all designed to help people navigate workflows effortlessly, even in the face of constant change.</w:t>
            </w:r>
          </w:p>
          <w:p>
            <w:pPr>
              <w:pStyle w:val="TableContents"/>
              <w:bidi w:val="0"/>
              <w:spacing w:lineRule="auto" w:line="300" w:before="0" w:after="0"/>
              <w:jc w:val="left"/>
              <w:rPr/>
            </w:pPr>
            <w:r>
              <w:rPr/>
              <w:t> </w:t>
            </w:r>
          </w:p>
        </w:tc>
        <w:tc>
          <w:tcPr>
            <w:tcW w:w="5100" w:type="dxa"/>
            <w:tcBorders>
              <w:top w:val="single" w:sz="2" w:space="0" w:color="000000"/>
              <w:left w:val="single" w:sz="2" w:space="0" w:color="000000"/>
              <w:bottom w:val="single" w:sz="2" w:space="0" w:color="000000"/>
              <w:right w:val="single" w:sz="2" w:space="0" w:color="000000"/>
            </w:tcBorders>
            <w:tcMar>
              <w:bottom w:w="28" w:type="dxa"/>
              <w:right w:w="28" w:type="dxa"/>
            </w:tcMar>
            <w:vAlign w:val="center"/>
          </w:tcPr>
          <w:p>
            <w:pPr>
              <w:pStyle w:val="TableContents"/>
              <w:bidi w:val="0"/>
              <w:spacing w:lineRule="auto" w:line="300" w:before="0" w:after="0"/>
              <w:jc w:val="left"/>
              <w:rPr/>
            </w:pPr>
            <w:r>
              <w:rPr/>
              <w:drawing>
                <wp:inline distT="0" distB="0" distL="0" distR="0">
                  <wp:extent cx="3181350" cy="22955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181350" cy="2295525"/>
                          </a:xfrm>
                          <a:prstGeom prst="rect">
                            <a:avLst/>
                          </a:prstGeom>
                        </pic:spPr>
                      </pic:pic>
                    </a:graphicData>
                  </a:graphic>
                </wp:inline>
              </w:drawing>
            </w:r>
          </w:p>
        </w:tc>
      </w:tr>
    </w:tbl>
    <w:p>
      <w:pPr>
        <w:pStyle w:val="TextBody"/>
        <w:bidi w:val="0"/>
        <w:spacing w:lineRule="auto" w:line="300" w:before="0" w:after="0"/>
        <w:jc w:val="left"/>
        <w:rPr/>
      </w:pPr>
      <w:r>
        <w:rPr/>
      </w:r>
    </w:p>
    <w:p>
      <w:pPr>
        <w:pStyle w:val="TextBody"/>
        <w:bidi w:val="0"/>
        <w:spacing w:lineRule="auto" w:line="300" w:before="0" w:after="0"/>
        <w:ind w:left="0" w:right="0" w:firstLine="500"/>
        <w:jc w:val="both"/>
        <w:rPr>
          <w:sz w:val="20"/>
        </w:rPr>
      </w:pPr>
      <w:r>
        <w:rPr>
          <w:sz w:val="20"/>
        </w:rPr>
        <w:t>The WalkMe platform is powered by DeepUI, our proprietary AI technology that understands software the way humans do. It automatically adjusts to the constant change in the underlying applications and can make recommendations for solving friction before it becomes a problem.</w:t>
      </w:r>
    </w:p>
    <w:p>
      <w:pPr>
        <w:pStyle w:val="TextBody"/>
        <w:bidi w:val="0"/>
        <w:spacing w:lineRule="auto" w:line="300" w:before="0" w:after="0"/>
        <w:jc w:val="left"/>
        <w:rPr/>
      </w:pPr>
      <w:r>
        <w:rPr/>
      </w:r>
    </w:p>
    <w:p>
      <w:pPr>
        <w:pStyle w:val="TextBody"/>
        <w:bidi w:val="0"/>
        <w:spacing w:lineRule="auto" w:line="300" w:before="0" w:after="0"/>
        <w:ind w:left="0" w:right="0" w:firstLine="500"/>
        <w:jc w:val="both"/>
        <w:rPr>
          <w:sz w:val="20"/>
        </w:rPr>
      </w:pPr>
      <w:r>
        <w:rPr>
          <w:sz w:val="20"/>
        </w:rPr>
        <w:t>WalkMe’s platform is delivered via web, desktop or mobile and pre-packaged to support the key workflows where friction is most often hiding, whether that be in one application, or workflows that span multiple apps. Organizations can start where digital adoption is needed most, and can easily pick the workflows they want to optimize next.</w:t>
      </w:r>
    </w:p>
    <w:p>
      <w:pPr>
        <w:pStyle w:val="TextBody"/>
        <w:bidi w:val="0"/>
        <w:spacing w:lineRule="auto" w:line="300" w:before="0" w:after="0"/>
        <w:jc w:val="center"/>
        <w:rPr/>
      </w:pPr>
      <w:r>
        <w:rPr/>
      </w:r>
    </w:p>
    <w:p>
      <w:pPr>
        <w:pStyle w:val="TextBody"/>
        <w:bidi w:val="0"/>
        <w:spacing w:lineRule="auto" w:line="300"/>
        <w:jc w:val="center"/>
        <w:rPr/>
      </w:pPr>
      <w:r>
        <w:rPr/>
        <w:drawing>
          <wp:inline distT="0" distB="0" distL="0" distR="0">
            <wp:extent cx="7439025" cy="34385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439025" cy="3438525"/>
                    </a:xfrm>
                    <a:prstGeom prst="rect">
                      <a:avLst/>
                    </a:prstGeom>
                  </pic:spPr>
                </pic:pic>
              </a:graphicData>
            </a:graphic>
          </wp:inline>
        </w:drawing>
      </w:r>
    </w:p>
    <w:p>
      <w:pPr>
        <w:pStyle w:val="TextBody"/>
        <w:bidi w:val="0"/>
        <w:spacing w:before="200" w:after="200"/>
        <w:jc w:val="center"/>
        <w:rPr>
          <w:b w:val="false"/>
          <w:i w:val="false"/>
          <w:caps w:val="false"/>
          <w:smallCaps w:val="false"/>
          <w:sz w:val="20"/>
        </w:rPr>
      </w:pPr>
      <w:r>
        <w:rPr>
          <w:b w:val="false"/>
          <w:i w:val="false"/>
          <w:caps w:val="false"/>
          <w:smallCaps w:val="false"/>
          <w:sz w:val="20"/>
        </w:rPr>
        <w:t>46</w:t>
      </w:r>
    </w:p>
    <w:p>
      <w:pPr>
        <w:pStyle w:val="HorizontalLine"/>
        <w:bidi w:val="0"/>
        <w:spacing w:before="200" w:after="200"/>
        <w:jc w:val="left"/>
        <w:rPr/>
      </w:pPr>
      <w:r>
        <w:rPr/>
      </w:r>
    </w:p>
    <w:p>
      <w:pPr>
        <w:pStyle w:val="TextBody"/>
        <w:bidi w:val="0"/>
        <w:spacing w:lineRule="auto" w:line="300" w:before="0" w:after="0"/>
        <w:jc w:val="center"/>
        <w:rPr/>
      </w:pPr>
      <w:r>
        <w:rPr/>
        <w:drawing>
          <wp:inline distT="0" distB="0" distL="0" distR="0">
            <wp:extent cx="7896225" cy="42957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896225" cy="4295775"/>
                    </a:xfrm>
                    <a:prstGeom prst="rect">
                      <a:avLst/>
                    </a:prstGeom>
                  </pic:spPr>
                </pic:pic>
              </a:graphicData>
            </a:graphic>
          </wp:inline>
        </w:drawing>
      </w:r>
    </w:p>
    <w:p>
      <w:pPr>
        <w:pStyle w:val="TextBody"/>
        <w:bidi w:val="0"/>
        <w:spacing w:lineRule="auto" w:line="300" w:before="0" w:after="0"/>
        <w:jc w:val="center"/>
        <w:rPr/>
      </w:pPr>
      <w:r>
        <w:rPr/>
        <w:drawing>
          <wp:inline distT="0" distB="0" distL="0" distR="0">
            <wp:extent cx="7696200" cy="43910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696200" cy="4391025"/>
                    </a:xfrm>
                    <a:prstGeom prst="rect">
                      <a:avLst/>
                    </a:prstGeom>
                  </pic:spPr>
                </pic:pic>
              </a:graphicData>
            </a:graphic>
          </wp:inline>
        </w:drawing>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Data- Driven Action Through User-Centric Technology Applicable Anywhere</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technology is designed to leverage the UI as the primary integration point to deliver our products. Unlike Application Programming Interfaces (“APIs”) which are not consistently available across applications and require developer resources to implement, our UI-focused approach allows us to deploy our Digital Adoption Platform across any application and deliver contextually aware, fully dynamic workflow guidance, automation and analytics.</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47</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Our Digital Adoption Platform drives the success of digital transformation initiatives by empowering enterprise technology buyers in line-of-business and IT with critical business insights to reduce the friction from key workflows and increase software adoption by taking data-driven action to improve the user experiences for employees and customers:</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76" w:name="zf2a251eb49044831af81352a24396df2"/>
      <w:bookmarkStart w:id="77" w:name="zf2a251eb49044831af81352a24396df2"/>
      <w:bookmarkEnd w:id="7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p>
            <w:pPr>
              <w:pStyle w:val="TableContents"/>
              <w:bidi w:val="0"/>
              <w:spacing w:lineRule="auto" w:line="300" w:before="0" w:after="0"/>
              <w:jc w:val="both"/>
              <w:rPr/>
            </w:pPr>
            <w:r>
              <w:rPr/>
              <w:t> </w:t>
            </w:r>
          </w:p>
        </w:tc>
        <w:tc>
          <w:tcPr>
            <w:tcW w:w="10080" w:type="dxa"/>
            <w:tcBorders/>
            <w:vAlign w:val="center"/>
          </w:tcPr>
          <w:p>
            <w:pPr>
              <w:pStyle w:val="TableContents"/>
              <w:bidi w:val="0"/>
              <w:spacing w:lineRule="auto" w:line="300" w:before="0" w:after="0"/>
              <w:jc w:val="both"/>
              <w:rPr/>
            </w:pPr>
            <w:r>
              <w:rPr>
                <w:b/>
              </w:rPr>
              <w:t>For IT and Business Leaders</w:t>
            </w:r>
            <w:r>
              <w:rPr/>
              <w:t>, our platform is required equipment for effectively navigating the constant change brought on by technology. It provides unified visibility, data and actionable insights across the organization’s software stack, to optimize key workflows across sales, HR, IT, finance and other domains and drive employees and customers to action.</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b/>
              </w:rPr>
              <w:t xml:space="preserve">A leading food and beverage company </w:t>
            </w:r>
            <w:r>
              <w:rPr/>
              <w:t>uses our Digital Adoption Platform to gain visibility into user behavior across applications and focus resources to target employees at the point in their journey that they need help. By automating common workflow processes and providing targeted support for others, they are realizing improved task completion rates of nearly two times prior levels, in some cases. Importantly, user satisfaction has increased and productivity gains have given employees more time to focus on higher value initiatives. </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78" w:name="z48c6b70f1b4740a898c266200a30277a"/>
      <w:bookmarkStart w:id="79" w:name="z48c6b70f1b4740a898c266200a30277a"/>
      <w:bookmarkEnd w:id="7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b/>
              </w:rPr>
              <w:t xml:space="preserve">For Employees, </w:t>
            </w:r>
            <w:r>
              <w:rPr/>
              <w:t>our platform provides in-app guidance, a text-to-action conversational interface to kick off tasks and answer questions, and helpful notifications on web, native mobile and desktop applications; all designed to help people navigate workflows effortlessly, even in the face of constant change.</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b/>
              </w:rPr>
              <w:t xml:space="preserve">A global pharmacy store chain </w:t>
            </w:r>
            <w:r>
              <w:rPr/>
              <w:t>utilized our technology to drive digital adoption across multiple apps that are relied upon by more than 220,000 employees globally, resulting in an average reduction of 50% in support tickets. During the pandemic, a key driver of WalkMe’s success was its role in standing up new technology with as little friction as possible.</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b/>
              </w:rPr>
              <w:t xml:space="preserve">A leading biotechnology company </w:t>
            </w:r>
            <w:r>
              <w:rPr/>
              <w:t>uses WalkMe across over 45 applications in over 11 languages to empower its workforce to be successful while continuing to deliver on its promises to employees and customers. WalkMe is used as a strategy for adoption of existing apps as well as a method of deploying new pieces of software. With WalkMe, they rolled out an enterprise wide HCM to 90,000+ employees with no formal training methods and user satisfaction ranking at 98% in some cases.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b/>
              </w:rPr>
              <w:t xml:space="preserve">For Customers, </w:t>
            </w:r>
            <w:r>
              <w:rPr/>
              <w:t>our platform can be deployed on any customer facing website or application to power self-service onboarding, feature engagement, support and more.</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b/>
              </w:rPr>
              <w:t xml:space="preserve">One of the world’s largest technology and consulting companies </w:t>
            </w:r>
            <w:r>
              <w:rPr/>
              <w:t>uses WalkMe to support onboarding, mitigate support tickets, and increase the success of their customers on over 20 B2B offerings. They’ve seen 6x increase in product adoption, 4x higher conversion rate, 80% revenue growth of digital offerings, and a 300% improvement in product usage consumption, and user retention.</w:t>
            </w:r>
          </w:p>
        </w:tc>
      </w:tr>
    </w:tbl>
    <w:p>
      <w:pPr>
        <w:pStyle w:val="TextBody"/>
        <w:bidi w:val="0"/>
        <w:spacing w:lineRule="auto" w:line="300" w:before="0" w:after="0"/>
        <w:jc w:val="left"/>
        <w:rPr/>
      </w:pPr>
      <w:r>
        <w:rPr/>
      </w:r>
    </w:p>
    <w:p>
      <w:pPr>
        <w:pStyle w:val="TextBody"/>
        <w:bidi w:val="0"/>
        <w:spacing w:lineRule="auto" w:line="300" w:before="0" w:after="0"/>
        <w:jc w:val="both"/>
        <w:rPr>
          <w:b/>
          <w:sz w:val="20"/>
        </w:rPr>
      </w:pPr>
      <w:r>
        <w:rPr>
          <w:b/>
          <w:sz w:val="20"/>
        </w:rPr>
        <w:t>Key Benefits of Our Digital Adoption Platform</w:t>
      </w:r>
    </w:p>
    <w:p>
      <w:pPr>
        <w:pStyle w:val="TextBody"/>
        <w:bidi w:val="0"/>
        <w:spacing w:lineRule="auto" w:line="300" w:before="0" w:after="0"/>
        <w:jc w:val="both"/>
        <w:rPr/>
      </w:pPr>
      <w:r>
        <w:rPr/>
        <w:t> </w:t>
      </w:r>
    </w:p>
    <w:p>
      <w:pPr>
        <w:pStyle w:val="TextBody"/>
        <w:bidi w:val="0"/>
        <w:spacing w:lineRule="auto" w:line="300" w:before="0" w:after="0"/>
        <w:ind w:left="0" w:right="0" w:firstLine="500"/>
        <w:jc w:val="both"/>
        <w:rPr>
          <w:sz w:val="20"/>
        </w:rPr>
      </w:pPr>
      <w:r>
        <w:rPr>
          <w:sz w:val="20"/>
        </w:rPr>
        <w:t>By overcoming the digital transformation challenge, organizations are better able to leverage technology to drive key business metrics that focus on mitigating risk for the business, driving efficiency and revenues. Our Digital Adoption Platform:</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80" w:name="z25658426b44844b498e50fb57c2731c0"/>
      <w:bookmarkStart w:id="81" w:name="z25658426b44844b498e50fb57c2731c0"/>
      <w:bookmarkEnd w:id="8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b/>
              </w:rPr>
              <w:t xml:space="preserve">Provides Insights to Help Leaders Drive Outcomes Across Workflows </w:t>
            </w:r>
            <w:r>
              <w:rPr/>
              <w:t>Executives leverage WalkMe’s analytics to gain clear insights and visibility into technology usage and experiences across critical workflows. Our proprietary technology surfaces insights like user engagement with third party applications and various features within them as well as comprehensive workflow insights. In addition, our platform provides extensive overview metrics quantifying enterprise-wide adoption rates workflow-by-workflow. Armed with this intelligence, leaders can connect workflows to strategic goals - spotlighting digital adoption levels and exact failure points for users. By shining a light on friction through analytics mapped to objectives, executives can now measure and optimize the processes technology is meant to enable, creating a responsive system to navigate unrelenting change across the digital landscape.</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b/>
              </w:rPr>
              <w:t xml:space="preserve">Delivers Immediate Value. </w:t>
            </w:r>
            <w:r>
              <w:rPr/>
              <w:t>Our technology provides leaders immediate visibility into technology adoption levels and friction points across business workflows. These real-time insights allow leaders to instantly spot barriers undermining productivity or compliance. Armed with analytics mapping usage to objectives, organizations can drive business process changes in real-time to smooth adoption even as new tools rollout. As companies rapidly onboard new solutions, WalkMe equips an organization’s employees to produce outcomes in the flow of work rather increasing employee productivity and successful business process adoption. </w:t>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48</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82" w:name="za1a06e393a064c1fa4ca6dc804cea5f0"/>
      <w:bookmarkStart w:id="83" w:name="za1a06e393a064c1fa4ca6dc804cea5f0"/>
      <w:bookmarkEnd w:id="8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b/>
              </w:rPr>
              <w:t>Optimizes Spend By Driving Full Utilization Across the Tech Stack</w:t>
            </w:r>
            <w:r>
              <w:rPr/>
              <w:t>. We enable organizations to extract greater value from software purchases through increased efficiency. For example, many companies use CRMs narrowly as contact databases rather than fully-featured revenue engines. Our platform provides analytics quantifying unused capabilities alongside guided experiences driving comprehensive usage. With workflows optimizing sales forecasting or service requests, we transform siloed software into integrated productivity drivers. Further, WalkMe Discovery specifically delivers visibility into true licensing utilization rates compared to current limited adoption. These usage insights empower businesses to right-size investments or improve adoption to capture value across the software stack.</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b/>
              </w:rPr>
              <w:t>Strategic Impact on Digital Adoption</w:t>
            </w:r>
            <w:r>
              <w:rPr/>
              <w:t>. According to a June 2023 IDC study commissioned by WalkMe, our Digital Adoption Platform delivered $41.4 million annually in total revenue gains from reduced customer churn, more repeat customers, and faster employee application adoption. The IDC data shows WalkMe drove 494% return on investment over 3 years by accelerating adoption 60%, cutting business errors 41%, and speeding migrations 45%. Additional results included 35% faster employee onboarding, 51% faster customer application adoption, and over 2X more clients leveraging new features.</w:t>
            </w:r>
          </w:p>
        </w:tc>
      </w:tr>
    </w:tbl>
    <w:p>
      <w:pPr>
        <w:pStyle w:val="TextBody"/>
        <w:bidi w:val="0"/>
        <w:spacing w:before="0" w:after="0"/>
        <w:jc w:val="left"/>
        <w:rPr/>
      </w:pPr>
      <w:r>
        <w:rPr/>
      </w:r>
      <w:bookmarkStart w:id="84" w:name="ze6b17f1823b440358a81920535c2ab35"/>
      <w:bookmarkStart w:id="85" w:name="ze6b17f1823b440358a81920535c2ab35"/>
      <w:bookmarkEnd w:id="8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b/>
              </w:rPr>
              <w:t xml:space="preserve">Increases Employee Productivity and Reduces Support Costs. </w:t>
            </w:r>
            <w:r>
              <w:rPr/>
              <w:t>By streamlining usage across software investments, WalkMe lifted employee productivity 26% according to the IDC study.  The study showed WalkMe cut IT support tickets 41%, leading to 45% faster project turnarounds and enabling 20% faster product launches.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b/>
              </w:rPr>
              <w:t xml:space="preserve">Improves Customer Engagement. </w:t>
            </w:r>
            <w:r>
              <w:rPr/>
              <w:t>By simplifying fragmented tasks, WalkMe grows customer retention and productivity.  The IDC study found users adopted new features 51% faster, while 2.3X more clients leverage latest offerings. This boost in user and customer lifecycle success delivered $41M in revenue annually, according to IDC.</w:t>
            </w:r>
          </w:p>
        </w:tc>
      </w:tr>
    </w:tbl>
    <w:p>
      <w:pPr>
        <w:pStyle w:val="TextBody"/>
        <w:bidi w:val="0"/>
        <w:spacing w:lineRule="auto" w:line="300" w:before="0" w:after="0"/>
        <w:jc w:val="left"/>
        <w:rPr/>
      </w:pPr>
      <w:r>
        <w:rPr/>
      </w:r>
    </w:p>
    <w:p>
      <w:pPr>
        <w:pStyle w:val="TextBody"/>
        <w:bidi w:val="0"/>
        <w:spacing w:lineRule="auto" w:line="300" w:before="0" w:after="0"/>
        <w:jc w:val="both"/>
        <w:rPr>
          <w:b/>
          <w:sz w:val="20"/>
        </w:rPr>
      </w:pPr>
      <w:r>
        <w:rPr>
          <w:b/>
          <w:sz w:val="20"/>
        </w:rPr>
        <w:t>Our Competitive Strengths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b/>
          <w:i/>
          <w:sz w:val="20"/>
        </w:rPr>
        <w:t xml:space="preserve">Category-defining platform powering digital transformation. </w:t>
      </w:r>
      <w:r>
        <w:rPr>
          <w:sz w:val="20"/>
        </w:rPr>
        <w:t>As the digital adoption category pioneer, WalkMe has earned the trust of 1,640 global enterprises - including over 34% of the Fortune 500.  Having powered digital transformations for over a decade, WalkMe offers the resilient, secure, and scalable platform required by the world's most innovative yet rigorous institutions. We help leaders navigate unrelenting change through insights and automation enabling productivity at the intersection of cross-functional workflows, next-generation AI capabilities, and people.</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b/>
          <w:i/>
          <w:sz w:val="20"/>
        </w:rPr>
        <w:t xml:space="preserve">Broad, rich dataset and AI/ML capabilities provide valuable insights and continuous optimization. </w:t>
      </w:r>
      <w:r>
        <w:rPr>
          <w:sz w:val="20"/>
        </w:rPr>
        <w:t>WalkMe captures user interaction data across 1,640 enterprises and hundreds of workflows amounting to over 7 billion annual user events. This expansive dataset feeds our proprietary machine learning technology to uncover precisely where users struggle and what automation opportunities exist workflow-by-workflow. We then provide these insights to customers as benchmarks for optimization. By continuously processing usage signals through our AI, WalkMe surfaces personalized guidance, automation triggers, and recommended improvements in real-time.</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b/>
          <w:i/>
          <w:sz w:val="20"/>
        </w:rPr>
        <w:t xml:space="preserve">DeepUI: Proprietary AI technology that recognizes user interfaces. </w:t>
      </w:r>
      <w:r>
        <w:rPr>
          <w:sz w:val="20"/>
        </w:rPr>
        <w:t>Our patented DeepUI technology leverages AI to operate as an additional layer on top of any user interface that is able to analyze and understand UI elements like a human would. By deploying this patented technology across thousands of software instances, we have developed unique insights into user behaviors and interfaces. This dataset powers WalkMe’s ability to auto-adapt guidance and automation to changes without costly overhaul significantly reducing maintenance requirements as organizations advance their digital strategies. For example, if an underlying application update impacts a workflow or a critical UI element has been displaced, DeepUI will detect the correct new UI element placement enabling continuity of experience for the end user. As interfaces rapidly transform with new waves of AI tools entering the workplace, we believe our patented DeepUI foundation will empower organizations to smoothly integrate innovations while keeping people productive.</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b/>
          <w:i/>
          <w:sz w:val="20"/>
        </w:rPr>
        <w:t xml:space="preserve">Workflow Accelerators Drive Scaled Productivity. </w:t>
      </w:r>
      <w:r>
        <w:rPr>
          <w:sz w:val="20"/>
        </w:rPr>
        <w:t>WalkMe’s Workflow Accelerators are a new, robust set of predefined automation and guidance templates designed to reduce friction across mission-critical processes. Based on insights gathered from 7 billion annual user interactions and 600,000+ deployments, Workflow Accelerators map to the most common pain points hindering productivity. Spanning HR, Sales, IT and other critical workflows, WalkMe’s pre-configured, customizable solutions address specific adoption obstacles and friction points task-by-task within the flow of work.</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490"/>
        <w:jc w:val="both"/>
        <w:rPr>
          <w:sz w:val="20"/>
        </w:rPr>
      </w:pPr>
      <w:r>
        <w:rPr>
          <w:b/>
          <w:i/>
          <w:sz w:val="20"/>
        </w:rPr>
        <w:t xml:space="preserve">Continued Expansion of our Ecosystem Advancing Digital Adoption Globally. </w:t>
      </w:r>
      <w:r>
        <w:rPr>
          <w:sz w:val="20"/>
        </w:rPr>
        <w:t>We are continuing to invest in growing brand strength and expanding the WalkMe Beyond ecosystem - our community of professionals, partners, and collaborators. With new integrator relationships, availability on cloud marketplaces, our Integration Center and Developer Hub enabling custom solutions, and a marketplace of digital adoption enthusiasts, WalkMe Beyond provides the connective tissue between WalkMe certified professionals and systems integrators guiding top transformations and practitioners optimizing workflows task-by-task. </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49</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b/>
          <w:i/>
          <w:sz w:val="20"/>
        </w:rPr>
        <w:t xml:space="preserve">Infrastructure agnostic and extensible technology. </w:t>
      </w:r>
      <w:r>
        <w:rPr>
          <w:sz w:val="20"/>
        </w:rPr>
        <w:t>Our Digital Adoption Platform can be deployed across any type of application including SaaS cloud applications, on-premise software on servers, on desktops or on mobile devices and across all operating systems. Because our platform works across all of these systems, our customers are able to optimize, automate and streamline their workflows across internally built, third-party application environments from a single platform. Our platform is easy to access and operate from anywhere, which is important for increasingly distributed and remote workforces.</w:t>
      </w:r>
    </w:p>
    <w:p>
      <w:pPr>
        <w:pStyle w:val="TextBody"/>
        <w:bidi w:val="0"/>
        <w:spacing w:lineRule="auto" w:line="300" w:before="0" w:after="0"/>
        <w:jc w:val="left"/>
        <w:rPr/>
      </w:pPr>
      <w:r>
        <w:rPr/>
      </w:r>
    </w:p>
    <w:p>
      <w:pPr>
        <w:pStyle w:val="TextBody"/>
        <w:bidi w:val="0"/>
        <w:spacing w:lineRule="auto" w:line="300" w:before="0" w:after="0"/>
        <w:jc w:val="both"/>
        <w:rPr>
          <w:b/>
          <w:sz w:val="20"/>
        </w:rPr>
      </w:pPr>
      <w:r>
        <w:rPr>
          <w:b/>
          <w:sz w:val="20"/>
        </w:rPr>
        <w:t>Our Growth Strategy</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intend to capitalize on our large market opportunity, first mover advantage and category-defining technology platform by executing the following key elements of our growth strategy:</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b/>
          <w:i/>
          <w:sz w:val="20"/>
        </w:rPr>
        <w:t xml:space="preserve">Innovate and advance our platform. </w:t>
      </w:r>
      <w:r>
        <w:rPr>
          <w:sz w:val="20"/>
        </w:rPr>
        <w:t>Our investments in research and development to build our technology have been a core differentiator for us. We released WalkMe for mobile applications in 2017, our Insights engine in 2018, and introduced ActionBot in 2019 and our patented UI Intelligence technology in 2019.  In 2020 we introduced Workstation, UI Intelligence in 2021 and in 2023 we launched Discovery to optimize software spend and Shadow AI which offers full visibility into AI use in organizations to promote safe and effective AI adoption.    We intend to continue to invest in technology innovation to enhance our platform, including machine-learning, hyper-automation and process mining/discovery technologies. For example, our DeepUI technology, which automatically understands user interfaces and user journeys, together with our broad, deep dataset, is uniquely positioned to integrate with generative AI content capabilities and natural language models to dramatically impact the model for how employees interface with technology at work.</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b/>
          <w:i/>
          <w:sz w:val="20"/>
        </w:rPr>
        <w:t xml:space="preserve">Acquire new customers. </w:t>
      </w:r>
      <w:r>
        <w:rPr>
          <w:sz w:val="20"/>
        </w:rPr>
        <w:t>We have achieved significant and broad-based customer adoption, including 410 of the Global 2000. We believe that we have a substantial opportunity to continue to grow our customer base. We intend to accelerate new customer acquisition across the markets that we serve as well as enter into new market segments by scaling our sales and marketing capabilities and channel relationships. As part of this strategy, we intend to increase our capacity, including investing in FedRamp certification for our platform and targeted sales and marketing resources, to increase our U.S. federal government customers.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b/>
          <w:i/>
          <w:sz w:val="20"/>
        </w:rPr>
        <w:t xml:space="preserve">Increase usage and spend from our existing customers. </w:t>
      </w:r>
      <w:r>
        <w:rPr>
          <w:sz w:val="20"/>
        </w:rPr>
        <w:t>Our customers often initially adopt WalkMe for a specific use case within a single department. After their initial adoption, our customers frequently expand to new users and use cases across additional applications within a department and ultimately to applications across the entire enterprise. Customers that we define as DAP customers who have deployed on four or more applications or have an ELA spend on average $738,333 in ARR compared to the average ARR of $168,683.We believe that our ease of use, depth, breadth of our platform, and, according to the TEI Study, a pay-back period of less than 3 months, will enable us to increase adoption by our existing customers.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In July 2023 we introduced a new pricing framework to better cater to our customer’s needs. Our new monetization strategy introduces a flexible model with three different landing options, a simplified packaging and pricing to make it easier for customers to get started with us and provide new routes for expansion.</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50</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b/>
          <w:sz w:val="20"/>
        </w:rPr>
        <w:t xml:space="preserve">Expand our ecosystem and go-to-market partnerships. </w:t>
      </w:r>
      <w:r>
        <w:rPr>
          <w:sz w:val="20"/>
        </w:rPr>
        <w:t>We intend to continue investing in our ecosystem and partner relationships to extend the functionality of our platform, support new use cases and add new go-to-market channels. With the likes of Deloitte, Accenture, PwC, NTT Data, and SAP Concur, among others, as partners, we have built a flexible technology platform with open APIs. Third-party developers can use these API's to develop and sell new applications and solutions through our WalkMe Marketplace, which will increase our value to our customers and further embed WalkMe as a strategic platform within the enterprise. In October 2023 we announced ‘Propel’, a new partner program tailored to give global &amp; regional services integrators as well as ISV/tech alliance partners a head-start in harnessing the rapidly-expanding Digital Adoption Platform market. In November 2023, we announced the availability of the WalkMe Digital Adoption Platform (DAP) on the AWS Marketplace, further extending our market reach to provide customers with enhanced accessibility to powerful digital adoption solutions. With this new capability, our customers can invest in DAP using their AWS account credits, dramatically simplifying the purchase process of WalkMe’s market-leading solution.</w:t>
      </w:r>
    </w:p>
    <w:p>
      <w:pPr>
        <w:pStyle w:val="TextBody"/>
        <w:bidi w:val="0"/>
        <w:spacing w:lineRule="auto" w:line="300" w:before="0" w:after="0"/>
        <w:ind w:left="0" w:right="0" w:firstLine="490"/>
        <w:jc w:val="both"/>
        <w:rPr/>
      </w:pPr>
      <w:r>
        <w:rPr/>
      </w:r>
    </w:p>
    <w:p>
      <w:pPr>
        <w:pStyle w:val="TextBody"/>
        <w:bidi w:val="0"/>
        <w:spacing w:lineRule="auto" w:line="300" w:before="0" w:after="0"/>
        <w:ind w:left="0" w:right="0" w:firstLine="490"/>
        <w:jc w:val="both"/>
        <w:rPr>
          <w:sz w:val="20"/>
        </w:rPr>
      </w:pPr>
      <w:r>
        <w:rPr>
          <w:sz w:val="20"/>
        </w:rPr>
        <w:t>We intend to continue to invest in building our partner relationships including our relationships with system integrators to increase our delivery capacity, add new go-to-market channels and increase our sales pipeline. We intend to continue to grow our ‘WalkMe Beyond’ ecosystem, digital adoption platform (“DAP”) professional as a Profession and our WalkMe Marketplace for independent professionals to offer services supporting WalkMe.</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b/>
          <w:i/>
          <w:sz w:val="20"/>
        </w:rPr>
        <w:t xml:space="preserve">Expand internationally. </w:t>
      </w:r>
      <w:r>
        <w:rPr>
          <w:sz w:val="20"/>
        </w:rPr>
        <w:t>We believe there is a global need for our Digital Adoption Platform. For the year ended December 31, 2023, approximately 30% of our revenue came from customers outside of the United States. We have made investments in expanding our presence in Europe, and APAC, and we believe there is a compelling opportunity to expand our offerings globally in those markets with minimal additional investment to our technology and infrastructure.</w:t>
      </w:r>
    </w:p>
    <w:p>
      <w:pPr>
        <w:pStyle w:val="TextBody"/>
        <w:bidi w:val="0"/>
        <w:spacing w:lineRule="auto" w:line="300" w:before="0" w:after="0"/>
        <w:jc w:val="left"/>
        <w:rPr/>
      </w:pPr>
      <w:r>
        <w:rPr/>
      </w:r>
    </w:p>
    <w:p>
      <w:pPr>
        <w:pStyle w:val="TextBody"/>
        <w:bidi w:val="0"/>
        <w:spacing w:lineRule="auto" w:line="300" w:before="0" w:after="0"/>
        <w:ind w:left="0" w:right="0" w:firstLine="490"/>
        <w:jc w:val="both"/>
        <w:rPr>
          <w:b/>
          <w:sz w:val="20"/>
        </w:rPr>
      </w:pPr>
      <w:r>
        <w:rPr>
          <w:b/>
          <w:sz w:val="20"/>
        </w:rPr>
        <w:t>Our Technology</w:t>
      </w:r>
    </w:p>
    <w:p>
      <w:pPr>
        <w:pStyle w:val="TextBody"/>
        <w:bidi w:val="0"/>
        <w:spacing w:lineRule="auto" w:line="300" w:before="0" w:after="0"/>
        <w:jc w:val="left"/>
        <w:rPr/>
      </w:pPr>
      <w:r>
        <w:rPr/>
      </w:r>
    </w:p>
    <w:p>
      <w:pPr>
        <w:pStyle w:val="TextBody"/>
        <w:bidi w:val="0"/>
        <w:spacing w:lineRule="auto" w:line="300" w:before="0" w:after="0"/>
        <w:ind w:left="0" w:right="0" w:firstLine="490"/>
        <w:jc w:val="center"/>
        <w:rPr/>
      </w:pPr>
      <w:r>
        <w:rPr/>
        <w:drawing>
          <wp:inline distT="0" distB="0" distL="0" distR="0">
            <wp:extent cx="6210300" cy="53149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210300" cy="5314950"/>
                    </a:xfrm>
                    <a:prstGeom prst="rect">
                      <a:avLst/>
                    </a:prstGeom>
                  </pic:spPr>
                </pic:pic>
              </a:graphicData>
            </a:graphic>
          </wp:inline>
        </w:drawing>
      </w:r>
      <w:r>
        <w:rPr/>
        <w:t xml:space="preserve"> </w:t>
      </w:r>
    </w:p>
    <w:p>
      <w:pPr>
        <w:pStyle w:val="TextBody"/>
        <w:bidi w:val="0"/>
        <w:spacing w:lineRule="auto" w:line="300" w:before="0" w:after="0"/>
        <w:jc w:val="center"/>
        <w:rPr/>
      </w:pPr>
      <w:r>
        <w:rPr/>
      </w:r>
    </w:p>
    <w:p>
      <w:pPr>
        <w:pStyle w:val="TextBody"/>
        <w:bidi w:val="0"/>
        <w:spacing w:lineRule="auto" w:line="300" w:before="200" w:after="200"/>
        <w:jc w:val="center"/>
        <w:rPr>
          <w:b w:val="false"/>
          <w:i w:val="false"/>
          <w:caps w:val="false"/>
          <w:smallCaps w:val="false"/>
          <w:sz w:val="20"/>
        </w:rPr>
      </w:pPr>
      <w:r>
        <w:rPr>
          <w:b w:val="false"/>
          <w:i w:val="false"/>
          <w:caps w:val="false"/>
          <w:smallCaps w:val="false"/>
          <w:sz w:val="20"/>
        </w:rPr>
        <w:t>51</w:t>
      </w:r>
    </w:p>
    <w:p>
      <w:pPr>
        <w:pStyle w:val="HorizontalLine"/>
        <w:bidi w:val="0"/>
        <w:spacing w:lineRule="auto" w:line="300" w:before="200" w:after="200"/>
        <w:ind w:left="0" w:right="0" w:firstLine="490"/>
        <w:jc w:val="center"/>
        <w:rPr/>
      </w:pPr>
      <w:r>
        <w:rPr/>
      </w:r>
    </w:p>
    <w:p>
      <w:pPr>
        <w:pStyle w:val="TextBody"/>
        <w:bidi w:val="0"/>
        <w:spacing w:lineRule="auto" w:line="300" w:before="0" w:after="0"/>
        <w:ind w:left="0" w:right="0" w:firstLine="490"/>
        <w:jc w:val="left"/>
        <w:rPr/>
      </w:pPr>
      <w:r>
        <w:rPr/>
      </w:r>
    </w:p>
    <w:p>
      <w:pPr>
        <w:pStyle w:val="TextBody"/>
        <w:bidi w:val="0"/>
        <w:spacing w:lineRule="auto" w:line="300" w:before="0" w:after="0"/>
        <w:ind w:left="0" w:right="0" w:firstLine="490"/>
        <w:jc w:val="both"/>
        <w:rPr>
          <w:sz w:val="20"/>
        </w:rPr>
      </w:pPr>
      <w:r>
        <w:rPr>
          <w:sz w:val="20"/>
        </w:rPr>
        <w:t>Our technology is designed to autonomously understand user behavior across digital journeys by leveraging the application UI as the primary integration point to deliver our products. Our UI-focused approach enables seamless integration and allows us to deploy our products across any application-including custom built software-to deliver contextually aware, fully dynamic workflow guidance, as well as automation and analytics based on the user needs. Our Digital Adoption Platform does not require any coding or changes to the underlying application to implement the seamless deployment of WalkMe across the applications used by our customers.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At the core of our UI-focused approach is DeepUI, our proprietary UI Intelligence technology. DeepUI leverages patented AI and machine learning algorithms to analyze any software application or website UI in relation to the user’s process flow context, navigation intent and permissions, among many other factors.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By understanding how users interact with the underlying elements of any application’s UI at a granular level, our Digital Adoption Platform is able to automatically adapt as applications are continuously updated. For example, just as a person would know how to recognize a login page because they have seen similar pages countless times before, our DeepUI technology recognizes the underlying elements of an application’s UI and automatically adapts to enable users to successfully navigate through any application process flow, regardless of changes to the underlying UI. In addition, our DeepUI technology drives reductions in operational and maintenance costs by removing the need to support manual updates triggered by version changes to the underlying application. We do this by periodically scanning the applications upon which our software is deployed and collecting user behavior metadata. We do this seamlessly, with no impact on the user.</w:t>
      </w:r>
    </w:p>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Our Core Principles in Building Our Technology</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No prerequisites and frictionless deployment on any digital asset</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technology is platform agnostic and supports any digital asset that is used by our customers, including all modern web browsers (desktop and mobile), mobile native applications (iOS and Android), and desktop operating systems (Windows and macOS).</w:t>
      </w:r>
    </w:p>
    <w:p>
      <w:pPr>
        <w:pStyle w:val="TextBody"/>
        <w:bidi w:val="0"/>
        <w:spacing w:lineRule="auto" w:line="300" w:before="0" w:after="0"/>
        <w:jc w:val="left"/>
        <w:rPr/>
      </w:pPr>
      <w:r>
        <w:rPr/>
      </w:r>
    </w:p>
    <w:p>
      <w:pPr>
        <w:pStyle w:val="TextBody"/>
        <w:bidi w:val="0"/>
        <w:spacing w:lineRule="auto" w:line="300" w:before="0" w:after="0"/>
        <w:jc w:val="both"/>
        <w:rPr>
          <w:i/>
          <w:sz w:val="20"/>
        </w:rPr>
      </w:pPr>
      <w:r>
        <w:rPr>
          <w:i/>
          <w:sz w:val="20"/>
        </w:rPr>
        <w:t>Simple and flexible deployment across any enterprise environment</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platform is easy to deploy across any enterprise, including complex IT environments and custom-built software. We support delivery through a browser extension, code snippet, mobile SDK, desktop agent, or through 3rd party apps.</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No-code simplicity, enterprise grade functionality</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designed our platform so that any individual can build complex implementations without the need for coding by leveraging our UI intelligence technology and our robust and easy-to-use editor. Like recording a macro in Office, our editor enables the building of Walkthroughs by recording the steps a user takes. This makes building content simple, fast and easy to maintain, while also supporting enterprise requirements such as collaboration by multiple users building on the same account, testing environments or versioning.</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Data-driven approach</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platform is built on a big-data pipeline that collects and processes on average billions of events every day, providing CIOs and business leaders visibility into the software stack and an understanding into digital experiences across applications. In order to monitor business goals, customers are able to leverage data, identify areas of improvement, apply digital adoption capabilities, define success and act upon it.</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Deliver extensible, agile and integration-ready platforms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platform achieves extensibility and agility by designing core services such as content management and user behavior analysis to be broadly applicable to any application. This reduces the complexity and the required effort needed to adopt new applications that are built to serve additional use cases. Furthermore, our platform is designed to be easily integrated with software utilized by our customers by exposing an API and set of tools for incoming and outgoing data integrations, in both batch mode as well as online.</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Cloud-native architecture for performance, reliability and availability</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software is built on a microservices-based architecture, leveraging public cloud infrastructure from Amazon Web Services and Google Cloud Platform. Our architecture is designed to be highly scalable and reliable, as it runs on top of business critical systems.</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52</w:t>
      </w:r>
    </w:p>
    <w:p>
      <w:pPr>
        <w:pStyle w:val="HorizontalLine"/>
        <w:bidi w:val="0"/>
        <w:spacing w:before="200" w:after="200"/>
        <w:jc w:val="left"/>
        <w:rPr/>
      </w:pPr>
      <w:r>
        <w:rPr/>
      </w:r>
    </w:p>
    <w:p>
      <w:pPr>
        <w:pStyle w:val="TextBody"/>
        <w:bidi w:val="0"/>
        <w:spacing w:lineRule="auto" w:line="300" w:before="0" w:after="0"/>
        <w:jc w:val="both"/>
        <w:rPr>
          <w:i/>
          <w:sz w:val="20"/>
        </w:rPr>
      </w:pPr>
      <w:r>
        <w:rPr>
          <w:i/>
          <w:sz w:val="20"/>
        </w:rPr>
        <w:t>Security and privacy by design</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WalkMe is ISO 27001 and SOC 2 Type II certified. In addition, we have developed features that provide our customers with security controls over their use of WalkMe that helps achieve their compliance with regulatory requirements. Additionally, our UI-focused integration approach supports improved security by aligning our Digital Adoption Platform with the user role-based policies already integrated within the application.</w:t>
      </w:r>
    </w:p>
    <w:p>
      <w:pPr>
        <w:pStyle w:val="TextBody"/>
        <w:bidi w:val="0"/>
        <w:spacing w:lineRule="auto" w:line="300" w:before="0" w:after="0"/>
        <w:jc w:val="both"/>
        <w:rPr/>
      </w:pPr>
      <w:r>
        <w:rPr/>
        <w:t> </w:t>
      </w:r>
    </w:p>
    <w:p>
      <w:pPr>
        <w:pStyle w:val="TextBody"/>
        <w:bidi w:val="0"/>
        <w:spacing w:lineRule="auto" w:line="300" w:before="0" w:after="0"/>
        <w:jc w:val="left"/>
        <w:rPr/>
      </w:pPr>
      <w:r>
        <w:rPr/>
        <w:t> </w:t>
      </w:r>
      <w:r>
        <w:rPr>
          <w:b/>
          <w:sz w:val="20"/>
        </w:rPr>
        <w:t>Customers</w:t>
      </w:r>
      <w:r>
        <w:rPr>
          <w:sz w:val="20"/>
        </w:rPr>
        <w:br/>
        <w:t> </w:t>
      </w:r>
    </w:p>
    <w:p>
      <w:pPr>
        <w:pStyle w:val="TextBody"/>
        <w:bidi w:val="0"/>
        <w:spacing w:lineRule="auto" w:line="300" w:before="0" w:after="0"/>
        <w:ind w:left="0" w:right="0" w:firstLine="490"/>
        <w:jc w:val="both"/>
        <w:rPr>
          <w:sz w:val="20"/>
        </w:rPr>
      </w:pPr>
      <w:r>
        <w:rPr>
          <w:sz w:val="20"/>
        </w:rPr>
        <w:t xml:space="preserve">We serve a diverse set of customers across all major industries, including some of the world’s largest and most sophisticated enterprises. As of December 31, 2023, we had approximately 1,640 customers including 410 of the Global 2000, as well as 548 customers with ARR greater than $100,000 and 41 customers with ARR greater than $1,000,000. Below is a representative list of customers categorized by industry vertical. No single customer accounted for more than 3.1% of our ARR in the year ended December 31, 2022 and 2023, which does not take into account certain mergers or acquisitions that occurred during those years. </w:t>
      </w:r>
    </w:p>
    <w:p>
      <w:pPr>
        <w:pStyle w:val="Normal"/>
        <w:bidi w:val="0"/>
        <w:spacing w:before="0" w:after="0"/>
        <w:jc w:val="left"/>
        <w:rPr>
          <w:sz w:val="4"/>
          <w:szCs w:val="4"/>
        </w:rPr>
      </w:pPr>
      <w:r>
        <w:rPr>
          <w:sz w:val="4"/>
          <w:szCs w:val="4"/>
        </w:rPr>
      </w:r>
      <w:bookmarkStart w:id="86" w:name="z71d43acd567e468592f05b7a139ced13"/>
      <w:bookmarkStart w:id="87" w:name="z71d43acd567e468592f05b7a139ced13"/>
      <w:bookmarkEnd w:id="87"/>
    </w:p>
    <w:tbl>
      <w:tblPr>
        <w:tblW w:w="10205" w:type="dxa"/>
        <w:jc w:val="left"/>
        <w:tblInd w:w="0" w:type="dxa"/>
        <w:tblLayout w:type="fixed"/>
        <w:tblCellMar>
          <w:top w:w="0" w:type="dxa"/>
          <w:left w:w="0" w:type="dxa"/>
          <w:bottom w:w="28" w:type="dxa"/>
          <w:right w:w="0" w:type="dxa"/>
        </w:tblCellMar>
      </w:tblPr>
      <w:tblGrid>
        <w:gridCol w:w="2155"/>
        <w:gridCol w:w="60"/>
        <w:gridCol w:w="2084"/>
        <w:gridCol w:w="60"/>
        <w:gridCol w:w="2054"/>
        <w:gridCol w:w="60"/>
        <w:gridCol w:w="3732"/>
      </w:tblGrid>
      <w:tr>
        <w:trPr/>
        <w:tc>
          <w:tcPr>
            <w:tcW w:w="2155" w:type="dxa"/>
            <w:tcBorders>
              <w:bottom w:val="single" w:sz="12" w:space="0" w:color="000000"/>
            </w:tcBorders>
            <w:vAlign w:val="center"/>
          </w:tcPr>
          <w:p>
            <w:pPr>
              <w:pStyle w:val="TableContents"/>
              <w:bidi w:val="0"/>
              <w:spacing w:lineRule="auto" w:line="300" w:before="0" w:after="0"/>
              <w:jc w:val="both"/>
              <w:rPr>
                <w:b/>
              </w:rPr>
            </w:pPr>
            <w:r>
              <w:rPr>
                <w:b/>
              </w:rPr>
              <w:t>Consumer &amp; Retail</w:t>
            </w:r>
          </w:p>
        </w:tc>
        <w:tc>
          <w:tcPr>
            <w:tcW w:w="60" w:type="dxa"/>
            <w:tcBorders/>
            <w:tcMar>
              <w:bottom w:w="0" w:type="dxa"/>
            </w:tcMar>
            <w:vAlign w:val="center"/>
          </w:tcPr>
          <w:p>
            <w:pPr>
              <w:pStyle w:val="TableContents"/>
              <w:bidi w:val="0"/>
              <w:spacing w:lineRule="auto" w:line="300" w:before="0" w:after="0"/>
              <w:jc w:val="both"/>
              <w:rPr/>
            </w:pPr>
            <w:r>
              <w:rPr/>
              <w:t> </w:t>
            </w:r>
          </w:p>
        </w:tc>
        <w:tc>
          <w:tcPr>
            <w:tcW w:w="2084" w:type="dxa"/>
            <w:tcBorders>
              <w:bottom w:val="single" w:sz="12" w:space="0" w:color="000000"/>
            </w:tcBorders>
            <w:vAlign w:val="center"/>
          </w:tcPr>
          <w:p>
            <w:pPr>
              <w:pStyle w:val="TableContents"/>
              <w:bidi w:val="0"/>
              <w:spacing w:lineRule="auto" w:line="300" w:before="0" w:after="0"/>
              <w:jc w:val="both"/>
              <w:rPr>
                <w:b/>
              </w:rPr>
            </w:pPr>
            <w:r>
              <w:rPr>
                <w:b/>
              </w:rPr>
              <w:t>Technology</w:t>
            </w:r>
          </w:p>
        </w:tc>
        <w:tc>
          <w:tcPr>
            <w:tcW w:w="60" w:type="dxa"/>
            <w:tcBorders/>
            <w:tcMar>
              <w:bottom w:w="0" w:type="dxa"/>
            </w:tcMar>
            <w:vAlign w:val="center"/>
          </w:tcPr>
          <w:p>
            <w:pPr>
              <w:pStyle w:val="TableContents"/>
              <w:bidi w:val="0"/>
              <w:spacing w:lineRule="auto" w:line="300" w:before="0" w:after="0"/>
              <w:jc w:val="both"/>
              <w:rPr/>
            </w:pPr>
            <w:r>
              <w:rPr/>
              <w:t> </w:t>
            </w:r>
          </w:p>
        </w:tc>
        <w:tc>
          <w:tcPr>
            <w:tcW w:w="2054" w:type="dxa"/>
            <w:tcBorders>
              <w:bottom w:val="single" w:sz="12" w:space="0" w:color="000000"/>
            </w:tcBorders>
            <w:vAlign w:val="center"/>
          </w:tcPr>
          <w:p>
            <w:pPr>
              <w:pStyle w:val="TableContents"/>
              <w:bidi w:val="0"/>
              <w:spacing w:lineRule="auto" w:line="300" w:before="0" w:after="0"/>
              <w:jc w:val="both"/>
              <w:rPr>
                <w:b/>
              </w:rPr>
            </w:pPr>
            <w:r>
              <w:rPr>
                <w:b/>
              </w:rPr>
              <w:t>Financial Services</w:t>
            </w:r>
          </w:p>
        </w:tc>
        <w:tc>
          <w:tcPr>
            <w:tcW w:w="60" w:type="dxa"/>
            <w:tcBorders/>
            <w:tcMar>
              <w:bottom w:w="0" w:type="dxa"/>
            </w:tcMar>
            <w:vAlign w:val="center"/>
          </w:tcPr>
          <w:p>
            <w:pPr>
              <w:pStyle w:val="TableContents"/>
              <w:bidi w:val="0"/>
              <w:spacing w:lineRule="auto" w:line="300" w:before="0" w:after="0"/>
              <w:jc w:val="both"/>
              <w:rPr/>
            </w:pPr>
            <w:r>
              <w:rPr/>
              <w:t> </w:t>
            </w:r>
          </w:p>
          <w:p>
            <w:pPr>
              <w:pStyle w:val="TableContents"/>
              <w:bidi w:val="0"/>
              <w:spacing w:lineRule="auto" w:line="300" w:before="0" w:after="0"/>
              <w:jc w:val="both"/>
              <w:rPr/>
            </w:pPr>
            <w:r>
              <w:rPr/>
              <w:t> </w:t>
            </w:r>
          </w:p>
        </w:tc>
        <w:tc>
          <w:tcPr>
            <w:tcW w:w="3732" w:type="dxa"/>
            <w:tcBorders>
              <w:bottom w:val="single" w:sz="12" w:space="0" w:color="000000"/>
            </w:tcBorders>
            <w:vAlign w:val="center"/>
          </w:tcPr>
          <w:p>
            <w:pPr>
              <w:pStyle w:val="TableContents"/>
              <w:bidi w:val="0"/>
              <w:spacing w:lineRule="auto" w:line="300" w:before="0" w:after="0"/>
              <w:jc w:val="left"/>
              <w:rPr>
                <w:b/>
              </w:rPr>
            </w:pPr>
            <w:r>
              <w:rPr>
                <w:b/>
              </w:rPr>
              <w:t>Energy, Industrial, Transportation &amp; Travel </w:t>
            </w:r>
          </w:p>
        </w:tc>
      </w:tr>
      <w:tr>
        <w:trPr/>
        <w:tc>
          <w:tcPr>
            <w:tcW w:w="2155" w:type="dxa"/>
            <w:tcBorders/>
            <w:tcMar>
              <w:bottom w:w="0" w:type="dxa"/>
            </w:tcMar>
            <w:vAlign w:val="center"/>
          </w:tcPr>
          <w:p>
            <w:pPr>
              <w:pStyle w:val="TableContents"/>
              <w:bidi w:val="0"/>
              <w:spacing w:lineRule="auto" w:line="300" w:before="0" w:after="0"/>
              <w:jc w:val="both"/>
              <w:rPr/>
            </w:pPr>
            <w:r>
              <w:rPr/>
              <w:t>Nestle</w:t>
            </w:r>
          </w:p>
          <w:p>
            <w:pPr>
              <w:pStyle w:val="TableContents"/>
              <w:bidi w:val="0"/>
              <w:spacing w:lineRule="auto" w:line="300" w:before="0" w:after="0"/>
              <w:jc w:val="both"/>
              <w:rPr/>
            </w:pPr>
            <w:r>
              <w:rPr/>
              <w:t>Southern Glazers</w:t>
            </w:r>
          </w:p>
          <w:p>
            <w:pPr>
              <w:pStyle w:val="TableContents"/>
              <w:bidi w:val="0"/>
              <w:spacing w:lineRule="auto" w:line="300" w:before="0" w:after="0"/>
              <w:jc w:val="both"/>
              <w:rPr/>
            </w:pPr>
            <w:r>
              <w:rPr/>
              <w:t>Ulta</w:t>
            </w:r>
          </w:p>
          <w:p>
            <w:pPr>
              <w:pStyle w:val="TableContents"/>
              <w:bidi w:val="0"/>
              <w:spacing w:lineRule="auto" w:line="300" w:before="0" w:after="0"/>
              <w:jc w:val="both"/>
              <w:rPr/>
            </w:pPr>
            <w:r>
              <w:rPr/>
              <w:t>Overstock</w:t>
            </w:r>
          </w:p>
          <w:p>
            <w:pPr>
              <w:pStyle w:val="TableContents"/>
              <w:bidi w:val="0"/>
              <w:spacing w:lineRule="auto" w:line="300" w:before="0" w:after="0"/>
              <w:jc w:val="both"/>
              <w:rPr/>
            </w:pPr>
            <w:r>
              <w:rPr/>
              <w:t>Walgreens Boots Alliance</w:t>
            </w:r>
          </w:p>
          <w:p>
            <w:pPr>
              <w:pStyle w:val="TableContents"/>
              <w:bidi w:val="0"/>
              <w:spacing w:lineRule="auto" w:line="300" w:before="0" w:after="0"/>
              <w:jc w:val="both"/>
              <w:rPr/>
            </w:pPr>
            <w:r>
              <w:rPr/>
              <w:t>GOJO</w:t>
            </w:r>
          </w:p>
        </w:tc>
        <w:tc>
          <w:tcPr>
            <w:tcW w:w="60" w:type="dxa"/>
            <w:tcBorders/>
            <w:tcMar>
              <w:bottom w:w="0" w:type="dxa"/>
            </w:tcMar>
            <w:vAlign w:val="center"/>
          </w:tcPr>
          <w:p>
            <w:pPr>
              <w:pStyle w:val="TableContents"/>
              <w:bidi w:val="0"/>
              <w:spacing w:lineRule="auto" w:line="300" w:before="0" w:after="0"/>
              <w:jc w:val="both"/>
              <w:rPr/>
            </w:pPr>
            <w:r>
              <w:rPr/>
              <w:t> </w:t>
            </w:r>
          </w:p>
          <w:p>
            <w:pPr>
              <w:pStyle w:val="TableContents"/>
              <w:bidi w:val="0"/>
              <w:spacing w:lineRule="auto" w:line="300" w:before="0" w:after="0"/>
              <w:jc w:val="both"/>
              <w:rPr/>
            </w:pPr>
            <w:r>
              <w:rPr/>
              <w:t> </w:t>
            </w:r>
          </w:p>
        </w:tc>
        <w:tc>
          <w:tcPr>
            <w:tcW w:w="2084" w:type="dxa"/>
            <w:tcBorders/>
            <w:tcMar>
              <w:bottom w:w="0" w:type="dxa"/>
            </w:tcMar>
            <w:vAlign w:val="center"/>
          </w:tcPr>
          <w:p>
            <w:pPr>
              <w:pStyle w:val="TableContents"/>
              <w:bidi w:val="0"/>
              <w:spacing w:lineRule="auto" w:line="300" w:before="0" w:after="0"/>
              <w:jc w:val="both"/>
              <w:rPr/>
            </w:pPr>
            <w:r>
              <w:rPr/>
              <w:t>LinkedIn</w:t>
            </w:r>
          </w:p>
          <w:p>
            <w:pPr>
              <w:pStyle w:val="TableContents"/>
              <w:bidi w:val="0"/>
              <w:spacing w:lineRule="auto" w:line="300" w:before="0" w:after="0"/>
              <w:jc w:val="both"/>
              <w:rPr/>
            </w:pPr>
            <w:r>
              <w:rPr/>
              <w:t>Sprinklr</w:t>
            </w:r>
          </w:p>
          <w:p>
            <w:pPr>
              <w:pStyle w:val="TableContents"/>
              <w:bidi w:val="0"/>
              <w:spacing w:lineRule="auto" w:line="300" w:before="0" w:after="0"/>
              <w:jc w:val="both"/>
              <w:rPr/>
            </w:pPr>
            <w:r>
              <w:rPr/>
              <w:t>HP</w:t>
            </w:r>
          </w:p>
          <w:p>
            <w:pPr>
              <w:pStyle w:val="TableContents"/>
              <w:bidi w:val="0"/>
              <w:spacing w:lineRule="auto" w:line="300" w:before="0" w:after="0"/>
              <w:jc w:val="both"/>
              <w:rPr/>
            </w:pPr>
            <w:r>
              <w:rPr/>
              <w:t>Adobe</w:t>
            </w:r>
          </w:p>
          <w:p>
            <w:pPr>
              <w:pStyle w:val="TableContents"/>
              <w:bidi w:val="0"/>
              <w:spacing w:lineRule="auto" w:line="300" w:before="0" w:after="0"/>
              <w:jc w:val="both"/>
              <w:rPr/>
            </w:pPr>
            <w:r>
              <w:rPr/>
              <w:t>W.L. Gore &amp; Associates</w:t>
            </w:r>
          </w:p>
          <w:p>
            <w:pPr>
              <w:pStyle w:val="TableContents"/>
              <w:bidi w:val="0"/>
              <w:spacing w:lineRule="auto" w:line="300" w:before="0" w:after="0"/>
              <w:jc w:val="both"/>
              <w:rPr/>
            </w:pPr>
            <w:r>
              <w:rPr/>
              <w:t>Okta </w:t>
            </w:r>
          </w:p>
        </w:tc>
        <w:tc>
          <w:tcPr>
            <w:tcW w:w="60" w:type="dxa"/>
            <w:tcBorders/>
            <w:tcMar>
              <w:bottom w:w="0" w:type="dxa"/>
            </w:tcMar>
            <w:vAlign w:val="center"/>
          </w:tcPr>
          <w:p>
            <w:pPr>
              <w:pStyle w:val="TableContents"/>
              <w:bidi w:val="0"/>
              <w:spacing w:lineRule="auto" w:line="300" w:before="0" w:after="0"/>
              <w:jc w:val="both"/>
              <w:rPr/>
            </w:pPr>
            <w:r>
              <w:rPr/>
              <w:t> </w:t>
            </w:r>
          </w:p>
          <w:p>
            <w:pPr>
              <w:pStyle w:val="TableContents"/>
              <w:bidi w:val="0"/>
              <w:spacing w:lineRule="auto" w:line="300" w:before="0" w:after="0"/>
              <w:jc w:val="both"/>
              <w:rPr/>
            </w:pPr>
            <w:r>
              <w:rPr/>
              <w:t> </w:t>
            </w:r>
          </w:p>
        </w:tc>
        <w:tc>
          <w:tcPr>
            <w:tcW w:w="2054" w:type="dxa"/>
            <w:tcBorders/>
            <w:tcMar>
              <w:bottom w:w="0" w:type="dxa"/>
            </w:tcMar>
            <w:vAlign w:val="center"/>
          </w:tcPr>
          <w:p>
            <w:pPr>
              <w:pStyle w:val="TableContents"/>
              <w:bidi w:val="0"/>
              <w:spacing w:lineRule="auto" w:line="300" w:before="0" w:after="0"/>
              <w:jc w:val="both"/>
              <w:rPr/>
            </w:pPr>
            <w:r>
              <w:rPr/>
              <w:t>Citigroup</w:t>
            </w:r>
          </w:p>
          <w:p>
            <w:pPr>
              <w:pStyle w:val="TableContents"/>
              <w:bidi w:val="0"/>
              <w:spacing w:lineRule="auto" w:line="300" w:before="0" w:after="0"/>
              <w:jc w:val="both"/>
              <w:rPr/>
            </w:pPr>
            <w:r>
              <w:rPr/>
              <w:t>IGM Financial Services</w:t>
            </w:r>
          </w:p>
          <w:p>
            <w:pPr>
              <w:pStyle w:val="TableContents"/>
              <w:bidi w:val="0"/>
              <w:spacing w:lineRule="auto" w:line="300" w:before="0" w:after="0"/>
              <w:jc w:val="both"/>
              <w:rPr/>
            </w:pPr>
            <w:r>
              <w:rPr/>
              <w:t>Nasdaq</w:t>
            </w:r>
          </w:p>
          <w:p>
            <w:pPr>
              <w:pStyle w:val="TableContents"/>
              <w:bidi w:val="0"/>
              <w:spacing w:lineRule="auto" w:line="300" w:before="0" w:after="0"/>
              <w:jc w:val="both"/>
              <w:rPr/>
            </w:pPr>
            <w:r>
              <w:rPr/>
              <w:t>Paychex</w:t>
            </w:r>
          </w:p>
          <w:p>
            <w:pPr>
              <w:pStyle w:val="TableContents"/>
              <w:bidi w:val="0"/>
              <w:spacing w:lineRule="auto" w:line="300" w:before="0" w:after="0"/>
              <w:jc w:val="both"/>
              <w:rPr/>
            </w:pPr>
            <w:r>
              <w:rPr/>
              <w:t>Sun Life Financial</w:t>
            </w:r>
          </w:p>
          <w:p>
            <w:pPr>
              <w:pStyle w:val="TableContents"/>
              <w:bidi w:val="0"/>
              <w:spacing w:lineRule="auto" w:line="300" w:before="0" w:after="0"/>
              <w:jc w:val="both"/>
              <w:rPr/>
            </w:pPr>
            <w:r>
              <w:rPr/>
              <w:t>Zurich Insurance Group</w:t>
            </w:r>
          </w:p>
          <w:p>
            <w:pPr>
              <w:pStyle w:val="TableContents"/>
              <w:bidi w:val="0"/>
              <w:spacing w:lineRule="auto" w:line="300" w:before="0" w:after="0"/>
              <w:jc w:val="both"/>
              <w:rPr/>
            </w:pPr>
            <w:r>
              <w:rPr/>
              <w:t>Standard Chartered Bank</w:t>
            </w:r>
          </w:p>
          <w:p>
            <w:pPr>
              <w:pStyle w:val="TableContents"/>
              <w:bidi w:val="0"/>
              <w:spacing w:lineRule="auto" w:line="300" w:before="0" w:after="0"/>
              <w:jc w:val="both"/>
              <w:rPr/>
            </w:pPr>
            <w:r>
              <w:rPr/>
              <w:t>Paypal</w:t>
            </w:r>
          </w:p>
          <w:p>
            <w:pPr>
              <w:pStyle w:val="TableContents"/>
              <w:bidi w:val="0"/>
              <w:spacing w:lineRule="auto" w:line="300" w:before="0" w:after="0"/>
              <w:jc w:val="both"/>
              <w:rPr/>
            </w:pPr>
            <w:r>
              <w:rPr/>
              <w:t>H &amp; R Block</w:t>
            </w:r>
          </w:p>
        </w:tc>
        <w:tc>
          <w:tcPr>
            <w:tcW w:w="60" w:type="dxa"/>
            <w:tcBorders/>
            <w:tcMar>
              <w:bottom w:w="0" w:type="dxa"/>
            </w:tcMar>
            <w:vAlign w:val="center"/>
          </w:tcPr>
          <w:p>
            <w:pPr>
              <w:pStyle w:val="TableContents"/>
              <w:bidi w:val="0"/>
              <w:spacing w:lineRule="auto" w:line="300" w:before="0" w:after="0"/>
              <w:jc w:val="both"/>
              <w:rPr/>
            </w:pPr>
            <w:r>
              <w:rPr/>
              <w:t> </w:t>
            </w:r>
          </w:p>
          <w:p>
            <w:pPr>
              <w:pStyle w:val="TableContents"/>
              <w:bidi w:val="0"/>
              <w:spacing w:lineRule="auto" w:line="300" w:before="0" w:after="0"/>
              <w:jc w:val="both"/>
              <w:rPr/>
            </w:pPr>
            <w:r>
              <w:rPr/>
              <w:t> </w:t>
            </w:r>
          </w:p>
        </w:tc>
        <w:tc>
          <w:tcPr>
            <w:tcW w:w="3732" w:type="dxa"/>
            <w:tcBorders/>
            <w:tcMar>
              <w:bottom w:w="0" w:type="dxa"/>
            </w:tcMar>
            <w:vAlign w:val="center"/>
          </w:tcPr>
          <w:p>
            <w:pPr>
              <w:pStyle w:val="TableContents"/>
              <w:bidi w:val="0"/>
              <w:spacing w:lineRule="auto" w:line="300" w:before="0" w:after="0"/>
              <w:jc w:val="both"/>
              <w:rPr/>
            </w:pPr>
            <w:r>
              <w:rPr/>
              <w:t>American Airlines</w:t>
            </w:r>
          </w:p>
          <w:p>
            <w:pPr>
              <w:pStyle w:val="TableContents"/>
              <w:bidi w:val="0"/>
              <w:spacing w:lineRule="auto" w:line="300" w:before="0" w:after="0"/>
              <w:jc w:val="both"/>
              <w:rPr/>
            </w:pPr>
            <w:r>
              <w:rPr/>
              <w:t>BMW</w:t>
            </w:r>
          </w:p>
          <w:p>
            <w:pPr>
              <w:pStyle w:val="TableContents"/>
              <w:bidi w:val="0"/>
              <w:spacing w:lineRule="auto" w:line="300" w:before="0" w:after="0"/>
              <w:jc w:val="both"/>
              <w:rPr/>
            </w:pPr>
            <w:r>
              <w:rPr/>
              <w:t>Chevron</w:t>
            </w:r>
          </w:p>
          <w:p>
            <w:pPr>
              <w:pStyle w:val="TableContents"/>
              <w:bidi w:val="0"/>
              <w:spacing w:lineRule="auto" w:line="300" w:before="0" w:after="0"/>
              <w:jc w:val="both"/>
              <w:rPr/>
            </w:pPr>
            <w:r>
              <w:rPr/>
              <w:t>Schneider Electric</w:t>
            </w:r>
          </w:p>
          <w:p>
            <w:pPr>
              <w:pStyle w:val="TableContents"/>
              <w:bidi w:val="0"/>
              <w:spacing w:lineRule="auto" w:line="300" w:before="0" w:after="0"/>
              <w:jc w:val="both"/>
              <w:rPr/>
            </w:pPr>
            <w:r>
              <w:rPr/>
              <w:t>Veolia</w:t>
            </w:r>
          </w:p>
          <w:p>
            <w:pPr>
              <w:pStyle w:val="TableContents"/>
              <w:bidi w:val="0"/>
              <w:spacing w:lineRule="auto" w:line="300" w:before="0" w:after="0"/>
              <w:jc w:val="both"/>
              <w:rPr/>
            </w:pPr>
            <w:r>
              <w:rPr/>
              <w:t>DB Schenker</w:t>
            </w:r>
          </w:p>
          <w:p>
            <w:pPr>
              <w:pStyle w:val="TableContents"/>
              <w:bidi w:val="0"/>
              <w:spacing w:lineRule="auto" w:line="300" w:before="0" w:after="0"/>
              <w:jc w:val="both"/>
              <w:rPr/>
            </w:pPr>
            <w:r>
              <w:rPr/>
              <w:t>Origin Energy</w:t>
            </w:r>
          </w:p>
          <w:p>
            <w:pPr>
              <w:pStyle w:val="TableContents"/>
              <w:bidi w:val="0"/>
              <w:spacing w:lineRule="auto" w:line="300" w:before="0" w:after="0"/>
              <w:jc w:val="both"/>
              <w:rPr/>
            </w:pPr>
            <w:r>
              <w:rPr/>
              <w:t>TUI</w:t>
            </w:r>
          </w:p>
          <w:p>
            <w:pPr>
              <w:pStyle w:val="TableContents"/>
              <w:bidi w:val="0"/>
              <w:spacing w:lineRule="auto" w:line="300" w:before="0" w:after="0"/>
              <w:jc w:val="both"/>
              <w:rPr/>
            </w:pPr>
            <w:r>
              <w:rPr/>
              <w:t>Flight Center</w:t>
            </w:r>
          </w:p>
        </w:tc>
      </w:tr>
    </w:tbl>
    <w:p>
      <w:pPr>
        <w:pStyle w:val="Normal"/>
        <w:bidi w:val="0"/>
        <w:spacing w:before="0" w:after="0"/>
        <w:jc w:val="left"/>
        <w:rPr>
          <w:sz w:val="4"/>
          <w:szCs w:val="4"/>
        </w:rPr>
      </w:pPr>
      <w:r>
        <w:rPr>
          <w:sz w:val="4"/>
          <w:szCs w:val="4"/>
        </w:rPr>
      </w:r>
      <w:bookmarkStart w:id="88" w:name="z3d1d89ef6be946e18838bb340878121f"/>
      <w:bookmarkStart w:id="89" w:name="z3d1d89ef6be946e18838bb340878121f"/>
      <w:bookmarkEnd w:id="89"/>
    </w:p>
    <w:tbl>
      <w:tblPr>
        <w:tblW w:w="9840" w:type="dxa"/>
        <w:jc w:val="left"/>
        <w:tblInd w:w="0" w:type="dxa"/>
        <w:tblLayout w:type="fixed"/>
        <w:tblCellMar>
          <w:top w:w="0" w:type="dxa"/>
          <w:left w:w="0" w:type="dxa"/>
          <w:bottom w:w="28" w:type="dxa"/>
          <w:right w:w="0" w:type="dxa"/>
        </w:tblCellMar>
      </w:tblPr>
      <w:tblGrid>
        <w:gridCol w:w="2660"/>
        <w:gridCol w:w="60"/>
        <w:gridCol w:w="3875"/>
        <w:gridCol w:w="60"/>
        <w:gridCol w:w="3185"/>
      </w:tblGrid>
      <w:tr>
        <w:trPr/>
        <w:tc>
          <w:tcPr>
            <w:tcW w:w="2660" w:type="dxa"/>
            <w:tcBorders>
              <w:bottom w:val="single" w:sz="12" w:space="0" w:color="000000"/>
            </w:tcBorders>
            <w:vAlign w:val="center"/>
          </w:tcPr>
          <w:p>
            <w:pPr>
              <w:pStyle w:val="TableContents"/>
              <w:bidi w:val="0"/>
              <w:spacing w:lineRule="auto" w:line="300" w:before="0" w:after="0"/>
              <w:jc w:val="both"/>
              <w:rPr>
                <w:b/>
              </w:rPr>
            </w:pPr>
            <w:r>
              <w:rPr>
                <w:b/>
              </w:rPr>
              <w:t>Healthcare &amp; Life Science</w:t>
            </w:r>
          </w:p>
        </w:tc>
        <w:tc>
          <w:tcPr>
            <w:tcW w:w="60" w:type="dxa"/>
            <w:tcBorders/>
            <w:tcMar>
              <w:bottom w:w="0" w:type="dxa"/>
            </w:tcMar>
            <w:vAlign w:val="center"/>
          </w:tcPr>
          <w:p>
            <w:pPr>
              <w:pStyle w:val="TableContents"/>
              <w:bidi w:val="0"/>
              <w:spacing w:lineRule="auto" w:line="300" w:before="0" w:after="0"/>
              <w:jc w:val="both"/>
              <w:rPr/>
            </w:pPr>
            <w:r>
              <w:rPr/>
              <w:t> </w:t>
            </w:r>
          </w:p>
          <w:p>
            <w:pPr>
              <w:pStyle w:val="TableContents"/>
              <w:bidi w:val="0"/>
              <w:spacing w:lineRule="auto" w:line="300" w:before="0" w:after="0"/>
              <w:jc w:val="both"/>
              <w:rPr/>
            </w:pPr>
            <w:r>
              <w:rPr/>
              <w:t> </w:t>
            </w:r>
          </w:p>
        </w:tc>
        <w:tc>
          <w:tcPr>
            <w:tcW w:w="3875" w:type="dxa"/>
            <w:tcBorders>
              <w:bottom w:val="single" w:sz="12" w:space="0" w:color="000000"/>
            </w:tcBorders>
            <w:vAlign w:val="center"/>
          </w:tcPr>
          <w:p>
            <w:pPr>
              <w:pStyle w:val="TableContents"/>
              <w:bidi w:val="0"/>
              <w:spacing w:lineRule="auto" w:line="300" w:before="0" w:after="0"/>
              <w:jc w:val="both"/>
              <w:rPr>
                <w:b/>
              </w:rPr>
            </w:pPr>
            <w:r>
              <w:rPr>
                <w:b/>
              </w:rPr>
              <w:t>Federal, State and Education </w:t>
            </w:r>
          </w:p>
        </w:tc>
        <w:tc>
          <w:tcPr>
            <w:tcW w:w="60" w:type="dxa"/>
            <w:tcBorders/>
            <w:tcMar>
              <w:bottom w:w="0" w:type="dxa"/>
            </w:tcMar>
            <w:vAlign w:val="center"/>
          </w:tcPr>
          <w:p>
            <w:pPr>
              <w:pStyle w:val="TableContents"/>
              <w:bidi w:val="0"/>
              <w:spacing w:before="0" w:after="283"/>
              <w:jc w:val="left"/>
              <w:rPr/>
            </w:pPr>
            <w:r>
              <w:rPr/>
              <w:t> </w:t>
            </w:r>
          </w:p>
        </w:tc>
        <w:tc>
          <w:tcPr>
            <w:tcW w:w="3185" w:type="dxa"/>
            <w:tcBorders>
              <w:bottom w:val="single" w:sz="12" w:space="0" w:color="000000"/>
            </w:tcBorders>
            <w:vAlign w:val="center"/>
          </w:tcPr>
          <w:p>
            <w:pPr>
              <w:pStyle w:val="TableContents"/>
              <w:bidi w:val="0"/>
              <w:spacing w:lineRule="auto" w:line="300" w:before="0" w:after="0"/>
              <w:jc w:val="both"/>
              <w:rPr>
                <w:b/>
              </w:rPr>
            </w:pPr>
            <w:r>
              <w:rPr>
                <w:b/>
              </w:rPr>
              <w:t>Communications</w:t>
            </w:r>
          </w:p>
        </w:tc>
      </w:tr>
      <w:tr>
        <w:trPr/>
        <w:tc>
          <w:tcPr>
            <w:tcW w:w="2660" w:type="dxa"/>
            <w:tcBorders/>
            <w:tcMar>
              <w:bottom w:w="0" w:type="dxa"/>
            </w:tcMar>
            <w:vAlign w:val="center"/>
          </w:tcPr>
          <w:p>
            <w:pPr>
              <w:pStyle w:val="TableContents"/>
              <w:bidi w:val="0"/>
              <w:spacing w:lineRule="auto" w:line="300" w:before="0" w:after="0"/>
              <w:jc w:val="both"/>
              <w:rPr/>
            </w:pPr>
            <w:r>
              <w:rPr/>
              <w:t>AstraZeneca</w:t>
            </w:r>
          </w:p>
          <w:p>
            <w:pPr>
              <w:pStyle w:val="TableContents"/>
              <w:bidi w:val="0"/>
              <w:spacing w:lineRule="auto" w:line="300" w:before="0" w:after="0"/>
              <w:jc w:val="both"/>
              <w:rPr/>
            </w:pPr>
            <w:r>
              <w:rPr/>
              <w:t>CHRISTUSHealth</w:t>
            </w:r>
          </w:p>
          <w:p>
            <w:pPr>
              <w:pStyle w:val="TableContents"/>
              <w:bidi w:val="0"/>
              <w:spacing w:lineRule="auto" w:line="300" w:before="0" w:after="0"/>
              <w:jc w:val="both"/>
              <w:rPr/>
            </w:pPr>
            <w:r>
              <w:rPr/>
              <w:t>Geisinger</w:t>
            </w:r>
          </w:p>
          <w:p>
            <w:pPr>
              <w:pStyle w:val="TableContents"/>
              <w:bidi w:val="0"/>
              <w:spacing w:lineRule="auto" w:line="300" w:before="0" w:after="0"/>
              <w:jc w:val="both"/>
              <w:rPr/>
            </w:pPr>
            <w:r>
              <w:rPr/>
              <w:t>Modernizing Medicine</w:t>
            </w:r>
          </w:p>
          <w:p>
            <w:pPr>
              <w:pStyle w:val="TableContents"/>
              <w:bidi w:val="0"/>
              <w:spacing w:lineRule="auto" w:line="300" w:before="0" w:after="0"/>
              <w:jc w:val="both"/>
              <w:rPr/>
            </w:pPr>
            <w:r>
              <w:rPr/>
              <w:t>Parexel</w:t>
            </w:r>
          </w:p>
          <w:p>
            <w:pPr>
              <w:pStyle w:val="TableContents"/>
              <w:bidi w:val="0"/>
              <w:spacing w:lineRule="auto" w:line="300" w:before="0" w:after="0"/>
              <w:jc w:val="both"/>
              <w:rPr/>
            </w:pPr>
            <w:r>
              <w:rPr/>
              <w:t>Quest Diagnostics</w:t>
            </w:r>
          </w:p>
          <w:p>
            <w:pPr>
              <w:pStyle w:val="TableContents"/>
              <w:bidi w:val="0"/>
              <w:spacing w:lineRule="auto" w:line="300" w:before="0" w:after="0"/>
              <w:jc w:val="both"/>
              <w:rPr/>
            </w:pPr>
            <w:r>
              <w:rPr/>
              <w:t>Smith &amp; Nephew</w:t>
            </w:r>
          </w:p>
          <w:p>
            <w:pPr>
              <w:pStyle w:val="TableContents"/>
              <w:bidi w:val="0"/>
              <w:spacing w:lineRule="auto" w:line="300" w:before="0" w:after="0"/>
              <w:jc w:val="both"/>
              <w:rPr/>
            </w:pPr>
            <w:r>
              <w:rPr/>
              <w:t>Syneos Health</w:t>
            </w:r>
          </w:p>
          <w:p>
            <w:pPr>
              <w:pStyle w:val="TableContents"/>
              <w:bidi w:val="0"/>
              <w:spacing w:lineRule="auto" w:line="300" w:before="0" w:after="0"/>
              <w:jc w:val="both"/>
              <w:rPr/>
            </w:pPr>
            <w:r>
              <w:rPr/>
              <w:t>Team Health</w:t>
            </w:r>
          </w:p>
          <w:p>
            <w:pPr>
              <w:pStyle w:val="TableContents"/>
              <w:bidi w:val="0"/>
              <w:spacing w:lineRule="auto" w:line="300" w:before="0" w:after="0"/>
              <w:jc w:val="both"/>
              <w:rPr/>
            </w:pPr>
            <w:r>
              <w:rPr/>
              <w:t>Thermo Fisher</w:t>
            </w:r>
          </w:p>
        </w:tc>
        <w:tc>
          <w:tcPr>
            <w:tcW w:w="60" w:type="dxa"/>
            <w:tcBorders/>
            <w:tcMar>
              <w:bottom w:w="0" w:type="dxa"/>
            </w:tcMar>
            <w:vAlign w:val="center"/>
          </w:tcPr>
          <w:p>
            <w:pPr>
              <w:pStyle w:val="TableContents"/>
              <w:bidi w:val="0"/>
              <w:spacing w:lineRule="auto" w:line="300" w:before="0" w:after="0"/>
              <w:jc w:val="both"/>
              <w:rPr/>
            </w:pPr>
            <w:r>
              <w:rPr/>
              <w:t> </w:t>
            </w:r>
          </w:p>
          <w:p>
            <w:pPr>
              <w:pStyle w:val="TableContents"/>
              <w:bidi w:val="0"/>
              <w:spacing w:lineRule="auto" w:line="300" w:before="0" w:after="0"/>
              <w:jc w:val="both"/>
              <w:rPr/>
            </w:pPr>
            <w:r>
              <w:rPr/>
              <w:t> </w:t>
            </w:r>
          </w:p>
        </w:tc>
        <w:tc>
          <w:tcPr>
            <w:tcW w:w="3875" w:type="dxa"/>
            <w:tcBorders/>
            <w:tcMar>
              <w:bottom w:w="0" w:type="dxa"/>
            </w:tcMar>
            <w:vAlign w:val="center"/>
          </w:tcPr>
          <w:p>
            <w:pPr>
              <w:pStyle w:val="TableContents"/>
              <w:bidi w:val="0"/>
              <w:spacing w:lineRule="auto" w:line="300" w:before="0" w:after="0"/>
              <w:jc w:val="both"/>
              <w:rPr/>
            </w:pPr>
            <w:r>
              <w:rPr/>
              <w:t>US Army </w:t>
            </w:r>
          </w:p>
          <w:p>
            <w:pPr>
              <w:pStyle w:val="TableContents"/>
              <w:bidi w:val="0"/>
              <w:spacing w:lineRule="auto" w:line="300" w:before="0" w:after="0"/>
              <w:jc w:val="both"/>
              <w:rPr/>
            </w:pPr>
            <w:r>
              <w:rPr/>
              <w:t>Dept of Veterans Affairs</w:t>
            </w:r>
          </w:p>
          <w:p>
            <w:pPr>
              <w:pStyle w:val="TableContents"/>
              <w:bidi w:val="0"/>
              <w:spacing w:lineRule="auto" w:line="300" w:before="0" w:after="0"/>
              <w:jc w:val="both"/>
              <w:rPr/>
            </w:pPr>
            <w:r>
              <w:rPr/>
              <w:t>General Service Administration </w:t>
            </w:r>
          </w:p>
          <w:p>
            <w:pPr>
              <w:pStyle w:val="TableContents"/>
              <w:bidi w:val="0"/>
              <w:spacing w:lineRule="auto" w:line="300" w:before="0" w:after="0"/>
              <w:jc w:val="both"/>
              <w:rPr/>
            </w:pPr>
            <w:r>
              <w:rPr/>
              <w:t>Amtrak</w:t>
            </w:r>
          </w:p>
          <w:p>
            <w:pPr>
              <w:pStyle w:val="TableContents"/>
              <w:bidi w:val="0"/>
              <w:spacing w:lineRule="auto" w:line="300" w:before="0" w:after="0"/>
              <w:jc w:val="both"/>
              <w:rPr/>
            </w:pPr>
            <w:r>
              <w:rPr/>
              <w:t>University of California</w:t>
            </w:r>
          </w:p>
          <w:p>
            <w:pPr>
              <w:pStyle w:val="TableContents"/>
              <w:bidi w:val="0"/>
              <w:spacing w:lineRule="auto" w:line="300" w:before="0" w:after="0"/>
              <w:jc w:val="both"/>
              <w:rPr/>
            </w:pPr>
            <w:r>
              <w:rPr/>
              <w:t>University of Virginia</w:t>
            </w:r>
          </w:p>
          <w:p>
            <w:pPr>
              <w:pStyle w:val="TableContents"/>
              <w:bidi w:val="0"/>
              <w:spacing w:lineRule="auto" w:line="300" w:before="0" w:after="0"/>
              <w:jc w:val="both"/>
              <w:rPr/>
            </w:pPr>
            <w:r>
              <w:rPr/>
              <w:t>University of Miami</w:t>
            </w:r>
          </w:p>
          <w:p>
            <w:pPr>
              <w:pStyle w:val="TableContents"/>
              <w:bidi w:val="0"/>
              <w:spacing w:lineRule="auto" w:line="300" w:before="0" w:after="0"/>
              <w:jc w:val="both"/>
              <w:rPr/>
            </w:pPr>
            <w:r>
              <w:rPr/>
              <w:t>University of North Carolina</w:t>
            </w:r>
          </w:p>
          <w:p>
            <w:pPr>
              <w:pStyle w:val="TableContents"/>
              <w:bidi w:val="0"/>
              <w:spacing w:lineRule="auto" w:line="300" w:before="0" w:after="0"/>
              <w:jc w:val="both"/>
              <w:rPr/>
            </w:pPr>
            <w:r>
              <w:rPr/>
              <w:t>Kaplan</w:t>
            </w:r>
          </w:p>
          <w:p>
            <w:pPr>
              <w:pStyle w:val="TableContents"/>
              <w:bidi w:val="0"/>
              <w:spacing w:lineRule="auto" w:line="300" w:before="0" w:after="0"/>
              <w:jc w:val="both"/>
              <w:rPr/>
            </w:pPr>
            <w:r>
              <w:rPr/>
              <w:t>Make a Wish Foundation</w:t>
            </w:r>
          </w:p>
          <w:p>
            <w:pPr>
              <w:pStyle w:val="TableContents"/>
              <w:bidi w:val="0"/>
              <w:spacing w:lineRule="auto" w:line="300" w:before="0" w:after="0"/>
              <w:jc w:val="both"/>
              <w:rPr/>
            </w:pPr>
            <w:r>
              <w:rPr/>
              <w:t>McGraw Hill</w:t>
            </w:r>
          </w:p>
          <w:p>
            <w:pPr>
              <w:pStyle w:val="TableContents"/>
              <w:bidi w:val="0"/>
              <w:spacing w:lineRule="auto" w:line="300" w:before="0" w:after="0"/>
              <w:jc w:val="both"/>
              <w:rPr/>
            </w:pPr>
            <w:r>
              <w:rPr/>
              <w:t>Stanford University School of</w:t>
            </w:r>
          </w:p>
          <w:p>
            <w:pPr>
              <w:pStyle w:val="TableContents"/>
              <w:bidi w:val="0"/>
              <w:spacing w:lineRule="auto" w:line="300" w:before="0" w:after="0"/>
              <w:jc w:val="both"/>
              <w:rPr/>
            </w:pPr>
            <w:r>
              <w:rPr/>
              <w:t>Medicine</w:t>
            </w:r>
          </w:p>
          <w:p>
            <w:pPr>
              <w:pStyle w:val="TableContents"/>
              <w:bidi w:val="0"/>
              <w:spacing w:lineRule="auto" w:line="300" w:before="0" w:after="0"/>
              <w:jc w:val="both"/>
              <w:rPr/>
            </w:pPr>
            <w:r>
              <w:rPr/>
              <w:t>University of Miami</w:t>
            </w:r>
          </w:p>
          <w:p>
            <w:pPr>
              <w:pStyle w:val="TableContents"/>
              <w:bidi w:val="0"/>
              <w:spacing w:lineRule="auto" w:line="300" w:before="0" w:after="0"/>
              <w:jc w:val="both"/>
              <w:rPr/>
            </w:pPr>
            <w:r>
              <w:rPr/>
              <w:t>University of Virginia</w:t>
            </w:r>
          </w:p>
          <w:p>
            <w:pPr>
              <w:pStyle w:val="TableContents"/>
              <w:bidi w:val="0"/>
              <w:spacing w:lineRule="auto" w:line="300" w:before="0" w:after="0"/>
              <w:jc w:val="both"/>
              <w:rPr/>
            </w:pPr>
            <w:r>
              <w:rPr/>
              <w:t>Ivy Tech Community College of Indiana</w:t>
            </w:r>
          </w:p>
        </w:tc>
        <w:tc>
          <w:tcPr>
            <w:tcW w:w="60" w:type="dxa"/>
            <w:tcBorders/>
            <w:tcMar>
              <w:bottom w:w="0" w:type="dxa"/>
            </w:tcMar>
            <w:vAlign w:val="center"/>
          </w:tcPr>
          <w:p>
            <w:pPr>
              <w:pStyle w:val="TableContents"/>
              <w:bidi w:val="0"/>
              <w:spacing w:before="0" w:after="283"/>
              <w:jc w:val="left"/>
              <w:rPr/>
            </w:pPr>
            <w:r>
              <w:rPr/>
              <w:t> </w:t>
            </w:r>
          </w:p>
        </w:tc>
        <w:tc>
          <w:tcPr>
            <w:tcW w:w="3185" w:type="dxa"/>
            <w:tcBorders/>
            <w:tcMar>
              <w:bottom w:w="0"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British Telecommunications PLC</w:t>
            </w:r>
          </w:p>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Cisco</w:t>
            </w:r>
          </w:p>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Lumen Technologies</w:t>
            </w:r>
          </w:p>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Warner Music Group</w:t>
            </w:r>
          </w:p>
        </w:tc>
      </w:tr>
    </w:tbl>
    <w:p>
      <w:pPr>
        <w:pStyle w:val="TextBody"/>
        <w:bidi w:val="0"/>
        <w:spacing w:lineRule="auto" w:line="300" w:before="0" w:after="0"/>
        <w:jc w:val="left"/>
        <w:rPr/>
      </w:pPr>
      <w:r>
        <w:rPr/>
      </w:r>
    </w:p>
    <w:p>
      <w:pPr>
        <w:pStyle w:val="TextBody"/>
        <w:bidi w:val="0"/>
        <w:spacing w:lineRule="auto" w:line="300" w:before="0" w:after="0"/>
        <w:jc w:val="both"/>
        <w:rPr>
          <w:b/>
          <w:sz w:val="20"/>
        </w:rPr>
      </w:pPr>
      <w:r>
        <w:rPr>
          <w:b/>
          <w:sz w:val="20"/>
        </w:rPr>
        <w:t>Sales and Marketing</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sales and marketing teams work together closely to drive awareness and adoption of our platform, accelerate customer acquisition and increase revenue from customers. While we sell to organizations of all sizes across a broad range of industries, our key focus is on larger enterprises that tend to invest more heavily in software application deployment. These organizations have larger workforces and customer bases and therefore a greater need for our Digital Adoption Platform. We plan to continue to invest in our direct sales force to grow our larger enterprise customer base, both in the U.S. and internationally.</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53</w:t>
      </w:r>
    </w:p>
    <w:p>
      <w:pPr>
        <w:pStyle w:val="HorizontalLine"/>
        <w:bidi w:val="0"/>
        <w:spacing w:before="200" w:after="200"/>
        <w:jc w:val="left"/>
        <w:rPr/>
      </w:pPr>
      <w:r>
        <w:rPr/>
      </w:r>
    </w:p>
    <w:p>
      <w:pPr>
        <w:pStyle w:val="TextBody"/>
        <w:bidi w:val="0"/>
        <w:spacing w:lineRule="auto" w:line="300" w:before="0" w:after="0"/>
        <w:jc w:val="both"/>
        <w:rPr>
          <w:sz w:val="20"/>
        </w:rPr>
      </w:pPr>
      <w:r>
        <w:rPr>
          <w:b/>
          <w:i/>
          <w:sz w:val="20"/>
        </w:rPr>
        <w:t>Marketing</w:t>
      </w:r>
      <w:r>
        <w:rPr>
          <w:sz w:val="20"/>
        </w:rPr>
        <w:br/>
        <w:t> </w:t>
      </w:r>
    </w:p>
    <w:p>
      <w:pPr>
        <w:pStyle w:val="TextBody"/>
        <w:bidi w:val="0"/>
        <w:spacing w:lineRule="auto" w:line="300" w:before="0" w:after="0"/>
        <w:ind w:left="0" w:right="0" w:firstLine="490"/>
        <w:jc w:val="both"/>
        <w:rPr>
          <w:sz w:val="20"/>
        </w:rPr>
      </w:pPr>
      <w:r>
        <w:rPr>
          <w:sz w:val="20"/>
        </w:rPr>
        <w:t>To support our sales team in reaching potential customers, our integrated marketing programs are architected to address the specific needs of our diverse market segments. They create qualified sales opportunities, highlight WalkMe’s position as the market pioneer and leader and educate and raise awareness of our Digital Adoption Platform. In addition, we have tailored customer marketing initiatives focusing on driving expansion within existing accounts and virality among Digital Adoption Platform professionals and advocates.</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490"/>
        <w:jc w:val="both"/>
        <w:rPr>
          <w:sz w:val="20"/>
        </w:rPr>
      </w:pPr>
      <w:r>
        <w:rPr>
          <w:sz w:val="20"/>
        </w:rPr>
        <w:t>Our marketing department ensures thought leadership and market education for our Digital Adoption Platform. It promotes activity around our growing WalkMe Beyond ecosystem as well as Realize, our customer and user conference.</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Sales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go-to-market model involves a combination of direct sales and partner-assisted sales.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Direct Sales: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sell subscriptions to our platform primarily through our direct sales force which is largely organized by territory and customer size, measured by the number of employees. Our direct sales force is focused on landing new customers, as well as expanding within them as they adopt WalkMe for additional use cases and applications. We typically onboard a new customer with solutions targeting:</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90" w:name="ze1fd14c3f30644b2a5a1f670455277c2"/>
      <w:bookmarkStart w:id="91" w:name="ze1fd14c3f30644b2a5a1f670455277c2"/>
      <w:bookmarkEnd w:id="9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one application or department, after which our sales force focuses on expanding into other applications or departments, or</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an enterprise-wide deployment where WalkMe is used across departments, applications and use cases. </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We sell to multiple buyers within an enterprise including:</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92" w:name="zfe29a09dad0d4b28935d89b1d6e1d7b1"/>
      <w:bookmarkStart w:id="93" w:name="zfe29a09dad0d4b28935d89b1d6e1d7b1"/>
      <w:bookmarkEnd w:id="9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CIO or VP IT who is focused on digital transformation to business efficiency, workforce agility and an overall return on software investment;</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VP of sales, whose priorities include sales productivity and forecast accuracy;</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Head of Human Resources who aims to improve the digital experience of employees, especially in a remote work environment;</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Head of Product who is trying to improve revenue and customer retention across an application or platform; and</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Head of Contact Center who is looking to reduce support overhead and improve productivity of support teams.</w:t>
            </w:r>
          </w:p>
        </w:tc>
      </w:tr>
    </w:tbl>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Partner-Assisted Sales: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work with strategic systems integrators such as Accenture, Deloitte, IBM and Cognizant to sell with and/or through them to their clients. We believe that Global Systems Integrators (“GSI”) are important consulting and implementation partners for WalkMe, enabling enterprises to further their digital adoption strategies and are a natural extension of our go-to-market function. We have also developed relationships with leading regional systems integrators. We also work with large independent software vendors, such as SAP, who sell joint solutions to their customers.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Customer Support and Professional Services:</w:t>
      </w:r>
    </w:p>
    <w:p>
      <w:pPr>
        <w:pStyle w:val="TextBody"/>
        <w:bidi w:val="0"/>
        <w:spacing w:lineRule="auto" w:line="300" w:before="0" w:after="0"/>
        <w:jc w:val="both"/>
        <w:rPr/>
      </w:pPr>
      <w:r>
        <w:rPr/>
      </w:r>
    </w:p>
    <w:p>
      <w:pPr>
        <w:pStyle w:val="TextBody"/>
        <w:bidi w:val="0"/>
        <w:spacing w:lineRule="auto" w:line="300" w:before="0" w:after="0"/>
        <w:ind w:left="0" w:right="0" w:firstLine="490"/>
        <w:jc w:val="both"/>
        <w:rPr>
          <w:sz w:val="20"/>
        </w:rPr>
      </w:pPr>
      <w:r>
        <w:rPr>
          <w:sz w:val="20"/>
        </w:rPr>
        <w:t>Our customer success team provides customer support for each of our customers. Support begins in the customer acquisition phase and continues throughout the duration of the relationship. Customer support includes working with customers on launch and on-boarding, ongoing support, analytics and renewal. We have a dedicated professional services team. This team provides support to customers that require services, may have special operational needs or may require more custom analytics.</w:t>
      </w:r>
    </w:p>
    <w:p>
      <w:pPr>
        <w:pStyle w:val="TextBody"/>
        <w:bidi w:val="0"/>
        <w:spacing w:lineRule="auto" w:line="300" w:before="0" w:after="0"/>
        <w:jc w:val="left"/>
        <w:rPr/>
      </w:pPr>
      <w:r>
        <w:rPr/>
      </w:r>
    </w:p>
    <w:p>
      <w:pPr>
        <w:pStyle w:val="TextBody"/>
        <w:bidi w:val="0"/>
        <w:spacing w:lineRule="auto" w:line="300" w:before="0" w:after="0"/>
        <w:jc w:val="both"/>
        <w:rPr>
          <w:b/>
          <w:sz w:val="20"/>
        </w:rPr>
      </w:pPr>
      <w:r>
        <w:rPr>
          <w:b/>
          <w:sz w:val="20"/>
        </w:rPr>
        <w:t>Research and Development</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research and development organization is responsible for the design, development, testing and delivery of new technologies, features, integrations and improvements to our platform. It is also responsible for operating and scaling our platform, including the underlying public cloud infrastructure.</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research and development organization consists of teams specializing in software engineering, user experience, product management, data science, technical program management and technical writing. As of December 31, 2023, we had approximately 275 employees in our research and development organization. Our research and development employees are located primarily in our Tel Aviv offices. We intend to continue to invest in our research and development capabilities to expand our platform.</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54</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both"/>
        <w:rPr>
          <w:b/>
          <w:sz w:val="20"/>
        </w:rPr>
      </w:pPr>
      <w:r>
        <w:rPr>
          <w:b/>
          <w:sz w:val="20"/>
        </w:rPr>
        <w:t>Competition</w:t>
      </w:r>
    </w:p>
    <w:p>
      <w:pPr>
        <w:pStyle w:val="TextBody"/>
        <w:bidi w:val="0"/>
        <w:spacing w:lineRule="auto" w:line="300" w:before="0" w:after="0"/>
        <w:jc w:val="left"/>
        <w:rPr/>
      </w:pPr>
      <w:r>
        <w:rPr/>
      </w:r>
    </w:p>
    <w:p>
      <w:pPr>
        <w:pStyle w:val="TextBody"/>
        <w:bidi w:val="0"/>
        <w:spacing w:lineRule="auto" w:line="300" w:before="0" w:after="0"/>
        <w:ind w:left="0" w:right="0" w:firstLine="500"/>
        <w:jc w:val="both"/>
        <w:rPr>
          <w:sz w:val="20"/>
        </w:rPr>
      </w:pPr>
      <w:r>
        <w:rPr>
          <w:sz w:val="20"/>
        </w:rPr>
        <w:t>WalkMe pioneered the digital adoption platform market over a decade ago. We do not believe any single company currently offers a solution with the comprehensive capabilities of our integrated platform to help organizations effectively navigate constant technology change.</w:t>
      </w:r>
    </w:p>
    <w:p>
      <w:pPr>
        <w:pStyle w:val="TextBody"/>
        <w:bidi w:val="0"/>
        <w:spacing w:lineRule="auto" w:line="300" w:before="0" w:after="0"/>
        <w:jc w:val="left"/>
        <w:rPr/>
      </w:pPr>
      <w:r>
        <w:rPr/>
      </w:r>
    </w:p>
    <w:p>
      <w:pPr>
        <w:pStyle w:val="TextBody"/>
        <w:bidi w:val="0"/>
        <w:spacing w:lineRule="auto" w:line="300" w:before="0" w:after="0"/>
        <w:ind w:left="0" w:right="0" w:firstLine="500"/>
        <w:jc w:val="both"/>
        <w:rPr>
          <w:sz w:val="20"/>
        </w:rPr>
      </w:pPr>
      <w:r>
        <w:rPr>
          <w:sz w:val="20"/>
        </w:rPr>
        <w:t>Our leadership is reinforced by recognition as the top rated Enterprise DAP on G2.com, the world's largest B2B software review platform, as well as by leading analyst firms like IDC, Forrester, Everest Group and ISG.</w:t>
      </w:r>
    </w:p>
    <w:p>
      <w:pPr>
        <w:pStyle w:val="TextBody"/>
        <w:bidi w:val="0"/>
        <w:spacing w:lineRule="auto" w:line="300" w:before="0" w:after="0"/>
        <w:jc w:val="left"/>
        <w:rPr/>
      </w:pPr>
      <w:r>
        <w:rPr/>
      </w:r>
    </w:p>
    <w:p>
      <w:pPr>
        <w:pStyle w:val="TextBody"/>
        <w:bidi w:val="0"/>
        <w:spacing w:lineRule="auto" w:line="300" w:before="0" w:after="0"/>
        <w:ind w:left="0" w:right="0" w:firstLine="500"/>
        <w:jc w:val="both"/>
        <w:rPr>
          <w:sz w:val="20"/>
        </w:rPr>
      </w:pPr>
      <w:r>
        <w:rPr>
          <w:sz w:val="20"/>
        </w:rPr>
        <w:t>Our main sources of competition fall into the following categories: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94" w:name="zb157cf2aa25647d7be1dd978e7f6ebb0"/>
      <w:bookmarkStart w:id="95" w:name="zb157cf2aa25647d7be1dd978e7f6ebb0"/>
      <w:bookmarkEnd w:id="9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Legacy approaches like outdated training methods that cannot scale or manage change effectively. This "status quo" results in stalled transformation efforts.</w:t>
            </w:r>
          </w:p>
        </w:tc>
      </w:tr>
    </w:tbl>
    <w:p>
      <w:pPr>
        <w:pStyle w:val="Normal"/>
        <w:bidi w:val="0"/>
        <w:spacing w:before="0" w:after="0"/>
        <w:jc w:val="left"/>
        <w:rPr>
          <w:sz w:val="4"/>
          <w:szCs w:val="4"/>
        </w:rPr>
      </w:pPr>
      <w:r>
        <w:rPr>
          <w:sz w:val="4"/>
          <w:szCs w:val="4"/>
        </w:rPr>
      </w:r>
      <w:bookmarkStart w:id="96" w:name="zd6511c41d8bd49a5adb72e96b9950c8e"/>
      <w:bookmarkStart w:id="97" w:name="zd6511c41d8bd49a5adb72e96b9950c8e"/>
      <w:bookmarkEnd w:id="9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Point solutions by large software vendors that address partial problems but lack cross-app guidance, workflow optimization, and change management capabilities.</w:t>
            </w:r>
          </w:p>
        </w:tc>
      </w:tr>
    </w:tbl>
    <w:p>
      <w:pPr>
        <w:pStyle w:val="Normal"/>
        <w:bidi w:val="0"/>
        <w:spacing w:before="0" w:after="0"/>
        <w:jc w:val="left"/>
        <w:rPr>
          <w:sz w:val="4"/>
          <w:szCs w:val="4"/>
        </w:rPr>
      </w:pPr>
      <w:r>
        <w:rPr>
          <w:sz w:val="4"/>
          <w:szCs w:val="4"/>
        </w:rPr>
      </w:r>
      <w:bookmarkStart w:id="98" w:name="z631310732e73468fac85cb98a24e8bc7"/>
      <w:bookmarkStart w:id="99" w:name="z631310732e73468fac85cb98a24e8bc7"/>
      <w:bookmarkEnd w:id="9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Niche providers offering basic in-app guidance or analytics lacking enterprise breadth and extensibility across domains.</w:t>
            </w:r>
          </w:p>
        </w:tc>
      </w:tr>
    </w:tbl>
    <w:p>
      <w:pPr>
        <w:pStyle w:val="TextBody"/>
        <w:bidi w:val="0"/>
        <w:spacing w:lineRule="auto" w:line="300" w:before="0" w:after="0"/>
        <w:ind w:left="180" w:right="0" w:hanging="0"/>
        <w:jc w:val="left"/>
        <w:rPr/>
      </w:pPr>
      <w:r>
        <w:rPr/>
      </w:r>
    </w:p>
    <w:p>
      <w:pPr>
        <w:pStyle w:val="TextBody"/>
        <w:bidi w:val="0"/>
        <w:spacing w:lineRule="auto" w:line="300" w:before="0" w:after="0"/>
        <w:ind w:left="0" w:right="0" w:firstLine="500"/>
        <w:jc w:val="both"/>
        <w:rPr>
          <w:sz w:val="20"/>
        </w:rPr>
      </w:pPr>
      <w:r>
        <w:rPr>
          <w:sz w:val="20"/>
        </w:rPr>
        <w:t>We believe the principal competitive factors include: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00" w:name="ze6dc8df8b15349e89f877368db0f7df0"/>
      <w:bookmarkStart w:id="101" w:name="ze6dc8df8b15349e89f877368db0f7df0"/>
      <w:bookmarkEnd w:id="101"/>
    </w:p>
    <w:tbl>
      <w:tblPr>
        <w:tblW w:w="7818" w:type="dxa"/>
        <w:jc w:val="left"/>
        <w:tblInd w:w="0" w:type="dxa"/>
        <w:tblLayout w:type="fixed"/>
        <w:tblCellMar>
          <w:top w:w="0" w:type="dxa"/>
          <w:left w:w="0" w:type="dxa"/>
          <w:bottom w:w="0" w:type="dxa"/>
          <w:right w:w="0" w:type="dxa"/>
        </w:tblCellMar>
      </w:tblPr>
      <w:tblGrid>
        <w:gridCol w:w="38"/>
        <w:gridCol w:w="170"/>
        <w:gridCol w:w="761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pPr>
            <w:r>
              <w:rPr/>
              <w:t>Breadth of workflows and use cases supported across all core business domains.</w:t>
            </w:r>
          </w:p>
        </w:tc>
      </w:tr>
    </w:tbl>
    <w:p>
      <w:pPr>
        <w:pStyle w:val="Normal"/>
        <w:bidi w:val="0"/>
        <w:spacing w:before="0" w:after="0"/>
        <w:jc w:val="left"/>
        <w:rPr>
          <w:sz w:val="4"/>
          <w:szCs w:val="4"/>
        </w:rPr>
      </w:pPr>
      <w:r>
        <w:rPr>
          <w:sz w:val="4"/>
          <w:szCs w:val="4"/>
        </w:rPr>
      </w:r>
      <w:bookmarkStart w:id="102" w:name="zdffaee362c554ae1977eee1a154d8f6d"/>
      <w:bookmarkStart w:id="103" w:name="zdffaee362c554ae1977eee1a154d8f6d"/>
      <w:bookmarkEnd w:id="103"/>
    </w:p>
    <w:tbl>
      <w:tblPr>
        <w:tblW w:w="7998" w:type="dxa"/>
        <w:jc w:val="left"/>
        <w:tblInd w:w="0" w:type="dxa"/>
        <w:tblLayout w:type="fixed"/>
        <w:tblCellMar>
          <w:top w:w="0" w:type="dxa"/>
          <w:left w:w="0" w:type="dxa"/>
          <w:bottom w:w="0" w:type="dxa"/>
          <w:right w:w="0" w:type="dxa"/>
        </w:tblCellMar>
      </w:tblPr>
      <w:tblGrid>
        <w:gridCol w:w="38"/>
        <w:gridCol w:w="170"/>
        <w:gridCol w:w="779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0"/>
              <w:jc w:val="both"/>
              <w:rPr/>
            </w:pPr>
            <w:r>
              <w:rPr/>
              <w:t>Advanced AI to auto-generate experiences that reduce friction and drive adoption.</w:t>
            </w:r>
          </w:p>
        </w:tc>
      </w:tr>
    </w:tbl>
    <w:p>
      <w:pPr>
        <w:pStyle w:val="Normal"/>
        <w:bidi w:val="0"/>
        <w:spacing w:before="0" w:after="0"/>
        <w:jc w:val="left"/>
        <w:rPr>
          <w:sz w:val="4"/>
          <w:szCs w:val="4"/>
        </w:rPr>
      </w:pPr>
      <w:r>
        <w:rPr>
          <w:sz w:val="4"/>
          <w:szCs w:val="4"/>
        </w:rPr>
      </w:r>
      <w:bookmarkStart w:id="104" w:name="zd00e2d1027644b1689aa2689349024e2"/>
      <w:bookmarkStart w:id="105" w:name="zd00e2d1027644b1689aa2689349024e2"/>
      <w:bookmarkEnd w:id="105"/>
    </w:p>
    <w:tbl>
      <w:tblPr>
        <w:tblW w:w="6033" w:type="dxa"/>
        <w:jc w:val="left"/>
        <w:tblInd w:w="0" w:type="dxa"/>
        <w:tblLayout w:type="fixed"/>
        <w:tblCellMar>
          <w:top w:w="0" w:type="dxa"/>
          <w:left w:w="0" w:type="dxa"/>
          <w:bottom w:w="0" w:type="dxa"/>
          <w:right w:w="0" w:type="dxa"/>
        </w:tblCellMar>
      </w:tblPr>
      <w:tblGrid>
        <w:gridCol w:w="38"/>
        <w:gridCol w:w="170"/>
        <w:gridCol w:w="582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0"/>
              <w:jc w:val="both"/>
              <w:rPr/>
            </w:pPr>
            <w:r>
              <w:rPr/>
              <w:t>FedRAMP-certified security and controls for enterprise scale.</w:t>
            </w:r>
          </w:p>
        </w:tc>
      </w:tr>
    </w:tbl>
    <w:p>
      <w:pPr>
        <w:pStyle w:val="Normal"/>
        <w:bidi w:val="0"/>
        <w:spacing w:before="0" w:after="0"/>
        <w:jc w:val="left"/>
        <w:rPr>
          <w:sz w:val="4"/>
          <w:szCs w:val="4"/>
        </w:rPr>
      </w:pPr>
      <w:r>
        <w:rPr>
          <w:sz w:val="4"/>
          <w:szCs w:val="4"/>
        </w:rPr>
      </w:r>
      <w:bookmarkStart w:id="106" w:name="zdbe41747eb1247d4b3a5fa6ca41837a9"/>
      <w:bookmarkStart w:id="107" w:name="zdbe41747eb1247d4b3a5fa6ca41837a9"/>
      <w:bookmarkEnd w:id="107"/>
    </w:p>
    <w:tbl>
      <w:tblPr>
        <w:tblW w:w="7788" w:type="dxa"/>
        <w:jc w:val="left"/>
        <w:tblInd w:w="0" w:type="dxa"/>
        <w:tblLayout w:type="fixed"/>
        <w:tblCellMar>
          <w:top w:w="0" w:type="dxa"/>
          <w:left w:w="0" w:type="dxa"/>
          <w:bottom w:w="0" w:type="dxa"/>
          <w:right w:w="0" w:type="dxa"/>
        </w:tblCellMar>
      </w:tblPr>
      <w:tblGrid>
        <w:gridCol w:w="38"/>
        <w:gridCol w:w="170"/>
        <w:gridCol w:w="758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both"/>
              <w:rPr/>
            </w:pPr>
            <w:r>
              <w:rPr/>
              <w:t>Packaged solutions pre-built for common workflows like employee onboarding.</w:t>
            </w:r>
          </w:p>
        </w:tc>
      </w:tr>
    </w:tbl>
    <w:p>
      <w:pPr>
        <w:pStyle w:val="Normal"/>
        <w:bidi w:val="0"/>
        <w:spacing w:before="0" w:after="0"/>
        <w:jc w:val="left"/>
        <w:rPr>
          <w:sz w:val="4"/>
          <w:szCs w:val="4"/>
        </w:rPr>
      </w:pPr>
      <w:r>
        <w:rPr>
          <w:sz w:val="4"/>
          <w:szCs w:val="4"/>
        </w:rPr>
      </w:r>
      <w:bookmarkStart w:id="108" w:name="zda0162bce02b4a08b1cd5dafd5fff123"/>
      <w:bookmarkStart w:id="109" w:name="zda0162bce02b4a08b1cd5dafd5fff123"/>
      <w:bookmarkEnd w:id="109"/>
    </w:p>
    <w:tbl>
      <w:tblPr>
        <w:tblW w:w="7758" w:type="dxa"/>
        <w:jc w:val="left"/>
        <w:tblInd w:w="0" w:type="dxa"/>
        <w:tblLayout w:type="fixed"/>
        <w:tblCellMar>
          <w:top w:w="0" w:type="dxa"/>
          <w:left w:w="0" w:type="dxa"/>
          <w:bottom w:w="0" w:type="dxa"/>
          <w:right w:w="0" w:type="dxa"/>
        </w:tblCellMar>
      </w:tblPr>
      <w:tblGrid>
        <w:gridCol w:w="38"/>
        <w:gridCol w:w="170"/>
        <w:gridCol w:w="755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0"/>
              <w:jc w:val="both"/>
              <w:rPr/>
            </w:pPr>
            <w:r>
              <w:rPr/>
              <w:t>Proof of driving productivity via hard metrics - hours saved, tickets reduced etc.</w:t>
            </w:r>
          </w:p>
        </w:tc>
      </w:tr>
    </w:tbl>
    <w:p>
      <w:pPr>
        <w:pStyle w:val="Normal"/>
        <w:bidi w:val="0"/>
        <w:spacing w:before="0" w:after="0"/>
        <w:jc w:val="left"/>
        <w:rPr>
          <w:sz w:val="4"/>
          <w:szCs w:val="4"/>
        </w:rPr>
      </w:pPr>
      <w:r>
        <w:rPr>
          <w:sz w:val="4"/>
          <w:szCs w:val="4"/>
        </w:rPr>
      </w:r>
      <w:bookmarkStart w:id="110" w:name="z42cd176c09bf413ea6c265d38a30fc9a"/>
      <w:bookmarkStart w:id="111" w:name="z42cd176c09bf413ea6c265d38a30fc9a"/>
      <w:bookmarkEnd w:id="111"/>
    </w:p>
    <w:tbl>
      <w:tblPr>
        <w:tblW w:w="6693" w:type="dxa"/>
        <w:jc w:val="left"/>
        <w:tblInd w:w="0" w:type="dxa"/>
        <w:tblLayout w:type="fixed"/>
        <w:tblCellMar>
          <w:top w:w="0" w:type="dxa"/>
          <w:left w:w="0" w:type="dxa"/>
          <w:bottom w:w="0" w:type="dxa"/>
          <w:right w:w="0" w:type="dxa"/>
        </w:tblCellMar>
      </w:tblPr>
      <w:tblGrid>
        <w:gridCol w:w="38"/>
        <w:gridCol w:w="170"/>
        <w:gridCol w:w="648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0"/>
              <w:jc w:val="both"/>
              <w:rPr/>
            </w:pPr>
            <w:r>
              <w:rPr/>
              <w:t>Ecosystem of global partners providing depth of worldwide support.</w:t>
            </w:r>
          </w:p>
        </w:tc>
      </w:tr>
    </w:tbl>
    <w:p>
      <w:pPr>
        <w:pStyle w:val="Normal"/>
        <w:bidi w:val="0"/>
        <w:spacing w:before="0" w:after="0"/>
        <w:jc w:val="left"/>
        <w:rPr>
          <w:sz w:val="4"/>
          <w:szCs w:val="4"/>
        </w:rPr>
      </w:pPr>
      <w:r>
        <w:rPr>
          <w:sz w:val="4"/>
          <w:szCs w:val="4"/>
        </w:rPr>
      </w:r>
      <w:bookmarkStart w:id="112" w:name="zc807b0cb91ff4b5ea4bb571d7400d92d"/>
      <w:bookmarkStart w:id="113" w:name="zc807b0cb91ff4b5ea4bb571d7400d92d"/>
      <w:bookmarkEnd w:id="113"/>
    </w:p>
    <w:tbl>
      <w:tblPr>
        <w:tblW w:w="5973" w:type="dxa"/>
        <w:jc w:val="left"/>
        <w:tblInd w:w="0" w:type="dxa"/>
        <w:tblLayout w:type="fixed"/>
        <w:tblCellMar>
          <w:top w:w="0" w:type="dxa"/>
          <w:left w:w="0" w:type="dxa"/>
          <w:bottom w:w="0" w:type="dxa"/>
          <w:right w:w="0" w:type="dxa"/>
        </w:tblCellMar>
      </w:tblPr>
      <w:tblGrid>
        <w:gridCol w:w="38"/>
        <w:gridCol w:w="170"/>
        <w:gridCol w:w="576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0"/>
              <w:jc w:val="both"/>
              <w:rPr/>
            </w:pPr>
            <w:r>
              <w:rPr/>
              <w:t>Undisputed DAP leader recognized by top industry analysts.</w:t>
            </w:r>
          </w:p>
        </w:tc>
      </w:tr>
    </w:tbl>
    <w:p>
      <w:pPr>
        <w:pStyle w:val="TextBody"/>
        <w:bidi w:val="0"/>
        <w:spacing w:lineRule="auto" w:line="300" w:before="0" w:after="0"/>
        <w:jc w:val="left"/>
        <w:rPr/>
      </w:pPr>
      <w:r>
        <w:rPr/>
      </w:r>
    </w:p>
    <w:p>
      <w:pPr>
        <w:pStyle w:val="TextBody"/>
        <w:bidi w:val="0"/>
        <w:spacing w:lineRule="auto" w:line="300" w:before="0" w:after="0"/>
        <w:ind w:left="0" w:right="0" w:firstLine="500"/>
        <w:jc w:val="both"/>
        <w:rPr>
          <w:sz w:val="20"/>
        </w:rPr>
      </w:pPr>
      <w:r>
        <w:rPr>
          <w:sz w:val="20"/>
        </w:rPr>
        <w:t>WalkMe competes favorably on these factors due to our decade plus of experience and continued innovation. However, some vendors may have greater resources to compete on scale. We expect new niche competitors too. But none offer an integrated DAP equipping organizations to navigate technology change through workflows like WalkMe.</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For geographical and segmental revenue, see Note 12, reporting segments and geographical information included within our consolidated financial statements elsewhere in this Annual Report</w:t>
      </w:r>
    </w:p>
    <w:p>
      <w:pPr>
        <w:pStyle w:val="TextBody"/>
        <w:bidi w:val="0"/>
        <w:spacing w:lineRule="auto" w:line="300" w:before="0" w:after="0"/>
        <w:jc w:val="both"/>
        <w:rPr/>
      </w:pPr>
      <w:r>
        <w:rPr/>
        <w:t> </w:t>
      </w:r>
    </w:p>
    <w:p>
      <w:pPr>
        <w:pStyle w:val="TextBody"/>
        <w:bidi w:val="0"/>
        <w:spacing w:lineRule="auto" w:line="300" w:before="0" w:after="0"/>
        <w:jc w:val="both"/>
        <w:rPr>
          <w:sz w:val="20"/>
        </w:rPr>
      </w:pPr>
      <w:r>
        <w:rPr>
          <w:b/>
          <w:sz w:val="20"/>
        </w:rPr>
        <w:t>Seasonality</w:t>
      </w:r>
      <w:r>
        <w:rPr>
          <w:sz w:val="20"/>
        </w:rPr>
        <w:br/>
        <w:t> </w:t>
      </w:r>
    </w:p>
    <w:p>
      <w:pPr>
        <w:pStyle w:val="TextBody"/>
        <w:bidi w:val="0"/>
        <w:spacing w:lineRule="auto" w:line="300" w:before="0" w:after="0"/>
        <w:ind w:left="0" w:right="0" w:firstLine="490"/>
        <w:jc w:val="both"/>
        <w:rPr>
          <w:sz w:val="20"/>
        </w:rPr>
      </w:pPr>
      <w:r>
        <w:rPr>
          <w:sz w:val="20"/>
        </w:rPr>
        <w:t>We experience relatively typical seasonality in our quarterly revenue and operating results consistent with software-as-a-service companies that sell to enterprise customers. We historically have received a higher volume of orders from new and existing customers in the fourth quarter due in part as a result of software industry procurement patterns. As a result, our sequential growth in revenue and remaining performance obligations is typically highest in the fourth quarter of each year. We expect that these seasonal patterns will become more pronounced as we execute on our strategy to target larger enterprise customers. However, as our revenue from quarter-to-quarter is dependent on various factors including external factors outside our control, it is difficult to isolate the impact of these seasonal trends on our business and there can be no assurance that these patterns will continue.</w:t>
      </w:r>
    </w:p>
    <w:p>
      <w:pPr>
        <w:pStyle w:val="TextBody"/>
        <w:bidi w:val="0"/>
        <w:spacing w:lineRule="auto" w:line="300" w:before="0" w:after="0"/>
        <w:jc w:val="left"/>
        <w:rPr/>
      </w:pPr>
      <w:r>
        <w:rPr/>
      </w:r>
    </w:p>
    <w:p>
      <w:pPr>
        <w:pStyle w:val="TextBody"/>
        <w:bidi w:val="0"/>
        <w:spacing w:lineRule="auto" w:line="300" w:before="0" w:after="0"/>
        <w:jc w:val="both"/>
        <w:rPr>
          <w:b/>
          <w:sz w:val="20"/>
        </w:rPr>
      </w:pPr>
      <w:r>
        <w:rPr>
          <w:b/>
          <w:sz w:val="20"/>
        </w:rPr>
        <w:t>Our Intellectual Property</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consider our trademarks, trade dress, patents, copyrights, trade secrets and other intellectual property rights, including those in our know-how and the software code of our proprietary technology and products, to be, in the aggregate, material to our business. We protect our intellectual property rights by relying on federal and state statutory and common law rights, foreign laws where applicable, as well as contractual restrictions.</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55</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We seek to control access to our trade secrets and other confidential information related to our proprietary technology by entering into confidentiality agreements with our employees, consultants, vendors and business partners who have access to our confidential information, and we maintain policies and procedures designed to control access to and distribution of our confidential information.</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seek patent protection covering certain inventions originating from us and, from time to time, review opportunities to acquire patents to the extent we believe such patents may be useful or relevant to our business. As of December 31, 2023, we owned 18 issued U.S. patents, 9 U.S. pending patent applications, 8 issued foreign patents and 18 pending foreign patent applications.</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490"/>
        <w:jc w:val="both"/>
        <w:rPr>
          <w:sz w:val="20"/>
        </w:rPr>
      </w:pPr>
      <w:r>
        <w:rPr>
          <w:sz w:val="20"/>
        </w:rPr>
        <w:t>We pursue the registration of our domain names, trademarks and service marks in the United States and in locations outside the United States. As of December 31, 2023, we owned a registered trademark for the “WALKME” mark in the United States and nine other countries; a registered trademark for the “WALKME” logo in 15 countries; and a registered trademark for the “DAP” mark in the United States.</w:t>
        <w:br/>
        <w:t> </w:t>
      </w:r>
    </w:p>
    <w:p>
      <w:pPr>
        <w:pStyle w:val="TextBody"/>
        <w:bidi w:val="0"/>
        <w:spacing w:lineRule="auto" w:line="300" w:before="0" w:after="0"/>
        <w:ind w:left="0" w:right="0" w:firstLine="490"/>
        <w:jc w:val="both"/>
        <w:rPr>
          <w:sz w:val="20"/>
        </w:rPr>
      </w:pPr>
      <w:r>
        <w:rPr>
          <w:sz w:val="20"/>
        </w:rPr>
        <w:t>While most of the intellectual property underlying our technology and products is developed and owned by us, we have obtained rights to use intellectual property of third parties through licenses, services and/or other relevant agreements. Although we believe these agreements are sufficient for the operation of our business, these agreements typically limit our use of the third parties’ intellectual property to specific uses and for specific time periods.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From time to time, we have faced, and we expect to face in the future, allegations by third parties, including our competitors, that we have infringed their trademarks, copyrights, patents and other intellectual property rights or challenging the validity or enforceability of our intellectual property rights. We are not presently a party to any such legal proceedings that, in the opinion of our management, would individually or taken together have a material adverse effect on our business, financial condition, results of operations or cash flows. For additional information regarding the risks discussed above and other risks related to our intellectual property, see “Risk Factors-Risks Related to Information Technology, Intellectual Property and Data Security and Privacy.”</w:t>
      </w:r>
    </w:p>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Government Regulations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are subject to a variety of laws and regulations in the United States, Europe, Israel and elsewhere that involve matters central to our business. Many of these laws and regulations are still evolving and being tested in courts, and could be interpreted in ways that could harm our business. These may involve privacy, data protection and personal information, rights of publicity, content, intellectual property, advertising, marketing, distribution, data security, data retention and deletion, electronic contracts and other communications, competition, consumer protection, telecommunications, taxation, economic or other trade prohibitions or sanctions, anti-corruption law compliance, securities law compliance and online payment services, among others.</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490"/>
        <w:jc w:val="both"/>
        <w:rPr>
          <w:sz w:val="20"/>
        </w:rPr>
      </w:pPr>
      <w:r>
        <w:rPr>
          <w:sz w:val="20"/>
        </w:rPr>
        <w:t>In particular, we are subject to U.S. federal, state, and foreign laws regarding privacy and protection of data relating to individuals. Foreign data protection, privacy, content, competition, and other laws and regulations can impose different obligations or be more restrictive than those in the United States. U.S. federal and state and foreign laws and regulations, which in some cases can be enforced by private parties in addition to government entities, are constantly evolving and can be subject to significant change. As a result, the application, interpretation, and enforcement of these laws and regulations are often uncertain, particularly in the new and rapidly-evolving industry in which we operate, and may be interpreted and applied inconsistently from country to country and inconsistently with our current policies and practices.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We are also subject to the European General Data Protection Regulation (the “GDPR”) and to the United Kingdom General Data Protection Regulation and Data Protection Act 2018 (collectively, the “UK GDPR”). The GDPR, and national implementing legislation in EEA member states and the UK GDPR impose a strict data protection compliance regime. Since we are under the supervision of relevant data protection authorities in both the EEA and the UK, we may be fined under both the GDPR and UK GDPR for the same breach. Failure to comply with the GDPR and UK GDPR could result in fines of up to the greater of €20 million/GBP 17.5 million and 4% of our global annual turnover for the preceding financial year for the most serious violations. In addition to fines, a breach of the GDPR may result in regulatory investigations, reputational damage, orders to cease/change our data processing activities, enforcement notices, assessment notices for a compulsory audit and/or civil claims (including class actions).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California Consumer Privacy Act (the “CCPA”), which took effect in January 2020 and to which we are subject, also establishes certain transparency rules and creates new data privacy rights for users, including rights to access and delete their personal information and new ways to opt-out of certain sales or transfers of their personal information, and provides users with additional causes of action. Additionally, California voters approved a new data privacy law, the California Privacy Rights Act (the “CPRA”), in the November 3, 2020 election. Effective starting on January 1, 2023 (with certain obligations applicable to data processed from and after January 2022), the CPRA will significantly modify the CCPA, including by expanding consumers’ rights with respect to certain sensitive personal information. Additionally, the CPRA ends the CCPA's exemption for employee data which expands the scope of applicable data and increases the risk of noncompliance. The CPRA also creates a new state agency that will be vested with authority to implement and enforce the CCPA and the CPRA.</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56</w:t>
      </w:r>
    </w:p>
    <w:p>
      <w:pPr>
        <w:pStyle w:val="HorizontalLine"/>
        <w:bidi w:val="0"/>
        <w:spacing w:before="200" w:after="200"/>
        <w:jc w:val="left"/>
        <w:rPr/>
      </w:pPr>
      <w:r>
        <w:rPr/>
      </w:r>
    </w:p>
    <w:p>
      <w:pPr>
        <w:pStyle w:val="TextBody"/>
        <w:bidi w:val="0"/>
        <w:spacing w:lineRule="auto" w:line="300" w:before="0" w:after="0"/>
        <w:ind w:left="0" w:right="0" w:firstLine="500"/>
        <w:jc w:val="both"/>
        <w:rPr>
          <w:sz w:val="20"/>
        </w:rPr>
      </w:pPr>
      <w:r>
        <w:rPr>
          <w:sz w:val="20"/>
        </w:rPr>
        <w:t>Virginia enacted the Virginia Consumer Data Protection Act (the “VCDPA”), which took effect on January 1, 2023. The VCDPA creates consumer rights, similar to the CCPA, but also imposes security and assessment requirements for businesses. In July 2021, Colorado enacted the Colorado Privacy Act (“COCPA”) which will take effect on July 1, 2023. In March 2022, Utah enacted the Utah Consumer Privacy Act (the "UCPA") which will take effect on December 31, 2023. Most recently, in May 2022, Connecticut enacted the Connecticut Data Privacy Act (the "CTDPA") which will take effect on July 1, 2023. The COCPA, UCPA and CTDPA largely resemble the VCDPA and CCPA, and each of these laws will be enforced by the respective states’ Attorney General and district attorneys, although they differ in many ways. Once the COCPA, UCPA and CTDPA become enforceable, we must comply with each if our operations fall within the scope of these newly enacted comprehensive mandates, which may increase our compliance costs and potential liability. Similarly, there are a number of legislative proposals in the United States, at both the federal and state level, as well as in other jurisdictions, reflecting a trend toward more stringent data privacy legislation in the United States. This legislation may add additional restrictions and potential legal risk, require additional investment in resources to compliance programs, impact strategies and availability of previously useful data and result in changes in business practices and policies.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As an Israeli headquartered company, we are also subject to the Israeli Protection of Privacy Law, 5741-1981 (the “PPL”), and the regulations enacted thereunder, including the Privacy Protection Regulations (Data Security), 5777-2017 (the “Data Security Regulations”). The PPL imposes certain obligations on the owners of databases containing personal data, including a requirement to register databases with certain characteristics, an obligation to notify data subjects of the purposes for which their personal data is collected and processed and of the disclosure of such data to third parties, a requirement to respond to certain requests from data subjects to access, rectify and/or delete personal data relating to them, and an obligation to maintain the security of personal data. In addition, the Data Security Regulations, impose comprehensive data security requirements on the processing of personal data. The Protection of Privacy Regulations (Transfer of Data to Overseas Databases), 5761-2001, further impose certain conditions on cross-border transfers of personal data from databases in Israel.</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Certain violations of the PPL are considered a criminal and/or a civil offense and could expose the violating entity to criminal, administrative, and financial sanctions, as well as to civil actions. Additionally, the Israel Privacy Protection Authority may issue a public statement that an entity violated the PPL, and such a determination could potentially be used against such entity in civil litigation.</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In July 2020, the Israeli Ministry of Justice indicated that it intends to promote amendments to the PPL designed, among other things, to accommodate the PPL to the digital era, enhance the Israel Privacy Protection Authority’s investigative and enforcement powers (including powers to impose fines) and to expand data subjects’ rights.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Some countries are also considering or have passed legislation implementing data protection requirements or requiring local storage and processing of data or similar requirements that could increase the cost and complexity of delivering our services. For information regarding risks related to these compliance requirements, please see “Risk Factors-Risks Related to Information Technology, Intellectual Property and Data Security and Privacy-We are subject to stringent and changing laws, regulations, standards, and contractual obligations related to data privacy, data protection, and data security. Our actual or perceived failure to comply with such obligations could result in significant liability or reputational harm to our business.” The foregoing description does not include an exhaustive list of the laws and regulations governing or impacting our business. See the discussion contained in the “Risk Factors-Risks Related to Other Legal, Regulatory and Tax Matters” section of this Annual Report for information regarding how actions by regulatory authorities or changes in legislation and regulation in the jurisdictions in which we operate may have a material adverse effect on our business.</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114" w:name="zd8b1ff8023f0418db6456dfbbff8129e"/>
      <w:bookmarkStart w:id="115" w:name="zd8b1ff8023f0418db6456dfbbff8129e"/>
      <w:bookmarkEnd w:id="115"/>
    </w:p>
    <w:tbl>
      <w:tblPr>
        <w:tblW w:w="2860" w:type="dxa"/>
        <w:jc w:val="left"/>
        <w:tblInd w:w="0" w:type="dxa"/>
        <w:tblLayout w:type="fixed"/>
        <w:tblCellMar>
          <w:top w:w="0" w:type="dxa"/>
          <w:left w:w="0" w:type="dxa"/>
          <w:bottom w:w="0" w:type="dxa"/>
          <w:right w:w="0" w:type="dxa"/>
        </w:tblCellMar>
      </w:tblPr>
      <w:tblGrid>
        <w:gridCol w:w="275"/>
        <w:gridCol w:w="2585"/>
      </w:tblGrid>
      <w:tr>
        <w:trPr/>
        <w:tc>
          <w:tcPr>
            <w:tcW w:w="275" w:type="dxa"/>
            <w:tcBorders/>
            <w:vAlign w:val="center"/>
          </w:tcPr>
          <w:p>
            <w:pPr>
              <w:pStyle w:val="TableContents"/>
              <w:bidi w:val="0"/>
              <w:spacing w:lineRule="auto" w:line="300" w:before="0" w:after="0"/>
              <w:jc w:val="both"/>
              <w:rPr>
                <w:b/>
              </w:rPr>
            </w:pPr>
            <w:r>
              <w:rPr>
                <w:b/>
              </w:rPr>
              <w:t>C.</w:t>
            </w:r>
          </w:p>
        </w:tc>
        <w:tc>
          <w:tcPr>
            <w:tcW w:w="2585" w:type="dxa"/>
            <w:tcBorders/>
            <w:vAlign w:val="center"/>
          </w:tcPr>
          <w:p>
            <w:pPr>
              <w:pStyle w:val="TableContents"/>
              <w:bidi w:val="0"/>
              <w:spacing w:lineRule="auto" w:line="300" w:before="0" w:after="0"/>
              <w:jc w:val="both"/>
              <w:rPr>
                <w:b/>
              </w:rPr>
            </w:pPr>
            <w:r>
              <w:rPr>
                <w:b/>
              </w:rPr>
              <w:t>Organizational Structure</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The legal name of our Company is WalkMe Ltd. and we are organized under the laws of the State of Israel.</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57</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The following table sets forth all of our subsidiaries, which are 100% owned directly by WalkMe Ltd., except for WalkMe K.K. which is majority owned by WalkMe Ltd.:</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116" w:name="z2bf6f21e937048c8a0f3d76eac5de1a3"/>
      <w:bookmarkStart w:id="117" w:name="z2bf6f21e937048c8a0f3d76eac5de1a3"/>
      <w:bookmarkEnd w:id="117"/>
    </w:p>
    <w:tbl>
      <w:tblPr>
        <w:tblW w:w="5350" w:type="dxa"/>
        <w:jc w:val="left"/>
        <w:tblInd w:w="0" w:type="dxa"/>
        <w:tblLayout w:type="fixed"/>
        <w:tblCellMar>
          <w:top w:w="60" w:type="dxa"/>
          <w:left w:w="60" w:type="dxa"/>
          <w:bottom w:w="60" w:type="dxa"/>
          <w:right w:w="60" w:type="dxa"/>
        </w:tblCellMar>
      </w:tblPr>
      <w:tblGrid>
        <w:gridCol w:w="2930"/>
        <w:gridCol w:w="2420"/>
      </w:tblGrid>
      <w:tr>
        <w:trPr/>
        <w:tc>
          <w:tcPr>
            <w:tcW w:w="2930" w:type="dxa"/>
            <w:tcBorders/>
            <w:vAlign w:val="center"/>
          </w:tcPr>
          <w:p>
            <w:pPr>
              <w:pStyle w:val="TableContents"/>
              <w:bidi w:val="0"/>
              <w:spacing w:lineRule="auto" w:line="300" w:before="0" w:after="0"/>
              <w:jc w:val="both"/>
              <w:rPr>
                <w:b/>
                <w:u w:val="single"/>
              </w:rPr>
            </w:pPr>
            <w:r>
              <w:rPr>
                <w:b/>
                <w:u w:val="single"/>
              </w:rPr>
              <w:t>Name of Subsidiary</w:t>
            </w:r>
          </w:p>
        </w:tc>
        <w:tc>
          <w:tcPr>
            <w:tcW w:w="2420" w:type="dxa"/>
            <w:tcBorders/>
            <w:vAlign w:val="center"/>
          </w:tcPr>
          <w:p>
            <w:pPr>
              <w:pStyle w:val="TableContents"/>
              <w:bidi w:val="0"/>
              <w:spacing w:lineRule="auto" w:line="300" w:before="0" w:after="0"/>
              <w:jc w:val="both"/>
              <w:rPr>
                <w:b/>
                <w:u w:val="single"/>
              </w:rPr>
            </w:pPr>
            <w:r>
              <w:rPr>
                <w:b/>
                <w:u w:val="single"/>
              </w:rPr>
              <w:t>Place of Incorporation</w:t>
            </w:r>
          </w:p>
        </w:tc>
      </w:tr>
      <w:tr>
        <w:trPr/>
        <w:tc>
          <w:tcPr>
            <w:tcW w:w="2930" w:type="dxa"/>
            <w:tcBorders/>
            <w:shd w:fill="CCEEFF" w:val="clear"/>
            <w:vAlign w:val="center"/>
          </w:tcPr>
          <w:p>
            <w:pPr>
              <w:pStyle w:val="TableContents"/>
              <w:bidi w:val="0"/>
              <w:spacing w:lineRule="auto" w:line="300" w:before="0" w:after="0"/>
              <w:jc w:val="both"/>
              <w:rPr/>
            </w:pPr>
            <w:r>
              <w:rPr/>
              <w:t>WalkMe, Inc.</w:t>
            </w:r>
          </w:p>
        </w:tc>
        <w:tc>
          <w:tcPr>
            <w:tcW w:w="2420" w:type="dxa"/>
            <w:tcBorders/>
            <w:shd w:fill="CCEEFF" w:val="clear"/>
            <w:vAlign w:val="center"/>
          </w:tcPr>
          <w:p>
            <w:pPr>
              <w:pStyle w:val="TableContents"/>
              <w:bidi w:val="0"/>
              <w:spacing w:lineRule="auto" w:line="300" w:before="0" w:after="0"/>
              <w:jc w:val="both"/>
              <w:rPr/>
            </w:pPr>
            <w:r>
              <w:rPr/>
              <w:t>Delaware</w:t>
            </w:r>
          </w:p>
        </w:tc>
      </w:tr>
      <w:tr>
        <w:trPr/>
        <w:tc>
          <w:tcPr>
            <w:tcW w:w="2930" w:type="dxa"/>
            <w:tcBorders/>
            <w:vAlign w:val="center"/>
          </w:tcPr>
          <w:p>
            <w:pPr>
              <w:pStyle w:val="TableContents"/>
              <w:bidi w:val="0"/>
              <w:spacing w:lineRule="auto" w:line="300" w:before="0" w:after="0"/>
              <w:jc w:val="both"/>
              <w:rPr/>
            </w:pPr>
            <w:r>
              <w:rPr/>
              <w:t>WalkMe UK Limited</w:t>
            </w:r>
          </w:p>
        </w:tc>
        <w:tc>
          <w:tcPr>
            <w:tcW w:w="2420" w:type="dxa"/>
            <w:tcBorders/>
            <w:vAlign w:val="center"/>
          </w:tcPr>
          <w:p>
            <w:pPr>
              <w:pStyle w:val="TableContents"/>
              <w:bidi w:val="0"/>
              <w:spacing w:lineRule="auto" w:line="300" w:before="0" w:after="0"/>
              <w:jc w:val="both"/>
              <w:rPr/>
            </w:pPr>
            <w:r>
              <w:rPr/>
              <w:t>United Kingdom</w:t>
            </w:r>
          </w:p>
        </w:tc>
      </w:tr>
      <w:tr>
        <w:trPr/>
        <w:tc>
          <w:tcPr>
            <w:tcW w:w="2930" w:type="dxa"/>
            <w:tcBorders/>
            <w:shd w:fill="CCEEFF" w:val="clear"/>
            <w:vAlign w:val="center"/>
          </w:tcPr>
          <w:p>
            <w:pPr>
              <w:pStyle w:val="TableContents"/>
              <w:bidi w:val="0"/>
              <w:spacing w:lineRule="auto" w:line="300" w:before="0" w:after="0"/>
              <w:jc w:val="both"/>
              <w:rPr/>
            </w:pPr>
            <w:r>
              <w:rPr/>
              <w:t>WalkMe Australia PTY Ltd.</w:t>
            </w:r>
          </w:p>
        </w:tc>
        <w:tc>
          <w:tcPr>
            <w:tcW w:w="2420" w:type="dxa"/>
            <w:tcBorders/>
            <w:shd w:fill="CCEEFF" w:val="clear"/>
            <w:vAlign w:val="center"/>
          </w:tcPr>
          <w:p>
            <w:pPr>
              <w:pStyle w:val="TableContents"/>
              <w:bidi w:val="0"/>
              <w:spacing w:lineRule="auto" w:line="300" w:before="0" w:after="0"/>
              <w:jc w:val="both"/>
              <w:rPr/>
            </w:pPr>
            <w:r>
              <w:rPr/>
              <w:t>Australia</w:t>
            </w:r>
          </w:p>
        </w:tc>
      </w:tr>
      <w:tr>
        <w:trPr/>
        <w:tc>
          <w:tcPr>
            <w:tcW w:w="2930" w:type="dxa"/>
            <w:tcBorders/>
            <w:vAlign w:val="center"/>
          </w:tcPr>
          <w:p>
            <w:pPr>
              <w:pStyle w:val="TableContents"/>
              <w:bidi w:val="0"/>
              <w:spacing w:lineRule="auto" w:line="300" w:before="0" w:after="0"/>
              <w:jc w:val="both"/>
              <w:rPr/>
            </w:pPr>
            <w:r>
              <w:rPr/>
              <w:t>WalkMe Singapore PTE Ltd.</w:t>
            </w:r>
          </w:p>
        </w:tc>
        <w:tc>
          <w:tcPr>
            <w:tcW w:w="2420" w:type="dxa"/>
            <w:tcBorders/>
            <w:vAlign w:val="center"/>
          </w:tcPr>
          <w:p>
            <w:pPr>
              <w:pStyle w:val="TableContents"/>
              <w:bidi w:val="0"/>
              <w:spacing w:lineRule="auto" w:line="300" w:before="0" w:after="0"/>
              <w:jc w:val="both"/>
              <w:rPr/>
            </w:pPr>
            <w:r>
              <w:rPr/>
              <w:t>Singapore</w:t>
            </w:r>
          </w:p>
        </w:tc>
      </w:tr>
      <w:tr>
        <w:trPr/>
        <w:tc>
          <w:tcPr>
            <w:tcW w:w="2930" w:type="dxa"/>
            <w:tcBorders/>
            <w:shd w:fill="CCEEFF" w:val="clear"/>
            <w:vAlign w:val="center"/>
          </w:tcPr>
          <w:p>
            <w:pPr>
              <w:pStyle w:val="TableContents"/>
              <w:bidi w:val="0"/>
              <w:spacing w:lineRule="auto" w:line="300" w:before="0" w:after="0"/>
              <w:jc w:val="both"/>
              <w:rPr/>
            </w:pPr>
            <w:r>
              <w:rPr/>
              <w:t>WalkMe K.K.</w:t>
            </w:r>
          </w:p>
        </w:tc>
        <w:tc>
          <w:tcPr>
            <w:tcW w:w="2420" w:type="dxa"/>
            <w:tcBorders/>
            <w:shd w:fill="CCEEFF" w:val="clear"/>
            <w:vAlign w:val="center"/>
          </w:tcPr>
          <w:p>
            <w:pPr>
              <w:pStyle w:val="TableContents"/>
              <w:bidi w:val="0"/>
              <w:spacing w:lineRule="auto" w:line="300" w:before="0" w:after="0"/>
              <w:jc w:val="both"/>
              <w:rPr/>
            </w:pPr>
            <w:r>
              <w:rPr/>
              <w:t>Japan</w:t>
            </w:r>
          </w:p>
        </w:tc>
      </w:tr>
      <w:tr>
        <w:trPr/>
        <w:tc>
          <w:tcPr>
            <w:tcW w:w="2930" w:type="dxa"/>
            <w:tcBorders/>
            <w:vAlign w:val="center"/>
          </w:tcPr>
          <w:p>
            <w:pPr>
              <w:pStyle w:val="TableContents"/>
              <w:bidi w:val="0"/>
              <w:spacing w:lineRule="auto" w:line="300" w:before="0" w:after="0"/>
              <w:jc w:val="both"/>
              <w:rPr/>
            </w:pPr>
            <w:r>
              <w:rPr/>
              <w:t>WalkMe Canada Ltd.</w:t>
            </w:r>
          </w:p>
        </w:tc>
        <w:tc>
          <w:tcPr>
            <w:tcW w:w="2420" w:type="dxa"/>
            <w:tcBorders/>
            <w:vAlign w:val="center"/>
          </w:tcPr>
          <w:p>
            <w:pPr>
              <w:pStyle w:val="TableContents"/>
              <w:bidi w:val="0"/>
              <w:spacing w:lineRule="auto" w:line="300" w:before="0" w:after="0"/>
              <w:jc w:val="left"/>
              <w:rPr/>
            </w:pPr>
            <w:r>
              <w:rPr/>
              <w:t xml:space="preserve">Canada </w:t>
            </w:r>
          </w:p>
        </w:tc>
      </w:tr>
      <w:tr>
        <w:trPr/>
        <w:tc>
          <w:tcPr>
            <w:tcW w:w="2930" w:type="dxa"/>
            <w:tcBorders/>
            <w:shd w:fill="CCEEFF" w:val="clear"/>
            <w:vAlign w:val="center"/>
          </w:tcPr>
          <w:p>
            <w:pPr>
              <w:pStyle w:val="TableContents"/>
              <w:bidi w:val="0"/>
              <w:spacing w:lineRule="auto" w:line="300" w:before="0" w:after="0"/>
              <w:jc w:val="both"/>
              <w:rPr/>
            </w:pPr>
            <w:r>
              <w:rPr/>
              <w:t>WalkMe Germany GmbH </w:t>
            </w:r>
          </w:p>
        </w:tc>
        <w:tc>
          <w:tcPr>
            <w:tcW w:w="2420" w:type="dxa"/>
            <w:tcBorders/>
            <w:shd w:fill="CCEEFF" w:val="clear"/>
            <w:vAlign w:val="center"/>
          </w:tcPr>
          <w:p>
            <w:pPr>
              <w:pStyle w:val="TableContents"/>
              <w:bidi w:val="0"/>
              <w:spacing w:lineRule="auto" w:line="300" w:before="0" w:after="0"/>
              <w:jc w:val="both"/>
              <w:rPr/>
            </w:pPr>
            <w:r>
              <w:rPr/>
              <w:t>Germany</w:t>
            </w:r>
          </w:p>
        </w:tc>
      </w:tr>
    </w:tbl>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118" w:name="z68d3c1dca2904df6923e9e0b4fecf23b"/>
      <w:bookmarkStart w:id="119" w:name="z68d3c1dca2904df6923e9e0b4fecf23b"/>
      <w:bookmarkEnd w:id="119"/>
    </w:p>
    <w:tbl>
      <w:tblPr>
        <w:tblW w:w="3625" w:type="dxa"/>
        <w:jc w:val="left"/>
        <w:tblInd w:w="0" w:type="dxa"/>
        <w:tblLayout w:type="fixed"/>
        <w:tblCellMar>
          <w:top w:w="0" w:type="dxa"/>
          <w:left w:w="0" w:type="dxa"/>
          <w:bottom w:w="0" w:type="dxa"/>
          <w:right w:w="0" w:type="dxa"/>
        </w:tblCellMar>
      </w:tblPr>
      <w:tblGrid>
        <w:gridCol w:w="275"/>
        <w:gridCol w:w="3350"/>
      </w:tblGrid>
      <w:tr>
        <w:trPr/>
        <w:tc>
          <w:tcPr>
            <w:tcW w:w="275" w:type="dxa"/>
            <w:tcBorders/>
            <w:vAlign w:val="center"/>
          </w:tcPr>
          <w:p>
            <w:pPr>
              <w:pStyle w:val="TableContents"/>
              <w:bidi w:val="0"/>
              <w:spacing w:lineRule="auto" w:line="300" w:before="0" w:after="0"/>
              <w:jc w:val="both"/>
              <w:rPr>
                <w:b/>
              </w:rPr>
            </w:pPr>
            <w:r>
              <w:rPr>
                <w:b/>
              </w:rPr>
              <w:t>D.</w:t>
            </w:r>
          </w:p>
        </w:tc>
        <w:tc>
          <w:tcPr>
            <w:tcW w:w="3350" w:type="dxa"/>
            <w:tcBorders/>
            <w:vAlign w:val="center"/>
          </w:tcPr>
          <w:p>
            <w:pPr>
              <w:pStyle w:val="TableContents"/>
              <w:bidi w:val="0"/>
              <w:spacing w:lineRule="auto" w:line="300" w:before="0" w:after="0"/>
              <w:jc w:val="both"/>
              <w:rPr>
                <w:b/>
              </w:rPr>
            </w:pPr>
            <w:r>
              <w:rPr>
                <w:b/>
              </w:rPr>
              <w:t>Property, Plants and Equipment</w:t>
            </w:r>
          </w:p>
        </w:tc>
      </w:tr>
    </w:tbl>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corporate headquarters are located in Tel-Aviv, Israel, where we occupy an office space totaling approximately 40,000 square feet, under a lease agreement, which initial lease term expires in February 2026. Our U.S. headquarters is located in San Francisco, where we occupy an office space totaling approximately 40,000 square feet, subject to a lease agreement, which initial lease term expires in July 2024.</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also lease office space in Raleigh, North Carolina, as well as in London, Paris, Tokyo, Sydney and Singapore.</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believe that these facilities are sufficient to meet our current needs and that suitable additional space will be available as needed to accommodate any foreseeable expansion of our operations. We lease all of our facilities and do not own any real property.</w:t>
      </w:r>
    </w:p>
    <w:p>
      <w:pPr>
        <w:pStyle w:val="TextBody"/>
        <w:bidi w:val="0"/>
        <w:spacing w:lineRule="auto" w:line="300" w:before="0" w:after="0"/>
        <w:jc w:val="both"/>
        <w:rPr/>
      </w:pPr>
      <w:r>
        <w:rPr/>
        <w:t> </w:t>
      </w:r>
    </w:p>
    <w:p>
      <w:pPr>
        <w:pStyle w:val="TextBody"/>
        <w:bidi w:val="0"/>
        <w:spacing w:lineRule="auto" w:line="300" w:before="0" w:after="0"/>
        <w:jc w:val="both"/>
        <w:rPr>
          <w:b/>
          <w:sz w:val="20"/>
        </w:rPr>
      </w:pPr>
      <w:bookmarkStart w:id="120" w:name="Item4A"/>
      <w:bookmarkEnd w:id="120"/>
      <w:r>
        <w:rPr>
          <w:b/>
          <w:sz w:val="20"/>
        </w:rPr>
        <w:t>Item 4A. Unresolved Staff Comments</w:t>
      </w:r>
    </w:p>
    <w:p>
      <w:pPr>
        <w:pStyle w:val="TextBody"/>
        <w:bidi w:val="0"/>
        <w:spacing w:lineRule="auto" w:line="300" w:before="0" w:after="0"/>
        <w:jc w:val="left"/>
        <w:rPr/>
      </w:pPr>
      <w:r>
        <w:rPr/>
        <w:t> </w:t>
      </w:r>
    </w:p>
    <w:p>
      <w:pPr>
        <w:pStyle w:val="TextBody"/>
        <w:bidi w:val="0"/>
        <w:spacing w:lineRule="auto" w:line="300" w:before="0" w:after="0"/>
        <w:ind w:left="0" w:right="0" w:firstLine="490"/>
        <w:jc w:val="left"/>
        <w:rPr>
          <w:sz w:val="20"/>
        </w:rPr>
      </w:pPr>
      <w:r>
        <w:rPr>
          <w:sz w:val="20"/>
        </w:rPr>
        <w:t>None.</w:t>
      </w:r>
    </w:p>
    <w:p>
      <w:pPr>
        <w:pStyle w:val="TextBody"/>
        <w:bidi w:val="0"/>
        <w:spacing w:lineRule="auto" w:line="300" w:before="0" w:after="0"/>
        <w:jc w:val="left"/>
        <w:rPr/>
      </w:pPr>
      <w:r>
        <w:rPr/>
        <w:t> </w:t>
      </w:r>
    </w:p>
    <w:p>
      <w:pPr>
        <w:pStyle w:val="TextBody"/>
        <w:bidi w:val="0"/>
        <w:spacing w:lineRule="auto" w:line="300" w:before="0" w:after="0"/>
        <w:jc w:val="left"/>
        <w:rPr>
          <w:b/>
          <w:sz w:val="20"/>
        </w:rPr>
      </w:pPr>
      <w:bookmarkStart w:id="121" w:name="Item5"/>
      <w:bookmarkEnd w:id="121"/>
      <w:r>
        <w:rPr>
          <w:b/>
          <w:sz w:val="20"/>
        </w:rPr>
        <w:t>Item 5. Operating and Financial Review and Prospects</w:t>
      </w:r>
    </w:p>
    <w:p>
      <w:pPr>
        <w:pStyle w:val="TextBody"/>
        <w:bidi w:val="0"/>
        <w:spacing w:lineRule="auto" w:line="300" w:before="0" w:after="0"/>
        <w:jc w:val="left"/>
        <w:rPr/>
      </w:pPr>
      <w:r>
        <w:rPr/>
        <w:t> </w:t>
      </w:r>
    </w:p>
    <w:p>
      <w:pPr>
        <w:pStyle w:val="TextBody"/>
        <w:bidi w:val="0"/>
        <w:spacing w:lineRule="auto" w:line="300" w:before="0" w:after="0"/>
        <w:ind w:left="0" w:right="0" w:firstLine="490"/>
        <w:jc w:val="left"/>
        <w:rPr>
          <w:i/>
          <w:sz w:val="20"/>
        </w:rPr>
      </w:pPr>
      <w:r>
        <w:rPr>
          <w:i/>
          <w:sz w:val="20"/>
        </w:rPr>
        <w:t>You should read the following discussion together with the consolidated financial statements and related notes included elsewhere in this Annual Report. The statements contained in this discussion regarding industry outlook, our expectations regarding our future performance, planned investments in our expansion into additional geographies, research and development, sales and marketing and general and administrative functions as well as other non-historical statements contained in this discussion are forward-looking statements. These forward-looking statements are subject to numerous risks and uncertainties, including, but not limited to, the risks and uncertainties described in Item 3.D. entitled “Risk factors” and “Special note regarding forward-looking statements” included elsewhere in this Annual Report. Our actual results may differ materially from those contained in or implied by any forward-looking statements.</w:t>
      </w:r>
    </w:p>
    <w:p>
      <w:pPr>
        <w:pStyle w:val="TextBody"/>
        <w:bidi w:val="0"/>
        <w:spacing w:lineRule="auto" w:line="300" w:before="0" w:after="0"/>
        <w:jc w:val="left"/>
        <w:rPr/>
      </w:pPr>
      <w:r>
        <w:rPr/>
        <w:t> </w:t>
      </w:r>
    </w:p>
    <w:p>
      <w:pPr>
        <w:pStyle w:val="TextBody"/>
        <w:bidi w:val="0"/>
        <w:spacing w:lineRule="auto" w:line="300" w:before="0" w:after="0"/>
        <w:ind w:left="0" w:right="0" w:firstLine="490"/>
        <w:jc w:val="both"/>
        <w:rPr/>
      </w:pPr>
      <w:r>
        <w:rPr>
          <w:sz w:val="20"/>
        </w:rPr>
        <w:t xml:space="preserve">Certain information called for by this Item 5, including a discussion of the year ended December 31, 2021 compared to the year ended December 31, 2022 has been reported previously in </w:t>
      </w:r>
      <w:hyperlink r:id="rId22">
        <w:r>
          <w:rPr>
            <w:rStyle w:val="InternetLink"/>
            <w:sz w:val="20"/>
          </w:rPr>
          <w:t>our Annual Report on Form 20-F filed with the SEC on March 14, 2023</w:t>
        </w:r>
      </w:hyperlink>
      <w:r>
        <w:rPr>
          <w:sz w:val="20"/>
        </w:rPr>
        <w:t xml:space="preserve"> in Part I, Item 5 under the section entitled “Operating and Financial Review and Prospects.”</w:t>
      </w:r>
    </w:p>
    <w:p>
      <w:pPr>
        <w:pStyle w:val="TextBody"/>
        <w:bidi w:val="0"/>
        <w:spacing w:lineRule="auto" w:line="300" w:before="0" w:after="0"/>
        <w:jc w:val="left"/>
        <w:rPr/>
      </w:pPr>
      <w:r>
        <w:rPr/>
        <w:t> </w:t>
      </w:r>
    </w:p>
    <w:p>
      <w:pPr>
        <w:pStyle w:val="TextBody"/>
        <w:bidi w:val="0"/>
        <w:spacing w:lineRule="auto" w:line="300" w:before="0" w:after="0"/>
        <w:jc w:val="left"/>
        <w:rPr/>
      </w:pPr>
      <w:r>
        <w:rPr/>
        <w:t> </w:t>
      </w:r>
      <w:r>
        <w:rPr>
          <w:b/>
          <w:sz w:val="20"/>
        </w:rPr>
        <w:t>Overview</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WalkMe was founded in Israel in 2011 with a mission to make software easier to use and deploy. From this foundation, we pioneered the world’s leading Digital Adoption Platform so companies can effectively navigate the constant change brought on by technology. With WalkMe, organizations drive enterprise productivity and reduce risk by ensuring consistent, responsible, and efficient adoption of software and the workflows it powers. Our AI-driven platform sits on top of an organization’s tech stack, identifies where people experience friction, and delivers the personalized guidance and automation needed to get the job done, right in the flow of work.</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58</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For the years ended December 31, 2022 and 2023, our revenue was $245.0 million and $267.0 million, respectively, representing year-over-year growth of 9%. For the years ended December 31, 2022 and 2023, our net loss was $108.3 million and $56.8 million, respectively, our net cash provided by (used in) operating activities was ($46.8) million and $15.3 million, respectively, and our free cash flow was ($53.9) million and $11.5 million, respectively. Given the headwinds we faced with moderate growth in Net New ARR in 2023 and the continued decline in our professional services revenue, we expect subscription revenue to accelerate in 2024 with a slight decline in our professional services revenue as we continue our transition towards partner delivery in line with our strategy.</w:t>
      </w:r>
    </w:p>
    <w:p>
      <w:pPr>
        <w:pStyle w:val="TextBody"/>
        <w:bidi w:val="0"/>
        <w:spacing w:lineRule="auto" w:line="300" w:before="0" w:after="0"/>
        <w:ind w:left="0" w:right="0" w:firstLine="490"/>
        <w:jc w:val="both"/>
        <w:rPr/>
      </w:pPr>
      <w:r>
        <w:rPr/>
      </w:r>
    </w:p>
    <w:p>
      <w:pPr>
        <w:pStyle w:val="TextBody"/>
        <w:bidi w:val="0"/>
        <w:spacing w:lineRule="auto" w:line="300" w:before="0" w:after="0"/>
        <w:jc w:val="both"/>
        <w:rPr>
          <w:b/>
          <w:sz w:val="20"/>
        </w:rPr>
      </w:pPr>
      <w:r>
        <w:rPr>
          <w:b/>
          <w:sz w:val="20"/>
        </w:rPr>
        <w:t>Our Business Model</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generate revenue by selling subscriptions to our cloud-based Digital Adoption Platform, as well as associated professional services. Our contracts are typically for a period of one to three years. We have seen a trend towards multi-year contracts as our customers deepen their investment in WalkMe as a strategic platform underlying their digital transformation strategies. We primarily bill our customers annually in advance. Subscription revenue comprised approximately 90% and 93% of our total revenue for 2022 and 2023, respectively.</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price our subscriptions based on the number of applications on which WalkMe is deployed, the number of users, and the breadth of the capabilities of our Digital Adoption Platform to which our customers choose to subscribe. Our Digital Adoption Platform is designed to help companies accelerate their digital transformation by streamlining processes, enhancing user experiences, and improving employee productivity. Our customers often expand their subscriptions as they grow the number of users that engage with our Digital Adoption Platform, the number of applications on which WalkMe is deployed and the breadth of the capabilities to which they subscribe. When customers move to an enterprise-wide model, our pricing changes to a price per user for unlimited applications.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We have a diverse customer base consisting of organizations of various sizes across all major industries, and our largest customer accounted for less than 3.1% of our ARR in the years ended December 31, 2022 and 2023. Our go-to-market strategy is increasingly focused on enterprise customers within the Global 2000, as those customers have larger employee and customer bases, many with a greater need to transform digitally and a significant opportunity to benefit from the deployment of our Digital Adoption Platform as many of them have a need to accelerate their digital transformations. As of December 31, 2023, our customers included 410 of the Global 2000, illustrating the applicability of our Digital Adoption Platform for some of the world’s largest and most sophisticated enterprises, as well as our potential for future growth. In addition, as of December 31, 2023, we had 548 customers with ARR greater than $100,000, increasing from 514 as of December 31, 2022. These customers represented 85% of our ARR as of December 31, 2023, increasing from 82% as of December 31, 2022. As of December 31, 2023, we had 41 customers with ARR greater than $1,000,000, an increase from 39 customers as of December 31, 2022, which represents 34% and 32% of our total ARR, respectively. Furthermore, of our 410 Global 2000 customers, 251 had ARR greater than $100,000 and 29 had ARR of $1,000,000 or more as of December 31, 2023. Our revenue from customers outside of the United States represented approximately 29% and 30% of our total revenue in the years ended December 31, 2022 and 2023, respectively.</w:t>
      </w:r>
    </w:p>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Key Factors Affecting Our Performance</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Customer Acquisition and Expansion</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are focused on continuing to acquire new customers and expanding our footprint within our current customers to support our long-term growth. We have increasingly optimized our customer acquisition efforts to target customers with greater than 500 employees that we believe can yield greater expansion opportunities over time as compared to less than 500 employee customer accounts. As of December 31, 2022 and December 31, 2023, we had 1,806 and 1,638 total customers, respectively. Also, as of December 31, 2022 and December 31, 2023, we had 1,244 and 1,251 customers with 500 or more employees, respectively.</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define a customer as a distinct entity with an active subscription contract as of the measurement date. For new customers, we typically land in a specific geography or departmental use case such as HRIS, ERP or CRM. We then aim to grow within that customer’s organization by expanding across other departments, use cases and geographies. For some customers, we offer enterprise-wide subscriptions that enable them to use our Digital Adoption Platform on any application and across any department or geography within their organization. We believe enterprise-wide subscription agreements such as this encourage our customers to consume more of our platform and ultimately can result in greater long-term value to us. We intend to continue to invest in our go-to-market strategy to acquire new customers, expand within current customers and develop new use cases across all industries and customer sizes. Our results will depend in part on the degree to which these efforts are successful.</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59</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We also intend to focus on expansion with our current customer base. We demonstrate this by sharing the increase of ARR for each cohort by year. For example, the 2018 cohort includes all customers that made their first purchase from us between January 1, 2018 and December 31, 2018. Our ARR from customers for the 2016 cohort, 2017 cohort, 2018 cohort, 2019 cohort, 2020 cohort, 2021 cohort, and 2022 cohort as of December 31, 2023 represented an increase over each cohort’s initial aggregate ARR by 1.4x, 2.2x, 1.6x, 1.3x, 1.0x, 1.1x, and 1.2x respectively. Our ARR from customers with 500 or more employees for the 2016 cohort, 2017 cohort, 2018 cohort, 2019 cohort, 2020 cohort, 2021 cohort, and 2022 cohort as of December 31, 2023 represented an increase over each cohort’s initial aggregate ARR by 2.7x, 3.9x, 2.4x, 1.8x, 1.3x, 1.2x, and 1.3x respectively. These ARR multiples reflect both decreases in customer contract values and customer cancellations that have occurred since the comparative ARR calculation date. We track ARR within each customer cohort because we believe it provides useful information to management and investors regarding our ability to retain and expand ARR from our existing customers over time, and for identifying trends in customer use cycles and gauging the success of our customer expansion efforts over the long-term, which assists us in planning for and managing the growth of our business.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Focused Investing for Durable Growth</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focused investments for growth encompass multiple critical areas, including international growth, enterprise sales, U.S. federal government sales and product expansion. We also intend to selectively expand our sales and go-to-market efforts in existing markets and broaden our partner ecosystem. We also plan to invest in marketing to drive awareness of the category of digital adoption. We also plan to continue our investment into research and development to extend our technology leadership, product functionality and grow the emerging Digital Adoption category. We expect to balance these investments with a focus on increased operating efficiency as we drive to increase our free cash flow and, ultimately, achieve profitability in the long term.</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We continue to evolve our technology to ensure that we are best serving our customers’ needs. We believe this will lead to continued expansion within our current customers’ organizations and increase sales to new customers. We continue to invest in research and development to drive product innovation and development.</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Ecosystem Expansion</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In February 2021, we launched WalkMe Beyond, our solution ecosystem which includes components such as Digital Adoption Platform professionals, a marketplace and community, product and technology integrations, open API, and a training institute. In October 2023 we announced Propel, a new partner program tailored to give global and regional services integrators as well as ISV/tech alliance partners a head-start in harnessing the rapidly-expanding Digital Adoption Platform market. We have strong partnerships with strategic systems integrators such as Accenture, Cognizant, Deloitte, IBM, HCL and HKA, among others. We expect our partnerships to extend our sales reach and provide implementation leverage both in the United States and internationally. We intend to continue to invest in our partnership expansion and integration development efforts to build a healthy ecosystem that will contribute to the long-term growth and sustainability of our business.</w:t>
      </w:r>
    </w:p>
    <w:p>
      <w:pPr>
        <w:pStyle w:val="TextBody"/>
        <w:bidi w:val="0"/>
        <w:spacing w:lineRule="auto" w:line="300" w:before="0" w:after="0"/>
        <w:jc w:val="left"/>
        <w:rPr/>
      </w:pPr>
      <w:r>
        <w:rPr/>
      </w:r>
    </w:p>
    <w:p>
      <w:pPr>
        <w:pStyle w:val="TextBody"/>
        <w:bidi w:val="0"/>
        <w:spacing w:lineRule="auto" w:line="300" w:before="0" w:after="0"/>
        <w:jc w:val="both"/>
        <w:rPr>
          <w:b/>
          <w:sz w:val="20"/>
        </w:rPr>
      </w:pPr>
      <w:r>
        <w:rPr>
          <w:b/>
          <w:sz w:val="20"/>
        </w:rPr>
        <w:t>Key Business and Financial Metrics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review a number of operating and financial metrics, including the following key metrics, to evaluate our business, measure our performance, identify trends affecting our business, formulate business plans, and make strategic decisions.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Annualized Recurring Revenue (“ARR”)</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use ARR as a measure of our revenue trend and as an indicator of our future revenue opportunity from existing customer contracts. We define ARR as the annualized value of customer subscription contracts as of the measurement date, assuming any contract that expires during the next 12 months is renewed on its existing terms (including contracts for which we are negotiating a renewal). Our calculation of ARR is not adjusted for the impact of any known or projected future events (such as customer cancellations, upgrades or downgrades, or price increases or decreases) that may cause any such contract not to be renewed on its existing terms. In addition, the amount of actual revenue that we recognize over any 12-month period is likely to differ from ARR at the beginning of that period, sometimes significantly. This may occur due to new bookings, cancellations, upgrades, downgrades or other changes in pending renewals, as well as the effects of professional services revenue and acquisitions or divestitures. As a result, ARR should be viewed independently of, and not as a substitute for or forecast of, revenue and deferred revenue. Our calculation of ARR may differ from similarly titled metrics presented by other companies. As of December 31, 2023, customers having 500 or more employees represented 96% of our total ARR compared to 94% of our total ARR as of December 31, 2022.</w:t>
      </w:r>
    </w:p>
    <w:p>
      <w:pPr>
        <w:pStyle w:val="TextBody"/>
        <w:bidi w:val="0"/>
        <w:spacing w:lineRule="auto" w:line="300" w:before="0" w:after="0"/>
        <w:ind w:left="0" w:right="0" w:firstLine="490"/>
        <w:jc w:val="both"/>
        <w:rPr/>
      </w:pPr>
      <w:r>
        <w:rPr/>
        <w:t>  </w:t>
      </w:r>
    </w:p>
    <w:p>
      <w:pPr>
        <w:pStyle w:val="Normal"/>
        <w:bidi w:val="0"/>
        <w:spacing w:before="0" w:after="0"/>
        <w:jc w:val="left"/>
        <w:rPr>
          <w:sz w:val="4"/>
          <w:szCs w:val="4"/>
        </w:rPr>
      </w:pPr>
      <w:r>
        <w:rPr>
          <w:sz w:val="4"/>
          <w:szCs w:val="4"/>
        </w:rPr>
      </w:r>
      <w:bookmarkStart w:id="122" w:name="z5b4f0f911f7a4b878df6d96abe3d0410"/>
      <w:bookmarkStart w:id="123" w:name="z5b4f0f911f7a4b878df6d96abe3d0410"/>
      <w:bookmarkEnd w:id="123"/>
    </w:p>
    <w:tbl>
      <w:tblPr>
        <w:tblW w:w="5650" w:type="dxa"/>
        <w:jc w:val="left"/>
        <w:tblInd w:w="0" w:type="dxa"/>
        <w:tblLayout w:type="fixed"/>
        <w:tblCellMar>
          <w:top w:w="0" w:type="dxa"/>
          <w:left w:w="0" w:type="dxa"/>
          <w:bottom w:w="0" w:type="dxa"/>
          <w:right w:w="0" w:type="dxa"/>
        </w:tblCellMar>
      </w:tblPr>
      <w:tblGrid>
        <w:gridCol w:w="3995"/>
        <w:gridCol w:w="60"/>
        <w:gridCol w:w="140"/>
        <w:gridCol w:w="560"/>
        <w:gridCol w:w="60"/>
        <w:gridCol w:w="60"/>
        <w:gridCol w:w="140"/>
        <w:gridCol w:w="560"/>
        <w:gridCol w:w="75"/>
      </w:tblGrid>
      <w:tr>
        <w:trPr/>
        <w:tc>
          <w:tcPr>
            <w:tcW w:w="3995" w:type="dxa"/>
            <w:tcBorders/>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As of</w:t>
              <w:br/>
              <w:t>December 31,</w:t>
            </w:r>
          </w:p>
        </w:tc>
        <w:tc>
          <w:tcPr>
            <w:tcW w:w="7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lineRule="auto" w:line="300" w:before="0" w:after="0"/>
              <w:jc w:val="left"/>
              <w:rPr/>
            </w:pPr>
            <w:r>
              <w:rPr/>
              <w:t>Annualized Recurring Revenue (millions)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560" w:type="dxa"/>
            <w:tcBorders/>
            <w:shd w:fill="CCEEFF" w:val="clear"/>
            <w:vAlign w:val="center"/>
          </w:tcPr>
          <w:p>
            <w:pPr>
              <w:pStyle w:val="TableContents"/>
              <w:bidi w:val="0"/>
              <w:spacing w:lineRule="auto" w:line="300" w:before="0" w:after="0"/>
              <w:jc w:val="right"/>
              <w:rPr/>
            </w:pPr>
            <w:r>
              <w:rPr/>
              <w:t>262.3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560" w:type="dxa"/>
            <w:tcBorders/>
            <w:shd w:fill="CCEEFF" w:val="clear"/>
            <w:vAlign w:val="center"/>
          </w:tcPr>
          <w:p>
            <w:pPr>
              <w:pStyle w:val="TableContents"/>
              <w:bidi w:val="0"/>
              <w:spacing w:lineRule="auto" w:line="300" w:before="0" w:after="0"/>
              <w:jc w:val="right"/>
              <w:rPr/>
            </w:pPr>
            <w:r>
              <w:rPr/>
              <w:t>276.3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60</w:t>
      </w:r>
    </w:p>
    <w:p>
      <w:pPr>
        <w:pStyle w:val="HorizontalLine"/>
        <w:bidi w:val="0"/>
        <w:spacing w:before="200" w:after="200"/>
        <w:jc w:val="left"/>
        <w:rPr/>
      </w:pPr>
      <w:r>
        <w:rPr/>
      </w:r>
    </w:p>
    <w:p>
      <w:pPr>
        <w:pStyle w:val="TextBody"/>
        <w:bidi w:val="0"/>
        <w:spacing w:lineRule="auto" w:line="300" w:before="0" w:after="0"/>
        <w:jc w:val="both"/>
        <w:rPr>
          <w:b/>
          <w:i/>
          <w:sz w:val="20"/>
        </w:rPr>
      </w:pPr>
      <w:r>
        <w:rPr>
          <w:b/>
          <w:i/>
          <w:sz w:val="20"/>
        </w:rPr>
        <w:t>Customers with ARR Greater than $100,000</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We measure the number of customers with ARR greater than $100,000 (“$100,000+ Customers”). We believe our ability to increase these customers is an indicator of our market penetration, strategic demand for our Digital Adoption Platform, the growth of our business, and our potential future business opportunities. Our calculation of this metric may differ from similarly titled metrics presented by other companies.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24" w:name="z5462b13380024a5981ed72043ffd257b"/>
      <w:bookmarkStart w:id="125" w:name="z5462b13380024a5981ed72043ffd257b"/>
      <w:bookmarkEnd w:id="125"/>
    </w:p>
    <w:tbl>
      <w:tblPr>
        <w:tblW w:w="3682" w:type="dxa"/>
        <w:jc w:val="left"/>
        <w:tblInd w:w="0" w:type="dxa"/>
        <w:tblLayout w:type="fixed"/>
        <w:tblCellMar>
          <w:top w:w="0" w:type="dxa"/>
          <w:left w:w="0" w:type="dxa"/>
          <w:bottom w:w="0" w:type="dxa"/>
          <w:right w:w="0" w:type="dxa"/>
        </w:tblCellMar>
      </w:tblPr>
      <w:tblGrid>
        <w:gridCol w:w="2135"/>
        <w:gridCol w:w="60"/>
        <w:gridCol w:w="84"/>
        <w:gridCol w:w="536"/>
        <w:gridCol w:w="84"/>
        <w:gridCol w:w="84"/>
        <w:gridCol w:w="84"/>
        <w:gridCol w:w="540"/>
        <w:gridCol w:w="75"/>
      </w:tblGrid>
      <w:tr>
        <w:trPr/>
        <w:tc>
          <w:tcPr>
            <w:tcW w:w="2135" w:type="dxa"/>
            <w:tcBorders/>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As of</w:t>
              <w:br/>
              <w:t>December 31,</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24"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lineRule="auto" w:line="300" w:before="0" w:after="0"/>
              <w:jc w:val="left"/>
              <w:rPr/>
            </w:pPr>
            <w:r>
              <w:rPr/>
              <w:t>$100,000+ Customers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lineRule="auto" w:line="300" w:before="0" w:after="0"/>
              <w:jc w:val="right"/>
              <w:rPr/>
            </w:pPr>
            <w:r>
              <w:rPr/>
              <w:t>514</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lineRule="auto" w:line="300" w:before="0" w:after="0"/>
              <w:jc w:val="right"/>
              <w:rPr/>
            </w:pPr>
            <w:r>
              <w:rPr/>
              <w:t>548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We also measure the number of customers within our $100,000+ Customers who have purchased enterprise-wide subscriptions or who have department-wide usage of our Digital Adoption Platform across four or more applications. We believe these customers are an indication of the success of our customer acquisition and expansion strategy and demonstrate the strategic demand for our Digital Adoption Platform, the growth of our business and our potential future business opportunities. Our calculation of this metric may differ from similarly titled metrics presented by other companies. As of December 31, 2022 and 2023, we had 173 and 199, respectively, of these customers. As of December 31, 2023, these customers represented 53% of our ARR, compared to 50% of our ARR as of December 31, 2022. Additionally, as of December 31, 2023, these customers had an average ARR of $738 thousand, compared to $758 thousand as of December 31, 2022.</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Dollar-Based Net Retention Rate</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We use our Dollar-Based Net Retention Rate to measure our ability to retain and expand ARR from our existing customers on a trailing four-quarter basis. Our Dollar-Based Net Retention Rate compares the ARR from the same set of subscription customers across comparable periods. In each of the trailing four quarters, the set of customers identified from 12 months prior is compared to those same customers’ subscription ARR in the respective quarter. ARR in the trailing four quarters includes customer renewals, expansion, contraction and churn. The calculation of our Dollar-Based Net Retention Rate in a particular quarter is obtained by averaging the result from that particular quarter with the corresponding results from each of the prior three quarters. Our calculation of Dollar-Based Net Retention Rate may differ from similarly titled metrics presented by other companies.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26" w:name="zc82303145f764a98be501f685354cd49"/>
      <w:bookmarkStart w:id="127" w:name="zc82303145f764a98be501f685354cd49"/>
      <w:bookmarkEnd w:id="127"/>
    </w:p>
    <w:tbl>
      <w:tblPr>
        <w:tblW w:w="8997" w:type="dxa"/>
        <w:jc w:val="left"/>
        <w:tblInd w:w="0" w:type="dxa"/>
        <w:tblLayout w:type="fixed"/>
        <w:tblCellMar>
          <w:top w:w="0" w:type="dxa"/>
          <w:left w:w="0" w:type="dxa"/>
          <w:bottom w:w="0" w:type="dxa"/>
          <w:right w:w="0" w:type="dxa"/>
        </w:tblCellMar>
      </w:tblPr>
      <w:tblGrid>
        <w:gridCol w:w="7295"/>
        <w:gridCol w:w="60"/>
        <w:gridCol w:w="73"/>
        <w:gridCol w:w="465"/>
        <w:gridCol w:w="263"/>
        <w:gridCol w:w="73"/>
        <w:gridCol w:w="73"/>
        <w:gridCol w:w="465"/>
        <w:gridCol w:w="230"/>
      </w:tblGrid>
      <w:tr>
        <w:trPr/>
        <w:tc>
          <w:tcPr>
            <w:tcW w:w="7295" w:type="dxa"/>
            <w:tcBorders/>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As of</w:t>
              <w:br/>
              <w:t>December 31,</w:t>
            </w:r>
          </w:p>
        </w:tc>
        <w:tc>
          <w:tcPr>
            <w:tcW w:w="230"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538"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26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538"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23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lineRule="auto" w:line="300" w:before="0" w:after="0"/>
              <w:jc w:val="left"/>
              <w:rPr/>
            </w:pPr>
            <w:r>
              <w:rPr/>
              <w:t>Dollar-Based Net Retention Rate (all customers)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lineRule="auto" w:line="300" w:before="0" w:after="0"/>
              <w:jc w:val="right"/>
              <w:rPr/>
            </w:pPr>
            <w:r>
              <w:rPr/>
              <w:t>113</w:t>
            </w:r>
          </w:p>
        </w:tc>
        <w:tc>
          <w:tcPr>
            <w:tcW w:w="263" w:type="dxa"/>
            <w:tcBorders/>
            <w:shd w:fill="CCEEFF" w:val="clear"/>
            <w:vAlign w:val="center"/>
          </w:tcPr>
          <w:p>
            <w:pPr>
              <w:pStyle w:val="TableContents"/>
              <w:bidi w:val="0"/>
              <w:spacing w:lineRule="auto" w:line="300" w:before="0" w:after="0"/>
              <w:jc w:val="lef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lineRule="auto" w:line="300" w:before="0" w:after="0"/>
              <w:jc w:val="right"/>
              <w:rPr/>
            </w:pPr>
            <w:r>
              <w:rPr/>
              <w:t>100</w:t>
            </w:r>
          </w:p>
        </w:tc>
        <w:tc>
          <w:tcPr>
            <w:tcW w:w="230" w:type="dxa"/>
            <w:tcBorders/>
            <w:shd w:fill="CCEEFF" w:val="clear"/>
            <w:vAlign w:val="center"/>
          </w:tcPr>
          <w:p>
            <w:pPr>
              <w:pStyle w:val="TableContents"/>
              <w:bidi w:val="0"/>
              <w:spacing w:lineRule="auto" w:line="300" w:before="0" w:after="0"/>
              <w:jc w:val="left"/>
              <w:rPr/>
            </w:pPr>
            <w:r>
              <w:rPr/>
              <w:t>%</w:t>
            </w:r>
          </w:p>
        </w:tc>
      </w:tr>
      <w:tr>
        <w:trPr/>
        <w:tc>
          <w:tcPr>
            <w:tcW w:w="7295" w:type="dxa"/>
            <w:tcBorders/>
            <w:vAlign w:val="center"/>
          </w:tcPr>
          <w:p>
            <w:pPr>
              <w:pStyle w:val="TableContents"/>
              <w:bidi w:val="0"/>
              <w:spacing w:lineRule="auto" w:line="300" w:before="0" w:after="0"/>
              <w:jc w:val="left"/>
              <w:rPr/>
            </w:pPr>
            <w:r>
              <w:rPr/>
              <w:t>Dollar Based Net Retention Rate (customers having 500 or more employees)</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lineRule="auto" w:line="300" w:before="0" w:after="0"/>
              <w:jc w:val="right"/>
              <w:rPr/>
            </w:pPr>
            <w:r>
              <w:rPr/>
              <w:t>116</w:t>
            </w:r>
          </w:p>
        </w:tc>
        <w:tc>
          <w:tcPr>
            <w:tcW w:w="263" w:type="dxa"/>
            <w:tcBorders/>
            <w:vAlign w:val="center"/>
          </w:tcPr>
          <w:p>
            <w:pPr>
              <w:pStyle w:val="TableContents"/>
              <w:bidi w:val="0"/>
              <w:spacing w:lineRule="auto" w:line="300" w:before="0" w:after="0"/>
              <w:jc w:val="left"/>
              <w:rPr/>
            </w:pPr>
            <w:r>
              <w:rPr/>
              <w:t>%</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lineRule="auto" w:line="300" w:before="0" w:after="0"/>
              <w:jc w:val="right"/>
              <w:rPr/>
            </w:pPr>
            <w:r>
              <w:rPr/>
              <w:t>102</w:t>
            </w:r>
          </w:p>
        </w:tc>
        <w:tc>
          <w:tcPr>
            <w:tcW w:w="230" w:type="dxa"/>
            <w:tcBorders/>
            <w:vAlign w:val="center"/>
          </w:tcPr>
          <w:p>
            <w:pPr>
              <w:pStyle w:val="TableContents"/>
              <w:bidi w:val="0"/>
              <w:spacing w:lineRule="auto" w:line="300" w:before="0" w:after="0"/>
              <w:jc w:val="left"/>
              <w:rPr/>
            </w:pPr>
            <w:r>
              <w:rPr/>
              <w:t>%</w:t>
            </w:r>
          </w:p>
        </w:tc>
      </w:tr>
    </w:tbl>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Remaining Performance Obligations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Remaining Performance Obligations represents future revenue from committed contracts that has not been recognized. This calculation includes deferred revenue and non-cancelable amounts and includes certain amounts subject to customary termination rights under the Federal Acquisition Regulations (FAR) or Defense Federal Acquisition Regulation Supplement (DFARS),that will be invoiced and recognized as revenue in future periods. Subscription contracts with termination for convenience and without any penalty are excluded. We expect to recognize 56% of our Remaining Performance Obligations as of December 31, 2023 as revenue over the next twelve months, and the remainder thereafter, in each case, in accordance with our revenue recognition policy; however, we cannot guarantee that any portion of our Remaining Performance Obligations will be recognized as revenue within the timeframe we expect or at all.</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28" w:name="zd5cc4941379848c3b99a66c815861127"/>
      <w:bookmarkStart w:id="129" w:name="zd5cc4941379848c3b99a66c815861127"/>
      <w:bookmarkEnd w:id="129"/>
    </w:p>
    <w:tbl>
      <w:tblPr>
        <w:tblW w:w="6100" w:type="dxa"/>
        <w:jc w:val="left"/>
        <w:tblInd w:w="0" w:type="dxa"/>
        <w:tblLayout w:type="fixed"/>
        <w:tblCellMar>
          <w:top w:w="0" w:type="dxa"/>
          <w:left w:w="0" w:type="dxa"/>
          <w:bottom w:w="0" w:type="dxa"/>
          <w:right w:w="0" w:type="dxa"/>
        </w:tblCellMar>
      </w:tblPr>
      <w:tblGrid>
        <w:gridCol w:w="4445"/>
        <w:gridCol w:w="60"/>
        <w:gridCol w:w="140"/>
        <w:gridCol w:w="560"/>
        <w:gridCol w:w="60"/>
        <w:gridCol w:w="60"/>
        <w:gridCol w:w="140"/>
        <w:gridCol w:w="560"/>
        <w:gridCol w:w="75"/>
      </w:tblGrid>
      <w:tr>
        <w:trPr/>
        <w:tc>
          <w:tcPr>
            <w:tcW w:w="4445" w:type="dxa"/>
            <w:tcBorders/>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As of</w:t>
              <w:br/>
              <w:t>December 31,</w:t>
            </w:r>
          </w:p>
        </w:tc>
        <w:tc>
          <w:tcPr>
            <w:tcW w:w="7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lineRule="auto" w:line="300" w:before="0" w:after="0"/>
              <w:jc w:val="left"/>
              <w:rPr/>
            </w:pPr>
            <w:r>
              <w:rPr/>
              <w:t>Remaining Performance Obligations (millions)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560" w:type="dxa"/>
            <w:tcBorders/>
            <w:shd w:fill="CCEEFF" w:val="clear"/>
            <w:vAlign w:val="center"/>
          </w:tcPr>
          <w:p>
            <w:pPr>
              <w:pStyle w:val="TableContents"/>
              <w:bidi w:val="0"/>
              <w:spacing w:lineRule="auto" w:line="300" w:before="0" w:after="0"/>
              <w:jc w:val="right"/>
              <w:rPr/>
            </w:pPr>
            <w:r>
              <w:rPr/>
              <w:t>374.0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560" w:type="dxa"/>
            <w:tcBorders/>
            <w:shd w:fill="CCEEFF" w:val="clear"/>
            <w:vAlign w:val="center"/>
          </w:tcPr>
          <w:p>
            <w:pPr>
              <w:pStyle w:val="TableContents"/>
              <w:bidi w:val="0"/>
              <w:spacing w:lineRule="auto" w:line="300" w:before="0" w:after="0"/>
              <w:jc w:val="right"/>
              <w:rPr/>
            </w:pPr>
            <w:r>
              <w:rPr/>
              <w:t>384.4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61</w:t>
      </w:r>
    </w:p>
    <w:p>
      <w:pPr>
        <w:pStyle w:val="HorizontalLine"/>
        <w:bidi w:val="0"/>
        <w:spacing w:before="200" w:after="200"/>
        <w:jc w:val="left"/>
        <w:rPr/>
      </w:pPr>
      <w:r>
        <w:rPr/>
      </w:r>
    </w:p>
    <w:p>
      <w:pPr>
        <w:pStyle w:val="TextBody"/>
        <w:bidi w:val="0"/>
        <w:spacing w:lineRule="auto" w:line="300" w:before="0" w:after="0"/>
        <w:jc w:val="both"/>
        <w:rPr>
          <w:b/>
          <w:sz w:val="20"/>
        </w:rPr>
      </w:pPr>
      <w:r>
        <w:rPr>
          <w:b/>
          <w:sz w:val="20"/>
        </w:rPr>
        <w:t>Non-GAAP Financial Measures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In addition to our financial results reported in accordance with GAAP, we believe that Free Cash Flow and Non-GAAP Operating Income (Loss), both of which are non-GAAP financial measures, are useful in evaluating the performance of our business.  See tables below for a discussion regarding our use of Free Cash Flow and Non-GAAP Operating Income (Loss), including their limitations, and a reconciliation to the most directly comparable GAAP financial measures.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Free Cash Flow</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define Free Cash Flow as net cash provided by (used in) operating activities, less cash used for purchases of property and equipment and capitalized internal-use software development costs. We believe that Free Cash Flow is a useful indicator of liquidity that provides information to management and investors, even if negative, about the amount of cash used in our business. Free Cash Flow has limitations as an analytical tool, may differ from similarly titled metrics presented by other companies, and should not be considered in isolation or as a substitute for analysis of net cash used in operating activities, the most directly comparable GAAP liquidity measure, or any other GAAP financial measures. Our Free Cash Flow may vary from period to period and be impacted as we continue to invest for growth in our business. The following table sets forth our net cash used in operating activities and the reconciliation to Free Cash Flow for each period presented (in millions).</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130" w:name="z612d4494d77741b99e3b5ffc2a2c8010"/>
      <w:bookmarkStart w:id="131" w:name="z612d4494d77741b99e3b5ffc2a2c8010"/>
      <w:bookmarkEnd w:id="131"/>
    </w:p>
    <w:tbl>
      <w:tblPr>
        <w:tblW w:w="6455" w:type="dxa"/>
        <w:jc w:val="left"/>
        <w:tblInd w:w="0" w:type="dxa"/>
        <w:tblLayout w:type="fixed"/>
        <w:tblCellMar>
          <w:top w:w="0" w:type="dxa"/>
          <w:left w:w="0" w:type="dxa"/>
          <w:bottom w:w="0" w:type="dxa"/>
          <w:right w:w="0" w:type="dxa"/>
        </w:tblCellMar>
      </w:tblPr>
      <w:tblGrid>
        <w:gridCol w:w="4775"/>
        <w:gridCol w:w="60"/>
        <w:gridCol w:w="140"/>
        <w:gridCol w:w="515"/>
        <w:gridCol w:w="215"/>
        <w:gridCol w:w="60"/>
        <w:gridCol w:w="140"/>
        <w:gridCol w:w="440"/>
        <w:gridCol w:w="110"/>
      </w:tblGrid>
      <w:tr>
        <w:trPr/>
        <w:tc>
          <w:tcPr>
            <w:tcW w:w="4775" w:type="dxa"/>
            <w:tcBorders/>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510"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w:t>
              <w:br/>
              <w:t>December 31,</w:t>
            </w:r>
          </w:p>
        </w:tc>
        <w:tc>
          <w:tcPr>
            <w:tcW w:w="11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655"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lineRule="auto" w:line="300" w:before="0" w:after="0"/>
              <w:jc w:val="left"/>
              <w:rPr/>
            </w:pPr>
            <w:r>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515" w:type="dxa"/>
            <w:tcBorders/>
            <w:shd w:fill="CCEEFF" w:val="clear"/>
            <w:vAlign w:val="center"/>
          </w:tcPr>
          <w:p>
            <w:pPr>
              <w:pStyle w:val="TableContents"/>
              <w:bidi w:val="0"/>
              <w:spacing w:lineRule="auto" w:line="300" w:before="0" w:after="0"/>
              <w:jc w:val="right"/>
              <w:rPr/>
            </w:pPr>
            <w:r>
              <w:rPr/>
              <w:t>(46.8</w:t>
            </w:r>
          </w:p>
        </w:tc>
        <w:tc>
          <w:tcPr>
            <w:tcW w:w="21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440" w:type="dxa"/>
            <w:tcBorders/>
            <w:shd w:fill="CCEEFF" w:val="clear"/>
            <w:vAlign w:val="center"/>
          </w:tcPr>
          <w:p>
            <w:pPr>
              <w:pStyle w:val="TableContents"/>
              <w:bidi w:val="0"/>
              <w:spacing w:lineRule="auto" w:line="300" w:before="0" w:after="0"/>
              <w:jc w:val="right"/>
              <w:rPr/>
            </w:pPr>
            <w:r>
              <w:rPr/>
              <w:t>15.3</w:t>
            </w:r>
          </w:p>
        </w:tc>
        <w:tc>
          <w:tcPr>
            <w:tcW w:w="110"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lineRule="auto" w:line="300" w:before="0" w:after="0"/>
              <w:jc w:val="left"/>
              <w:rPr/>
            </w:pPr>
            <w:r>
              <w:rPr/>
              <w:t>Less: Purchases of property and equipment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300" w:before="0" w:after="0"/>
              <w:jc w:val="right"/>
              <w:rPr/>
            </w:pPr>
            <w:r>
              <w:rPr/>
              <w:t>(2.9</w:t>
            </w:r>
          </w:p>
        </w:tc>
        <w:tc>
          <w:tcPr>
            <w:tcW w:w="21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lineRule="auto" w:line="300" w:before="0" w:after="0"/>
              <w:jc w:val="right"/>
              <w:rPr/>
            </w:pPr>
            <w:r>
              <w:rPr/>
              <w:t>(0.5</w:t>
            </w:r>
          </w:p>
        </w:tc>
        <w:tc>
          <w:tcPr>
            <w:tcW w:w="110" w:type="dxa"/>
            <w:tcBorders/>
            <w:vAlign w:val="center"/>
          </w:tcPr>
          <w:p>
            <w:pPr>
              <w:pStyle w:val="TableContents"/>
              <w:bidi w:val="0"/>
              <w:spacing w:lineRule="auto" w:line="300" w:before="0" w:after="0"/>
              <w:jc w:val="left"/>
              <w:rPr/>
            </w:pPr>
            <w:r>
              <w:rPr/>
              <w:t>)</w:t>
            </w:r>
          </w:p>
        </w:tc>
      </w:tr>
      <w:tr>
        <w:trPr/>
        <w:tc>
          <w:tcPr>
            <w:tcW w:w="4775" w:type="dxa"/>
            <w:tcBorders/>
            <w:shd w:fill="CCEEFF" w:val="clear"/>
            <w:vAlign w:val="center"/>
          </w:tcPr>
          <w:p>
            <w:pPr>
              <w:pStyle w:val="TableContents"/>
              <w:bidi w:val="0"/>
              <w:spacing w:lineRule="auto" w:line="300" w:before="0" w:after="0"/>
              <w:jc w:val="left"/>
              <w:rPr/>
            </w:pPr>
            <w:r>
              <w:rPr/>
              <w:t>Less: Capitalized software development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lineRule="auto" w:line="300" w:before="0" w:after="0"/>
              <w:jc w:val="right"/>
              <w:rPr/>
            </w:pPr>
            <w:r>
              <w:rPr/>
              <w:t>(4.3</w:t>
            </w:r>
          </w:p>
        </w:tc>
        <w:tc>
          <w:tcPr>
            <w:tcW w:w="21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lineRule="auto" w:line="300" w:before="0" w:after="0"/>
              <w:jc w:val="right"/>
              <w:rPr/>
            </w:pPr>
            <w:r>
              <w:rPr/>
              <w:t>(3.3</w:t>
            </w:r>
          </w:p>
        </w:tc>
        <w:tc>
          <w:tcPr>
            <w:tcW w:w="110" w:type="dxa"/>
            <w:tcBorders/>
            <w:shd w:fill="CCEEFF" w:val="clear"/>
            <w:vAlign w:val="center"/>
          </w:tcPr>
          <w:p>
            <w:pPr>
              <w:pStyle w:val="TableContents"/>
              <w:bidi w:val="0"/>
              <w:spacing w:lineRule="auto" w:line="300" w:before="0" w:after="0"/>
              <w:jc w:val="left"/>
              <w:rPr/>
            </w:pPr>
            <w:r>
              <w:rPr/>
              <w:t>)</w:t>
            </w:r>
          </w:p>
        </w:tc>
      </w:tr>
      <w:tr>
        <w:trPr/>
        <w:tc>
          <w:tcPr>
            <w:tcW w:w="4775" w:type="dxa"/>
            <w:tcBorders/>
            <w:vAlign w:val="center"/>
          </w:tcPr>
          <w:p>
            <w:pPr>
              <w:pStyle w:val="TableContents"/>
              <w:bidi w:val="0"/>
              <w:spacing w:lineRule="auto" w:line="300" w:before="0" w:after="0"/>
              <w:jc w:val="left"/>
              <w:rPr/>
            </w:pPr>
            <w:r>
              <w:rPr/>
              <w:t>Free Cash Flow</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515" w:type="dxa"/>
            <w:tcBorders/>
            <w:vAlign w:val="center"/>
          </w:tcPr>
          <w:p>
            <w:pPr>
              <w:pStyle w:val="TableContents"/>
              <w:bidi w:val="0"/>
              <w:spacing w:lineRule="auto" w:line="300" w:before="0" w:after="0"/>
              <w:jc w:val="right"/>
              <w:rPr/>
            </w:pPr>
            <w:r>
              <w:rPr/>
              <w:t>(53.9</w:t>
            </w:r>
          </w:p>
        </w:tc>
        <w:tc>
          <w:tcPr>
            <w:tcW w:w="21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440" w:type="dxa"/>
            <w:tcBorders/>
            <w:vAlign w:val="center"/>
          </w:tcPr>
          <w:p>
            <w:pPr>
              <w:pStyle w:val="TableContents"/>
              <w:bidi w:val="0"/>
              <w:spacing w:lineRule="auto" w:line="300" w:before="0" w:after="0"/>
              <w:jc w:val="right"/>
              <w:rPr/>
            </w:pPr>
            <w:r>
              <w:rPr/>
              <w:t>11.5</w:t>
            </w:r>
          </w:p>
        </w:tc>
        <w:tc>
          <w:tcPr>
            <w:tcW w:w="110"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TextBody"/>
        <w:bidi w:val="0"/>
        <w:spacing w:lineRule="auto" w:line="300" w:before="0" w:after="0"/>
        <w:jc w:val="left"/>
        <w:rPr>
          <w:sz w:val="20"/>
        </w:rPr>
      </w:pPr>
      <w:r>
        <w:rPr>
          <w:sz w:val="20"/>
        </w:rPr>
        <w:t>* Due to rounding, numbers presented in the above table may not add up precisely to the totals provided and percentages may not precisely reflect the absolute figures.</w:t>
      </w:r>
    </w:p>
    <w:p>
      <w:pPr>
        <w:pStyle w:val="TextBody"/>
        <w:bidi w:val="0"/>
        <w:spacing w:lineRule="auto" w:line="300" w:before="0" w:after="0"/>
        <w:jc w:val="left"/>
        <w:rPr/>
      </w:pPr>
      <w:r>
        <w:rPr/>
        <w:t> </w:t>
      </w:r>
    </w:p>
    <w:p>
      <w:pPr>
        <w:pStyle w:val="TextBody"/>
        <w:bidi w:val="0"/>
        <w:spacing w:lineRule="auto" w:line="300" w:before="0" w:after="0"/>
        <w:jc w:val="both"/>
        <w:rPr>
          <w:b/>
          <w:i/>
          <w:sz w:val="20"/>
        </w:rPr>
      </w:pPr>
      <w:r>
        <w:rPr>
          <w:b/>
          <w:i/>
          <w:sz w:val="20"/>
        </w:rPr>
        <w:t>Non-GAAP Operating Income (Loss)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define Non-GAAP Operating Income (Loss) as net income (loss) from operations excluding share-based compensation, amortization and impairment of acquired intangible assets, restructuring expenses and non-recurring legal settlement expenses related to a class action lawsuit and related claims which are considered outside of the company’s ordinary course of business. We exclude these items because they occur for reasons that may be unrelated to our core operating performance during the period, and because we believe that such items may obscure underlying business trends and make comparisons of long-term performance difficult. We use Non-GAAP Operating Income (Loss) with traditional GAAP measures to evaluate our financial performance. We believe that Non-GAAP Operating Income (Loss) provides our management and investors with useful supplementary information by facilitating period-to-period comparisons of our results of operations. Non-GAAP Operating Income (Loss) has limitations as an analytical tool, may differ from similarly titled metrics presented by other companies, and should not be considered in isolation or as a substitute for analysis of operating loss, the most directly comparable GAAP financial performance measure, or any other GAAP financial measures. The following table sets forth our operating loss, as determined in accordance with GAAP, and the reconciliation to Non-GAAP Operating Loss for each period presented (in millions).  </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32" w:name="za620a582ded54fda88918385424f645f"/>
      <w:bookmarkStart w:id="133" w:name="za620a582ded54fda88918385424f645f"/>
      <w:bookmarkEnd w:id="133"/>
    </w:p>
    <w:tbl>
      <w:tblPr>
        <w:tblW w:w="8360" w:type="dxa"/>
        <w:jc w:val="left"/>
        <w:tblInd w:w="0" w:type="dxa"/>
        <w:tblLayout w:type="fixed"/>
        <w:tblCellMar>
          <w:top w:w="0" w:type="dxa"/>
          <w:left w:w="0" w:type="dxa"/>
          <w:bottom w:w="0" w:type="dxa"/>
          <w:right w:w="0" w:type="dxa"/>
        </w:tblCellMar>
      </w:tblPr>
      <w:tblGrid>
        <w:gridCol w:w="6215"/>
        <w:gridCol w:w="60"/>
        <w:gridCol w:w="140"/>
        <w:gridCol w:w="635"/>
        <w:gridCol w:w="290"/>
        <w:gridCol w:w="60"/>
        <w:gridCol w:w="140"/>
        <w:gridCol w:w="515"/>
        <w:gridCol w:w="305"/>
      </w:tblGrid>
      <w:tr>
        <w:trPr/>
        <w:tc>
          <w:tcPr>
            <w:tcW w:w="6215" w:type="dxa"/>
            <w:tcBorders/>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w:t>
              <w:br/>
              <w:t>December 31,</w:t>
            </w:r>
          </w:p>
        </w:tc>
        <w:tc>
          <w:tcPr>
            <w:tcW w:w="305" w:type="dxa"/>
            <w:tcBorders/>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lineRule="auto" w:line="300" w:before="0" w:after="0"/>
              <w:ind w:left="0" w:right="675" w:hanging="0"/>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305"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lineRule="auto" w:line="300" w:before="0" w:after="0"/>
              <w:ind w:left="0" w:right="675" w:hanging="0"/>
              <w:jc w:val="left"/>
              <w:rPr/>
            </w:pPr>
            <w:r>
              <w:rPr/>
              <w:t>GAAP 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635" w:type="dxa"/>
            <w:tcBorders/>
            <w:shd w:fill="CCEEFF" w:val="clear"/>
            <w:vAlign w:val="center"/>
          </w:tcPr>
          <w:p>
            <w:pPr>
              <w:pStyle w:val="TableContents"/>
              <w:bidi w:val="0"/>
              <w:spacing w:lineRule="auto" w:line="300" w:before="0" w:after="0"/>
              <w:jc w:val="right"/>
              <w:rPr/>
            </w:pPr>
            <w:r>
              <w:rPr/>
              <w:t>(109.8</w:t>
            </w:r>
          </w:p>
        </w:tc>
        <w:tc>
          <w:tcPr>
            <w:tcW w:w="290"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515" w:type="dxa"/>
            <w:tcBorders/>
            <w:shd w:fill="CCEEFF" w:val="clear"/>
            <w:vAlign w:val="center"/>
          </w:tcPr>
          <w:p>
            <w:pPr>
              <w:pStyle w:val="TableContents"/>
              <w:bidi w:val="0"/>
              <w:spacing w:lineRule="auto" w:line="300" w:before="0" w:after="0"/>
              <w:jc w:val="right"/>
              <w:rPr/>
            </w:pPr>
            <w:r>
              <w:rPr/>
              <w:t>(64.9</w:t>
            </w:r>
          </w:p>
        </w:tc>
        <w:tc>
          <w:tcPr>
            <w:tcW w:w="305" w:type="dxa"/>
            <w:tcBorders/>
            <w:shd w:fill="CCEEFF" w:val="clear"/>
            <w:vAlign w:val="center"/>
          </w:tcPr>
          <w:p>
            <w:pPr>
              <w:pStyle w:val="TableContents"/>
              <w:bidi w:val="0"/>
              <w:spacing w:lineRule="auto" w:line="300" w:before="0" w:after="0"/>
              <w:jc w:val="left"/>
              <w:rPr/>
            </w:pPr>
            <w:r>
              <w:rPr/>
              <w:t>)</w:t>
            </w:r>
          </w:p>
        </w:tc>
      </w:tr>
      <w:tr>
        <w:trPr/>
        <w:tc>
          <w:tcPr>
            <w:tcW w:w="6215" w:type="dxa"/>
            <w:tcBorders/>
            <w:vAlign w:val="center"/>
          </w:tcPr>
          <w:p>
            <w:pPr>
              <w:pStyle w:val="TableContents"/>
              <w:bidi w:val="0"/>
              <w:spacing w:lineRule="auto" w:line="300" w:before="0" w:after="0"/>
              <w:ind w:left="0" w:right="675" w:hanging="0"/>
              <w:jc w:val="left"/>
              <w:rPr/>
            </w:pPr>
            <w:r>
              <w:rPr/>
              <w:t>Plus: Share-based compensation expense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uto" w:line="300" w:before="0" w:after="0"/>
              <w:jc w:val="right"/>
              <w:rPr/>
            </w:pPr>
            <w:r>
              <w:rPr/>
              <w:t>50.1</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300" w:before="0" w:after="0"/>
              <w:jc w:val="right"/>
              <w:rPr/>
            </w:pPr>
            <w:r>
              <w:rPr/>
              <w:t>55.5</w:t>
            </w:r>
          </w:p>
        </w:tc>
        <w:tc>
          <w:tcPr>
            <w:tcW w:w="305"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lineRule="auto" w:line="300" w:before="0" w:after="0"/>
              <w:ind w:left="0" w:right="675" w:hanging="0"/>
              <w:jc w:val="left"/>
              <w:rPr/>
            </w:pPr>
            <w:r>
              <w:rPr/>
              <w:t>Plus: Amortization and impairment of acquired intangibles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lineRule="auto" w:line="300" w:before="0" w:after="0"/>
              <w:jc w:val="right"/>
              <w:rPr/>
            </w:pPr>
            <w:r>
              <w:rPr/>
              <w:t>1.5</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lineRule="auto" w:line="300" w:before="0" w:after="0"/>
              <w:jc w:val="right"/>
              <w:rPr/>
            </w:pPr>
            <w:r>
              <w:rPr/>
              <w:t>0.3</w:t>
            </w:r>
          </w:p>
        </w:tc>
        <w:tc>
          <w:tcPr>
            <w:tcW w:w="305" w:type="dxa"/>
            <w:tcBorders/>
            <w:shd w:fill="CCEEFF" w:val="clear"/>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lineRule="auto" w:line="300" w:before="0" w:after="0"/>
              <w:ind w:left="0" w:right="675" w:hanging="0"/>
              <w:jc w:val="left"/>
              <w:rPr/>
            </w:pPr>
            <w:r>
              <w:rPr/>
              <w:t>Plus: Restructuring expense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uto" w:line="300" w:before="0" w:after="0"/>
              <w:jc w:val="right"/>
              <w:rPr/>
            </w:pPr>
            <w:r>
              <w:rPr/>
              <w:t>-</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300" w:before="0" w:after="0"/>
              <w:jc w:val="right"/>
              <w:rPr/>
            </w:pPr>
            <w:r>
              <w:rPr/>
              <w:t>1.5</w:t>
            </w:r>
          </w:p>
        </w:tc>
        <w:tc>
          <w:tcPr>
            <w:tcW w:w="305"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lineRule="auto" w:line="300" w:before="0" w:after="0"/>
              <w:ind w:left="0" w:right="675" w:hanging="0"/>
              <w:jc w:val="left"/>
              <w:rPr/>
            </w:pPr>
            <w:r>
              <w:rPr/>
              <w:t>Plus: Legal settlement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lineRule="auto" w:line="300" w:before="0" w:after="0"/>
              <w:jc w:val="right"/>
              <w:rPr/>
            </w:pPr>
            <w:r>
              <w:rPr/>
              <w:t>-</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lineRule="auto" w:line="300" w:before="0" w:after="0"/>
              <w:jc w:val="right"/>
              <w:rPr/>
            </w:pPr>
            <w:r>
              <w:rPr/>
              <w:t>3.0</w:t>
            </w:r>
          </w:p>
        </w:tc>
        <w:tc>
          <w:tcPr>
            <w:tcW w:w="305" w:type="dxa"/>
            <w:tcBorders/>
            <w:shd w:fill="CCEEFF" w:val="clear"/>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lineRule="auto" w:line="300" w:before="0" w:after="0"/>
              <w:ind w:left="0" w:right="675" w:hanging="0"/>
              <w:jc w:val="left"/>
              <w:rPr/>
            </w:pPr>
            <w:r>
              <w:rPr/>
              <w:t>Non-GAAP operating loss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635" w:type="dxa"/>
            <w:tcBorders/>
            <w:vAlign w:val="center"/>
          </w:tcPr>
          <w:p>
            <w:pPr>
              <w:pStyle w:val="TableContents"/>
              <w:bidi w:val="0"/>
              <w:spacing w:lineRule="auto" w:line="300" w:before="0" w:after="0"/>
              <w:jc w:val="right"/>
              <w:rPr/>
            </w:pPr>
            <w:r>
              <w:rPr/>
              <w:t>(58.3</w:t>
            </w:r>
          </w:p>
        </w:tc>
        <w:tc>
          <w:tcPr>
            <w:tcW w:w="290"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515" w:type="dxa"/>
            <w:tcBorders/>
            <w:vAlign w:val="center"/>
          </w:tcPr>
          <w:p>
            <w:pPr>
              <w:pStyle w:val="TableContents"/>
              <w:bidi w:val="0"/>
              <w:spacing w:lineRule="auto" w:line="300" w:before="0" w:after="0"/>
              <w:jc w:val="right"/>
              <w:rPr/>
            </w:pPr>
            <w:r>
              <w:rPr/>
              <w:t>(4.7</w:t>
            </w:r>
          </w:p>
        </w:tc>
        <w:tc>
          <w:tcPr>
            <w:tcW w:w="305" w:type="dxa"/>
            <w:tcBorders/>
            <w:vAlign w:val="center"/>
          </w:tcPr>
          <w:p>
            <w:pPr>
              <w:pStyle w:val="TableContents"/>
              <w:bidi w:val="0"/>
              <w:spacing w:lineRule="auto" w:line="300" w:before="0" w:after="0"/>
              <w:jc w:val="left"/>
              <w:rPr/>
            </w:pPr>
            <w:r>
              <w:rPr/>
              <w:t>)</w:t>
            </w:r>
          </w:p>
        </w:tc>
      </w:tr>
      <w:tr>
        <w:trPr/>
        <w:tc>
          <w:tcPr>
            <w:tcW w:w="6215" w:type="dxa"/>
            <w:tcBorders/>
            <w:shd w:fill="CCEEFF" w:val="clear"/>
            <w:vAlign w:val="center"/>
          </w:tcPr>
          <w:p>
            <w:pPr>
              <w:pStyle w:val="TableContents"/>
              <w:bidi w:val="0"/>
              <w:spacing w:lineRule="auto" w:line="300" w:before="0" w:after="0"/>
              <w:ind w:left="0" w:right="675" w:hanging="0"/>
              <w:jc w:val="left"/>
              <w:rPr/>
            </w:pPr>
            <w:r>
              <w:rPr/>
              <w:t>GAAP operating margin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lineRule="auto" w:line="300" w:before="0" w:after="0"/>
              <w:jc w:val="right"/>
              <w:rPr/>
            </w:pPr>
            <w:r>
              <w:rPr/>
              <w:t>(45</w:t>
            </w:r>
          </w:p>
        </w:tc>
        <w:tc>
          <w:tcPr>
            <w:tcW w:w="290"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lineRule="auto" w:line="300" w:before="0" w:after="0"/>
              <w:jc w:val="right"/>
              <w:rPr/>
            </w:pPr>
            <w:r>
              <w:rPr/>
              <w:t>(24</w:t>
            </w:r>
          </w:p>
        </w:tc>
        <w:tc>
          <w:tcPr>
            <w:tcW w:w="305" w:type="dxa"/>
            <w:tcBorders/>
            <w:shd w:fill="CCEEFF" w:val="clear"/>
            <w:vAlign w:val="center"/>
          </w:tcPr>
          <w:p>
            <w:pPr>
              <w:pStyle w:val="TableContents"/>
              <w:bidi w:val="0"/>
              <w:spacing w:lineRule="auto" w:line="300" w:before="0" w:after="0"/>
              <w:jc w:val="left"/>
              <w:rPr/>
            </w:pPr>
            <w:r>
              <w:rPr/>
              <w:t>)%</w:t>
            </w:r>
          </w:p>
        </w:tc>
      </w:tr>
      <w:tr>
        <w:trPr/>
        <w:tc>
          <w:tcPr>
            <w:tcW w:w="6215" w:type="dxa"/>
            <w:tcBorders/>
            <w:vAlign w:val="center"/>
          </w:tcPr>
          <w:p>
            <w:pPr>
              <w:pStyle w:val="TableContents"/>
              <w:bidi w:val="0"/>
              <w:spacing w:lineRule="auto" w:line="300" w:before="0" w:after="0"/>
              <w:ind w:left="0" w:right="675" w:hanging="0"/>
              <w:jc w:val="left"/>
              <w:rPr/>
            </w:pPr>
            <w:r>
              <w:rPr/>
              <w:t>Non-GAAP operating margin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uto" w:line="300" w:before="0" w:after="0"/>
              <w:jc w:val="right"/>
              <w:rPr/>
            </w:pPr>
            <w:r>
              <w:rPr/>
              <w:t>(24</w:t>
            </w:r>
          </w:p>
        </w:tc>
        <w:tc>
          <w:tcPr>
            <w:tcW w:w="290"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300" w:before="0" w:after="0"/>
              <w:jc w:val="right"/>
              <w:rPr/>
            </w:pPr>
            <w:r>
              <w:rPr/>
              <w:t>(2</w:t>
            </w:r>
          </w:p>
        </w:tc>
        <w:tc>
          <w:tcPr>
            <w:tcW w:w="305" w:type="dxa"/>
            <w:tcBorders/>
            <w:vAlign w:val="center"/>
          </w:tcPr>
          <w:p>
            <w:pPr>
              <w:pStyle w:val="TableContents"/>
              <w:bidi w:val="0"/>
              <w:spacing w:lineRule="auto" w:line="300" w:before="0" w:after="0"/>
              <w:jc w:val="left"/>
              <w:rPr/>
            </w:pPr>
            <w:r>
              <w:rPr/>
              <w:t>)%</w:t>
            </w:r>
          </w:p>
        </w:tc>
      </w:tr>
    </w:tbl>
    <w:p>
      <w:pPr>
        <w:pStyle w:val="TextBody"/>
        <w:bidi w:val="0"/>
        <w:spacing w:lineRule="auto" w:line="300" w:before="0" w:after="0"/>
        <w:jc w:val="left"/>
        <w:rPr/>
      </w:pPr>
      <w:r>
        <w:rPr/>
      </w:r>
    </w:p>
    <w:p>
      <w:pPr>
        <w:pStyle w:val="TextBody"/>
        <w:bidi w:val="0"/>
        <w:spacing w:lineRule="auto" w:line="300" w:before="0" w:after="0"/>
        <w:jc w:val="both"/>
        <w:rPr>
          <w:sz w:val="20"/>
        </w:rPr>
      </w:pPr>
      <w:r>
        <w:rPr>
          <w:sz w:val="20"/>
        </w:rPr>
        <w:t>* Due to rounding, numbers presented in the above table may not add up precisely to the totals provided and percentages may not precisely reflect the absolute figures.</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62</w:t>
      </w:r>
    </w:p>
    <w:p>
      <w:pPr>
        <w:pStyle w:val="HorizontalLine"/>
        <w:bidi w:val="0"/>
        <w:spacing w:before="200" w:after="200"/>
        <w:jc w:val="left"/>
        <w:rPr/>
      </w:pPr>
      <w:r>
        <w:rPr/>
      </w:r>
    </w:p>
    <w:p>
      <w:pPr>
        <w:pStyle w:val="TextBody"/>
        <w:bidi w:val="0"/>
        <w:spacing w:lineRule="auto" w:line="300" w:before="0" w:after="0"/>
        <w:jc w:val="both"/>
        <w:rPr>
          <w:b/>
          <w:sz w:val="20"/>
        </w:rPr>
      </w:pPr>
      <w:r>
        <w:rPr>
          <w:b/>
          <w:sz w:val="20"/>
        </w:rPr>
        <w:t>Components of Our Results of Operations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Revenue</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Subscription Revenue</w:t>
      </w:r>
    </w:p>
    <w:p>
      <w:pPr>
        <w:pStyle w:val="TextBody"/>
        <w:bidi w:val="0"/>
        <w:spacing w:lineRule="auto" w:line="300" w:before="0" w:after="0"/>
        <w:jc w:val="left"/>
        <w:rPr/>
      </w:pPr>
      <w:r>
        <w:rPr/>
        <w:t> </w:t>
      </w:r>
    </w:p>
    <w:p>
      <w:pPr>
        <w:pStyle w:val="TextBody"/>
        <w:bidi w:val="0"/>
        <w:spacing w:lineRule="auto" w:line="300" w:before="0" w:after="0"/>
        <w:ind w:left="0" w:right="0" w:firstLine="490"/>
        <w:jc w:val="both"/>
        <w:rPr>
          <w:sz w:val="20"/>
        </w:rPr>
      </w:pPr>
      <w:r>
        <w:rPr>
          <w:sz w:val="20"/>
        </w:rPr>
        <w:t>Subscription revenue primarily consists of subscription fees from our cloud-based Digital Adoption Platform. We recognize subscription revenue ratably over the subscription period, which typically varies from one to three years. Our customers are generally billed annually upfront, and amounts that have been billed are initially recorded as deferred revenue until recognized in accordance with our revenue recognition policy. Consequently, a portion of the revenue that we report in each period is attributable to the recognition of deferred revenue relating to subscriptions that we entered into during previous periods.</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Professional Services Revenue</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Professional services consist of services provided to our customers to help them maximize our platform capabilities in highly complex operational environments. Professional services are priced on a time and material basis and, accordingly, revenues are recognized as services are delivered. </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Cost of Revenue and Gross Margin</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Cost of revenue</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Cost of subscription revenue primarily consists of costs related to third-party cloud infrastructure providers for hosting our platform, employee-related costs for operations and global support (including salaries, benefits, bonuses and share-based compensation), and depreciation and amortization related to acquired intangibles and internal-use software. Cost of professional services revenue primarily consists of employee-related costs (such as salaries, benefits, bonuses and share-based compensation) and subcontractor costs associated with the delivery of these services. Additionally, we allocate certain overhead costs to each of these costs of revenue.</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intend to continue to invest additional resources in our platform and our customer support organization as we grow our business. The level and timing of investment in these areas will affect our cost of revenue in the future.</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Gross profit and gross margin</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Gross margin is gross profit expressed as a percentage of revenue. Our gross margin may fluctuate from period to period as a result of the timing and amount of investments to expand our hosting capacity, and our continued efforts to build platform support and professional services teams.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Operating expenses</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Research and development</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Research and development expenses consist primarily of employee-related costs (including salaries, benefits, bonuses and share-based compensation) and subcontractor costs associated with our engineering team responsible for the design, development, and testing of our products, the cost of development environments and tools, and allocated overhead. We expect that our research and development expenses will increase in absolute dollars as our business grows, particularly as we continue to invest in the development of our platform. We expect research and development expenses may fluctuate as a percentage of revenues from period to period due to the timing and extent of these expenses.</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63</w:t>
      </w:r>
    </w:p>
    <w:p>
      <w:pPr>
        <w:pStyle w:val="HorizontalLine"/>
        <w:bidi w:val="0"/>
        <w:spacing w:before="200" w:after="200"/>
        <w:jc w:val="left"/>
        <w:rPr/>
      </w:pPr>
      <w:r>
        <w:rPr/>
      </w:r>
    </w:p>
    <w:p>
      <w:pPr>
        <w:pStyle w:val="TextBody"/>
        <w:bidi w:val="0"/>
        <w:spacing w:lineRule="auto" w:line="300" w:before="0" w:after="0"/>
        <w:jc w:val="both"/>
        <w:rPr>
          <w:i/>
          <w:sz w:val="20"/>
        </w:rPr>
      </w:pPr>
      <w:r>
        <w:rPr>
          <w:i/>
          <w:sz w:val="20"/>
        </w:rPr>
        <w:t>Sales and marketing</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Sales and marketing expenses primarily consist of employee-related costs (such as salaries, benefits, bonuses, sales commissions and share-based compensation expenses), costs associated with marketing programs to promote our brand and awareness, demand generating activities, customer events, other sales expenses and allocated overhead.</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expect sales and marketing expenses to increase in absolute dollars as we continue to make investments in our sales and marketing organizations to drive additional revenues, further penetrate our target markets, and expand our global customer base. As a percentage of revenues, we expect our sales and marketing expenses may fluctuate as a percentage of our revenue from period to period due to the timing and extent of these expenses.</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General and administrative</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General and administrative expenses primarily consist of employee-related costs (such as salaries, benefits, bonuses and share-based compensation) for executive, finance, legal, human resources, IS and other administrative personnel, professional services fees, consulting services and allocated overhead.</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anticipate general and administrative expenses to decrease as a percentage of our total revenue over time.</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Finance income (expense)</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Finance income (expenses), net primarily consists of interest income earned on our cash and marketable securities investments and finance expenses such as bank fees, foreign exchange gains and losses.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Provision for income taxes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Income tax expenses primarily consist of income taxes related to U.S. and other jurisdictions in which we conduct business. We maintain a valuation allowance for deferred tax assets as we believe that it is more likely than not that the deferred tax assets will not be realized. Our effective tax rate is affected by tax rates in the jurisdictions in which we conduct business and the relative amounts of income we earn in those jurisdictions, as well as non-deductible expenses and changes in our valuation allowance.</w:t>
      </w:r>
    </w:p>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A.      Operating Results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following tables summarize key components of our results of operations data and such data as a percentage of total revenue for the periods presented. The period-to-period comparisons of our historical results are not necessarily indicative of the results that may be expected in the future.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34" w:name="z72bef4a180bc4651835f2c00e96991fa"/>
      <w:bookmarkStart w:id="135" w:name="z72bef4a180bc4651835f2c00e96991fa"/>
      <w:bookmarkEnd w:id="135"/>
    </w:p>
    <w:tbl>
      <w:tblPr>
        <w:tblW w:w="5592" w:type="dxa"/>
        <w:jc w:val="left"/>
        <w:tblInd w:w="0" w:type="dxa"/>
        <w:tblLayout w:type="fixed"/>
        <w:tblCellMar>
          <w:top w:w="0" w:type="dxa"/>
          <w:left w:w="0" w:type="dxa"/>
          <w:bottom w:w="0" w:type="dxa"/>
          <w:right w:w="0" w:type="dxa"/>
        </w:tblCellMar>
      </w:tblPr>
      <w:tblGrid>
        <w:gridCol w:w="2765"/>
        <w:gridCol w:w="60"/>
        <w:gridCol w:w="176"/>
        <w:gridCol w:w="1103"/>
        <w:gridCol w:w="119"/>
        <w:gridCol w:w="75"/>
        <w:gridCol w:w="176"/>
        <w:gridCol w:w="1008"/>
        <w:gridCol w:w="110"/>
      </w:tblGrid>
      <w:tr>
        <w:trPr/>
        <w:tc>
          <w:tcPr>
            <w:tcW w:w="2765" w:type="dxa"/>
            <w:tcBorders/>
            <w:vAlign w:val="center"/>
          </w:tcPr>
          <w:p>
            <w:pPr>
              <w:pStyle w:val="TableContents"/>
              <w:bidi w:val="0"/>
              <w:spacing w:lineRule="auto" w:line="300" w:before="0" w:after="0"/>
              <w:jc w:val="center"/>
              <w:rPr/>
            </w:pPr>
            <w:r>
              <w:rPr/>
              <w:t> </w:t>
            </w:r>
          </w:p>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657"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lineRule="auto" w:line="300" w:before="0" w:after="0"/>
              <w:jc w:val="center"/>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1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184"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657" w:type="dxa"/>
            <w:gridSpan w:val="6"/>
            <w:tcBorders/>
            <w:vAlign w:val="center"/>
          </w:tcPr>
          <w:p>
            <w:pPr>
              <w:pStyle w:val="TableContents"/>
              <w:bidi w:val="0"/>
              <w:spacing w:lineRule="auto" w:line="300" w:before="0" w:after="0"/>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lineRule="auto" w:line="300" w:before="0" w:after="0"/>
              <w:jc w:val="both"/>
              <w:rPr/>
            </w:pPr>
            <w:r>
              <w:rPr/>
              <w:t>Revenue</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lineRule="auto" w:line="300" w:before="0" w:after="0"/>
              <w:jc w:val="left"/>
              <w:rPr/>
            </w:pPr>
            <w:r>
              <w:rPr/>
              <w:t>$</w:t>
            </w:r>
          </w:p>
        </w:tc>
        <w:tc>
          <w:tcPr>
            <w:tcW w:w="1103" w:type="dxa"/>
            <w:tcBorders/>
            <w:shd w:fill="CCEEFF" w:val="clear"/>
            <w:vAlign w:val="center"/>
          </w:tcPr>
          <w:p>
            <w:pPr>
              <w:pStyle w:val="TableContents"/>
              <w:bidi w:val="0"/>
              <w:spacing w:lineRule="auto" w:line="300" w:before="0" w:after="0"/>
              <w:jc w:val="right"/>
              <w:rPr/>
            </w:pPr>
            <w:r>
              <w:rPr/>
              <w:t>245,066</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lineRule="auto" w:line="300" w:before="0" w:after="0"/>
              <w:jc w:val="left"/>
              <w:rPr/>
            </w:pPr>
            <w:r>
              <w:rPr/>
              <w:t>$</w:t>
            </w:r>
          </w:p>
        </w:tc>
        <w:tc>
          <w:tcPr>
            <w:tcW w:w="1008" w:type="dxa"/>
            <w:tcBorders/>
            <w:shd w:fill="CCEEFF" w:val="clear"/>
            <w:vAlign w:val="center"/>
          </w:tcPr>
          <w:p>
            <w:pPr>
              <w:pStyle w:val="TableContents"/>
              <w:bidi w:val="0"/>
              <w:spacing w:lineRule="auto" w:line="300" w:before="0" w:after="0"/>
              <w:jc w:val="right"/>
              <w:rPr/>
            </w:pPr>
            <w:r>
              <w:rPr/>
              <w:t>266,954</w:t>
            </w:r>
          </w:p>
        </w:tc>
        <w:tc>
          <w:tcPr>
            <w:tcW w:w="110"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lineRule="auto" w:line="300" w:before="0" w:after="0"/>
              <w:jc w:val="both"/>
              <w:rPr/>
            </w:pPr>
            <w:r>
              <w:rPr/>
              <w:t>Cost of revenue</w:t>
            </w:r>
          </w:p>
        </w:tc>
        <w:tc>
          <w:tcPr>
            <w:tcW w:w="6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tcMar>
              <w:bottom w:w="28" w:type="dxa"/>
            </w:tcMar>
            <w:vAlign w:val="center"/>
          </w:tcPr>
          <w:p>
            <w:pPr>
              <w:pStyle w:val="TableContents"/>
              <w:bidi w:val="0"/>
              <w:spacing w:lineRule="auto" w:line="300" w:before="0" w:after="0"/>
              <w:jc w:val="right"/>
              <w:rPr/>
            </w:pPr>
            <w:r>
              <w:rPr/>
              <w:t>53,884</w:t>
            </w:r>
          </w:p>
        </w:tc>
        <w:tc>
          <w:tcPr>
            <w:tcW w:w="1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tcMar>
              <w:bottom w:w="28" w:type="dxa"/>
            </w:tcMar>
            <w:vAlign w:val="center"/>
          </w:tcPr>
          <w:p>
            <w:pPr>
              <w:pStyle w:val="TableContents"/>
              <w:bidi w:val="0"/>
              <w:spacing w:lineRule="auto" w:line="300" w:before="0" w:after="0"/>
              <w:jc w:val="right"/>
              <w:rPr/>
            </w:pPr>
            <w:r>
              <w:rPr/>
              <w:t>44,373</w:t>
            </w:r>
          </w:p>
        </w:tc>
        <w:tc>
          <w:tcPr>
            <w:tcW w:w="11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lineRule="auto" w:line="300" w:before="0" w:after="0"/>
              <w:jc w:val="both"/>
              <w:rPr/>
            </w:pPr>
            <w:r>
              <w:rPr/>
              <w:t>Gross profit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lineRule="auto" w:line="300" w:before="0" w:after="0"/>
              <w:jc w:val="right"/>
              <w:rPr/>
            </w:pPr>
            <w:r>
              <w:rPr/>
              <w:t>191,122</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lineRule="auto" w:line="300" w:before="0" w:after="0"/>
              <w:jc w:val="right"/>
              <w:rPr/>
            </w:pPr>
            <w:r>
              <w:rPr/>
              <w:t>222,581</w:t>
            </w:r>
          </w:p>
        </w:tc>
        <w:tc>
          <w:tcPr>
            <w:tcW w:w="110"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lineRule="auto" w:line="300" w:before="0" w:after="0"/>
              <w:jc w:val="both"/>
              <w:rPr/>
            </w:pPr>
            <w:r>
              <w:rPr/>
              <w:t>Operating expenses:</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 </w:t>
            </w:r>
          </w:p>
        </w:tc>
        <w:tc>
          <w:tcPr>
            <w:tcW w:w="1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lineRule="auto" w:line="300" w:before="0" w:after="0"/>
              <w:ind w:left="0" w:right="0" w:firstLine="180"/>
              <w:jc w:val="both"/>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lineRule="auto" w:line="300" w:before="0" w:after="0"/>
              <w:jc w:val="right"/>
              <w:rPr/>
            </w:pPr>
            <w:r>
              <w:rPr/>
              <w:t>59,468</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lineRule="auto" w:line="300" w:before="0" w:after="0"/>
              <w:jc w:val="right"/>
              <w:rPr/>
            </w:pPr>
            <w:r>
              <w:rPr/>
              <w:t>55,107</w:t>
            </w:r>
          </w:p>
        </w:tc>
        <w:tc>
          <w:tcPr>
            <w:tcW w:w="110"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lineRule="auto" w:line="300" w:before="0" w:after="0"/>
              <w:ind w:left="0" w:right="0" w:firstLine="180"/>
              <w:jc w:val="both"/>
              <w:rPr/>
            </w:pPr>
            <w:r>
              <w:rPr/>
              <w:t>Sales and marketing</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lineRule="auto" w:line="300" w:before="0" w:after="0"/>
              <w:jc w:val="right"/>
              <w:rPr/>
            </w:pPr>
            <w:r>
              <w:rPr/>
              <w:t>176,307</w:t>
            </w:r>
          </w:p>
        </w:tc>
        <w:tc>
          <w:tcPr>
            <w:tcW w:w="1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lineRule="auto" w:line="300" w:before="0" w:after="0"/>
              <w:jc w:val="right"/>
              <w:rPr/>
            </w:pPr>
            <w:r>
              <w:rPr/>
              <w:t>161,372</w:t>
            </w:r>
          </w:p>
        </w:tc>
        <w:tc>
          <w:tcPr>
            <w:tcW w:w="11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lineRule="auto" w:line="300" w:before="0" w:after="0"/>
              <w:ind w:left="0" w:right="0" w:firstLine="180"/>
              <w:jc w:val="both"/>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65,188</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70,983</w:t>
            </w:r>
          </w:p>
        </w:tc>
        <w:tc>
          <w:tcPr>
            <w:tcW w:w="110"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lineRule="auto" w:line="300" w:before="0" w:after="0"/>
              <w:jc w:val="both"/>
              <w:rPr/>
            </w:pPr>
            <w:r>
              <w:rPr/>
              <w:t>Total operating expenses</w:t>
            </w:r>
          </w:p>
        </w:tc>
        <w:tc>
          <w:tcPr>
            <w:tcW w:w="6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tcMar>
              <w:bottom w:w="28" w:type="dxa"/>
            </w:tcMar>
            <w:vAlign w:val="center"/>
          </w:tcPr>
          <w:p>
            <w:pPr>
              <w:pStyle w:val="TableContents"/>
              <w:bidi w:val="0"/>
              <w:spacing w:lineRule="auto" w:line="300" w:before="0" w:after="0"/>
              <w:jc w:val="right"/>
              <w:rPr/>
            </w:pPr>
            <w:r>
              <w:rPr/>
              <w:t>300,963</w:t>
            </w:r>
          </w:p>
        </w:tc>
        <w:tc>
          <w:tcPr>
            <w:tcW w:w="1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tcMar>
              <w:bottom w:w="28" w:type="dxa"/>
            </w:tcMar>
            <w:vAlign w:val="center"/>
          </w:tcPr>
          <w:p>
            <w:pPr>
              <w:pStyle w:val="TableContents"/>
              <w:bidi w:val="0"/>
              <w:spacing w:lineRule="auto" w:line="300" w:before="0" w:after="0"/>
              <w:jc w:val="right"/>
              <w:rPr/>
            </w:pPr>
            <w:r>
              <w:rPr/>
              <w:t>287,462</w:t>
            </w:r>
          </w:p>
        </w:tc>
        <w:tc>
          <w:tcPr>
            <w:tcW w:w="11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lineRule="auto" w:line="300" w:before="0" w:after="0"/>
              <w:jc w:val="both"/>
              <w:rPr/>
            </w:pPr>
            <w:r>
              <w:rPr/>
              <w:t>Operating loss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lineRule="auto" w:line="300" w:before="0" w:after="0"/>
              <w:jc w:val="right"/>
              <w:rPr/>
            </w:pPr>
            <w:r>
              <w:rPr/>
              <w:t>(109,841</w:t>
            </w:r>
          </w:p>
        </w:tc>
        <w:tc>
          <w:tcPr>
            <w:tcW w:w="119" w:type="dxa"/>
            <w:tcBorders/>
            <w:shd w:fill="CCEEFF" w:val="clear"/>
            <w:vAlign w:val="center"/>
          </w:tcPr>
          <w:p>
            <w:pPr>
              <w:pStyle w:val="TableContents"/>
              <w:bidi w:val="0"/>
              <w:spacing w:lineRule="auto" w:line="300" w:before="0" w:after="0"/>
              <w:jc w:val="left"/>
              <w:rPr/>
            </w:pPr>
            <w:r>
              <w:rPr/>
              <w:t>)</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lineRule="auto" w:line="300" w:before="0" w:after="0"/>
              <w:jc w:val="right"/>
              <w:rPr/>
            </w:pPr>
            <w:r>
              <w:rPr/>
              <w:t>(64,881</w:t>
            </w:r>
          </w:p>
        </w:tc>
        <w:tc>
          <w:tcPr>
            <w:tcW w:w="110" w:type="dxa"/>
            <w:tcBorders/>
            <w:shd w:fill="CCEEFF" w:val="clear"/>
            <w:vAlign w:val="center"/>
          </w:tcPr>
          <w:p>
            <w:pPr>
              <w:pStyle w:val="TableContents"/>
              <w:bidi w:val="0"/>
              <w:spacing w:lineRule="auto" w:line="300" w:before="0" w:after="0"/>
              <w:jc w:val="left"/>
              <w:rPr/>
            </w:pPr>
            <w:r>
              <w:rPr/>
              <w:t>)</w:t>
            </w:r>
          </w:p>
        </w:tc>
      </w:tr>
      <w:tr>
        <w:trPr/>
        <w:tc>
          <w:tcPr>
            <w:tcW w:w="2765" w:type="dxa"/>
            <w:tcBorders/>
            <w:vAlign w:val="center"/>
          </w:tcPr>
          <w:p>
            <w:pPr>
              <w:pStyle w:val="TableContents"/>
              <w:bidi w:val="0"/>
              <w:spacing w:lineRule="auto" w:line="300" w:before="0" w:after="0"/>
              <w:jc w:val="both"/>
              <w:rPr/>
            </w:pPr>
            <w:r>
              <w:rPr/>
              <w:t>Financial income, net</w:t>
            </w:r>
          </w:p>
        </w:tc>
        <w:tc>
          <w:tcPr>
            <w:tcW w:w="6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tcMar>
              <w:bottom w:w="28" w:type="dxa"/>
            </w:tcMar>
            <w:vAlign w:val="center"/>
          </w:tcPr>
          <w:p>
            <w:pPr>
              <w:pStyle w:val="TableContents"/>
              <w:bidi w:val="0"/>
              <w:spacing w:lineRule="auto" w:line="300" w:before="0" w:after="0"/>
              <w:jc w:val="right"/>
              <w:rPr/>
            </w:pPr>
            <w:r>
              <w:rPr/>
              <w:t>5,322</w:t>
            </w:r>
          </w:p>
        </w:tc>
        <w:tc>
          <w:tcPr>
            <w:tcW w:w="1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tcMar>
              <w:bottom w:w="28" w:type="dxa"/>
            </w:tcMar>
            <w:vAlign w:val="center"/>
          </w:tcPr>
          <w:p>
            <w:pPr>
              <w:pStyle w:val="TableContents"/>
              <w:bidi w:val="0"/>
              <w:spacing w:lineRule="auto" w:line="300" w:before="0" w:after="0"/>
              <w:jc w:val="right"/>
              <w:rPr/>
            </w:pPr>
            <w:r>
              <w:rPr/>
              <w:t>13,195</w:t>
            </w:r>
          </w:p>
        </w:tc>
        <w:tc>
          <w:tcPr>
            <w:tcW w:w="11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lineRule="auto" w:line="300" w:before="0" w:after="0"/>
              <w:jc w:val="both"/>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(104,519</w:t>
            </w:r>
          </w:p>
        </w:tc>
        <w:tc>
          <w:tcPr>
            <w:tcW w:w="119" w:type="dxa"/>
            <w:tcBorders/>
            <w:shd w:fill="CCEEFF" w:val="clear"/>
            <w:vAlign w:val="center"/>
          </w:tcPr>
          <w:p>
            <w:pPr>
              <w:pStyle w:val="TableContents"/>
              <w:bidi w:val="0"/>
              <w:spacing w:lineRule="auto" w:line="300" w:before="0" w:after="0"/>
              <w:jc w:val="left"/>
              <w:rPr/>
            </w:pPr>
            <w:r>
              <w:rPr/>
              <w:t>)</w:t>
            </w:r>
          </w:p>
        </w:tc>
        <w:tc>
          <w:tcPr>
            <w:tcW w:w="75"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(51,686</w:t>
            </w:r>
          </w:p>
        </w:tc>
        <w:tc>
          <w:tcPr>
            <w:tcW w:w="110" w:type="dxa"/>
            <w:tcBorders/>
            <w:shd w:fill="CCEEFF" w:val="clear"/>
            <w:vAlign w:val="center"/>
          </w:tcPr>
          <w:p>
            <w:pPr>
              <w:pStyle w:val="TableContents"/>
              <w:bidi w:val="0"/>
              <w:spacing w:lineRule="auto" w:line="300" w:before="0" w:after="0"/>
              <w:jc w:val="left"/>
              <w:rPr/>
            </w:pPr>
            <w:r>
              <w:rPr/>
              <w:t>)</w:t>
            </w:r>
          </w:p>
        </w:tc>
      </w:tr>
      <w:tr>
        <w:trPr/>
        <w:tc>
          <w:tcPr>
            <w:tcW w:w="2765" w:type="dxa"/>
            <w:tcBorders/>
            <w:vAlign w:val="center"/>
          </w:tcPr>
          <w:p>
            <w:pPr>
              <w:pStyle w:val="TableContents"/>
              <w:bidi w:val="0"/>
              <w:spacing w:lineRule="auto" w:line="300" w:before="0" w:after="0"/>
              <w:jc w:val="both"/>
              <w:rPr/>
            </w:pPr>
            <w:r>
              <w:rPr/>
              <w:t>Income taxes</w:t>
            </w:r>
          </w:p>
        </w:tc>
        <w:tc>
          <w:tcPr>
            <w:tcW w:w="6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tcMar>
              <w:bottom w:w="28" w:type="dxa"/>
            </w:tcMar>
            <w:vAlign w:val="center"/>
          </w:tcPr>
          <w:p>
            <w:pPr>
              <w:pStyle w:val="TableContents"/>
              <w:bidi w:val="0"/>
              <w:spacing w:lineRule="auto" w:line="300" w:before="0" w:after="0"/>
              <w:jc w:val="right"/>
              <w:rPr/>
            </w:pPr>
            <w:r>
              <w:rPr/>
              <w:t>(3,831</w:t>
            </w:r>
          </w:p>
        </w:tc>
        <w:tc>
          <w:tcPr>
            <w:tcW w:w="119" w:type="dxa"/>
            <w:tcBorders/>
            <w:vAlign w:val="center"/>
          </w:tcPr>
          <w:p>
            <w:pPr>
              <w:pStyle w:val="TableContents"/>
              <w:bidi w:val="0"/>
              <w:spacing w:lineRule="auto" w:line="300" w:before="0" w:after="0"/>
              <w:jc w:val="left"/>
              <w:rPr/>
            </w:pPr>
            <w:r>
              <w:rPr/>
              <w:t>)</w:t>
            </w:r>
          </w:p>
        </w:tc>
        <w:tc>
          <w:tcPr>
            <w:tcW w:w="75"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tcMar>
              <w:bottom w:w="28" w:type="dxa"/>
            </w:tcMar>
            <w:vAlign w:val="center"/>
          </w:tcPr>
          <w:p>
            <w:pPr>
              <w:pStyle w:val="TableContents"/>
              <w:bidi w:val="0"/>
              <w:spacing w:lineRule="auto" w:line="300" w:before="0" w:after="0"/>
              <w:jc w:val="right"/>
              <w:rPr/>
            </w:pPr>
            <w:r>
              <w:rPr/>
              <w:t>(5,067</w:t>
            </w:r>
          </w:p>
        </w:tc>
        <w:tc>
          <w:tcPr>
            <w:tcW w:w="110" w:type="dxa"/>
            <w:tcBorders/>
            <w:vAlign w:val="center"/>
          </w:tcPr>
          <w:p>
            <w:pPr>
              <w:pStyle w:val="TableContents"/>
              <w:bidi w:val="0"/>
              <w:spacing w:lineRule="auto" w:line="300" w:before="0" w:after="0"/>
              <w:jc w:val="left"/>
              <w:rPr/>
            </w:pPr>
            <w:r>
              <w:rPr/>
              <w:t>)</w:t>
            </w:r>
          </w:p>
        </w:tc>
      </w:tr>
      <w:tr>
        <w:trPr/>
        <w:tc>
          <w:tcPr>
            <w:tcW w:w="2765" w:type="dxa"/>
            <w:tcBorders/>
            <w:shd w:fill="CCEEFF" w:val="clear"/>
            <w:vAlign w:val="center"/>
          </w:tcPr>
          <w:p>
            <w:pPr>
              <w:pStyle w:val="TableContents"/>
              <w:bidi w:val="0"/>
              <w:spacing w:lineRule="auto" w:line="300" w:before="0" w:after="0"/>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pPr>
            <w:r>
              <w:rPr/>
              <w:t>$</w:t>
            </w:r>
          </w:p>
        </w:tc>
        <w:tc>
          <w:tcPr>
            <w:tcW w:w="110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(108,350</w:t>
            </w:r>
          </w:p>
        </w:tc>
        <w:tc>
          <w:tcPr>
            <w:tcW w:w="119" w:type="dxa"/>
            <w:tcBorders/>
            <w:shd w:fill="CCEEFF" w:val="clear"/>
            <w:vAlign w:val="center"/>
          </w:tcPr>
          <w:p>
            <w:pPr>
              <w:pStyle w:val="TableContents"/>
              <w:bidi w:val="0"/>
              <w:spacing w:lineRule="auto" w:line="300" w:before="0" w:after="0"/>
              <w:jc w:val="left"/>
              <w:rPr/>
            </w:pPr>
            <w:r>
              <w:rPr/>
              <w:t>)</w:t>
            </w:r>
          </w:p>
        </w:tc>
        <w:tc>
          <w:tcPr>
            <w:tcW w:w="75"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pPr>
            <w:r>
              <w:rPr/>
              <w:t>$</w:t>
            </w:r>
          </w:p>
        </w:tc>
        <w:tc>
          <w:tcPr>
            <w:tcW w:w="100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(56,753</w:t>
            </w:r>
          </w:p>
        </w:tc>
        <w:tc>
          <w:tcPr>
            <w:tcW w:w="110" w:type="dxa"/>
            <w:tcBorders/>
            <w:shd w:fill="CCEEFF" w:val="clear"/>
            <w:vAlign w:val="center"/>
          </w:tcPr>
          <w:p>
            <w:pPr>
              <w:pStyle w:val="TableContents"/>
              <w:bidi w:val="0"/>
              <w:spacing w:lineRule="auto" w:line="300" w:before="0" w:after="0"/>
              <w:jc w:val="left"/>
              <w:rPr/>
            </w:pPr>
            <w:r>
              <w:rPr/>
              <w:t>)</w:t>
            </w:r>
          </w:p>
        </w:tc>
      </w:tr>
    </w:tbl>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64</w:t>
      </w:r>
    </w:p>
    <w:p>
      <w:pPr>
        <w:pStyle w:val="HorizontalLine"/>
        <w:bidi w:val="0"/>
        <w:spacing w:before="200" w:after="200"/>
        <w:jc w:val="left"/>
        <w:rPr/>
      </w:pPr>
      <w:r>
        <w:rPr/>
      </w:r>
    </w:p>
    <w:p>
      <w:pPr>
        <w:pStyle w:val="TextBody"/>
        <w:bidi w:val="0"/>
        <w:spacing w:before="0" w:after="0"/>
        <w:jc w:val="left"/>
        <w:rPr/>
      </w:pPr>
      <w:r>
        <w:rPr/>
        <w:t xml:space="preserve">       </w:t>
      </w:r>
      <w:bookmarkStart w:id="136" w:name="ze572952cd0ab4ce7b12410366bb9f8ab"/>
      <w:bookmarkEnd w:id="136"/>
    </w:p>
    <w:tbl>
      <w:tblPr>
        <w:tblW w:w="5786" w:type="dxa"/>
        <w:jc w:val="left"/>
        <w:tblInd w:w="0" w:type="dxa"/>
        <w:tblLayout w:type="fixed"/>
        <w:tblCellMar>
          <w:top w:w="0" w:type="dxa"/>
          <w:left w:w="0" w:type="dxa"/>
          <w:bottom w:w="0" w:type="dxa"/>
          <w:right w:w="0" w:type="dxa"/>
        </w:tblCellMar>
      </w:tblPr>
      <w:tblGrid>
        <w:gridCol w:w="2765"/>
        <w:gridCol w:w="60"/>
        <w:gridCol w:w="129"/>
        <w:gridCol w:w="821"/>
        <w:gridCol w:w="627"/>
        <w:gridCol w:w="129"/>
        <w:gridCol w:w="129"/>
        <w:gridCol w:w="821"/>
        <w:gridCol w:w="305"/>
      </w:tblGrid>
      <w:tr>
        <w:trPr/>
        <w:tc>
          <w:tcPr>
            <w:tcW w:w="276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656"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 December 31,</w:t>
            </w:r>
          </w:p>
        </w:tc>
        <w:tc>
          <w:tcPr>
            <w:tcW w:w="30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lineRule="auto" w:line="300" w:before="0" w:after="0"/>
              <w:jc w:val="center"/>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62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30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lineRule="auto" w:line="300" w:before="0" w:after="0"/>
              <w:jc w:val="center"/>
              <w:rPr/>
            </w:pPr>
            <w:r>
              <w:rPr/>
              <w:t> </w:t>
            </w:r>
          </w:p>
        </w:tc>
        <w:tc>
          <w:tcPr>
            <w:tcW w:w="60" w:type="dxa"/>
            <w:tcBorders/>
            <w:vAlign w:val="center"/>
          </w:tcPr>
          <w:p>
            <w:pPr>
              <w:pStyle w:val="TableContents"/>
              <w:bidi w:val="0"/>
              <w:spacing w:before="0" w:after="283"/>
              <w:jc w:val="left"/>
              <w:rPr/>
            </w:pPr>
            <w:r>
              <w:rPr/>
              <w:t> </w:t>
            </w:r>
          </w:p>
        </w:tc>
        <w:tc>
          <w:tcPr>
            <w:tcW w:w="2656" w:type="dxa"/>
            <w:gridSpan w:val="6"/>
            <w:tcBorders/>
            <w:vAlign w:val="center"/>
          </w:tcPr>
          <w:p>
            <w:pPr>
              <w:pStyle w:val="TableContents"/>
              <w:bidi w:val="0"/>
              <w:spacing w:lineRule="auto" w:line="300" w:before="0" w:after="0"/>
              <w:jc w:val="center"/>
              <w:rPr>
                <w:b/>
              </w:rPr>
            </w:pPr>
            <w:r>
              <w:rPr>
                <w:b/>
              </w:rPr>
              <w:t>(as a % of revenue)</w:t>
            </w:r>
          </w:p>
        </w:tc>
        <w:tc>
          <w:tcPr>
            <w:tcW w:w="30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lineRule="auto" w:line="300" w:before="0" w:after="0"/>
              <w:jc w:val="both"/>
              <w:rPr/>
            </w:pPr>
            <w:r>
              <w:rPr/>
              <w:t>Revenue</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lineRule="auto" w:line="300" w:before="0" w:after="0"/>
              <w:jc w:val="right"/>
              <w:rPr/>
            </w:pPr>
            <w:r>
              <w:rPr/>
              <w:t>100</w:t>
            </w:r>
          </w:p>
        </w:tc>
        <w:tc>
          <w:tcPr>
            <w:tcW w:w="627" w:type="dxa"/>
            <w:tcBorders/>
            <w:shd w:fill="CCEEFF" w:val="clear"/>
            <w:vAlign w:val="center"/>
          </w:tcPr>
          <w:p>
            <w:pPr>
              <w:pStyle w:val="TableContents"/>
              <w:bidi w:val="0"/>
              <w:spacing w:lineRule="auto" w:line="300" w:before="0" w:after="0"/>
              <w:jc w:val="left"/>
              <w:rPr/>
            </w:pPr>
            <w:r>
              <w:rPr/>
              <w:t>%</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lineRule="auto" w:line="300" w:before="0" w:after="0"/>
              <w:jc w:val="right"/>
              <w:rPr/>
            </w:pPr>
            <w:r>
              <w:rPr/>
              <w:t>100</w:t>
            </w:r>
          </w:p>
        </w:tc>
        <w:tc>
          <w:tcPr>
            <w:tcW w:w="305" w:type="dxa"/>
            <w:tcBorders/>
            <w:shd w:fill="CCEEFF" w:val="clear"/>
            <w:vAlign w:val="center"/>
          </w:tcPr>
          <w:p>
            <w:pPr>
              <w:pStyle w:val="TableContents"/>
              <w:bidi w:val="0"/>
              <w:spacing w:lineRule="auto" w:line="300" w:before="0" w:after="0"/>
              <w:jc w:val="left"/>
              <w:rPr/>
            </w:pPr>
            <w:r>
              <w:rPr/>
              <w:t>%</w:t>
            </w:r>
          </w:p>
        </w:tc>
      </w:tr>
      <w:tr>
        <w:trPr/>
        <w:tc>
          <w:tcPr>
            <w:tcW w:w="2765" w:type="dxa"/>
            <w:tcBorders/>
            <w:vAlign w:val="center"/>
          </w:tcPr>
          <w:p>
            <w:pPr>
              <w:pStyle w:val="TableContents"/>
              <w:bidi w:val="0"/>
              <w:spacing w:lineRule="auto" w:line="300" w:before="0" w:after="0"/>
              <w:jc w:val="both"/>
              <w:rPr/>
            </w:pPr>
            <w:r>
              <w:rPr/>
              <w:t>Cost of revenue</w:t>
            </w:r>
          </w:p>
        </w:tc>
        <w:tc>
          <w:tcPr>
            <w:tcW w:w="60" w:type="dxa"/>
            <w:tcBorders/>
            <w:vAlign w:val="center"/>
          </w:tcPr>
          <w:p>
            <w:pPr>
              <w:pStyle w:val="TableContents"/>
              <w:bidi w:val="0"/>
              <w:spacing w:before="0" w:after="283"/>
              <w:jc w:val="left"/>
              <w:rPr/>
            </w:pPr>
            <w:r>
              <w:rPr/>
              <w:t> </w:t>
            </w:r>
          </w:p>
        </w:tc>
        <w:tc>
          <w:tcPr>
            <w:tcW w:w="129" w:type="dxa"/>
            <w:tcBorders>
              <w:bottom w:val="single" w:sz="12" w:space="0" w:color="000000"/>
            </w:tcBorders>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tcMar>
              <w:bottom w:w="28" w:type="dxa"/>
            </w:tcMar>
            <w:vAlign w:val="center"/>
          </w:tcPr>
          <w:p>
            <w:pPr>
              <w:pStyle w:val="TableContents"/>
              <w:bidi w:val="0"/>
              <w:spacing w:lineRule="auto" w:line="300" w:before="0" w:after="0"/>
              <w:jc w:val="right"/>
              <w:rPr/>
            </w:pPr>
            <w:r>
              <w:rPr/>
              <w:t>22</w:t>
            </w:r>
          </w:p>
        </w:tc>
        <w:tc>
          <w:tcPr>
            <w:tcW w:w="62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9" w:type="dxa"/>
            <w:tcBorders>
              <w:bottom w:val="single" w:sz="12" w:space="0" w:color="000000"/>
            </w:tcBorders>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tcMar>
              <w:bottom w:w="28" w:type="dxa"/>
            </w:tcMar>
            <w:vAlign w:val="center"/>
          </w:tcPr>
          <w:p>
            <w:pPr>
              <w:pStyle w:val="TableContents"/>
              <w:bidi w:val="0"/>
              <w:spacing w:lineRule="auto" w:line="300" w:before="0" w:after="0"/>
              <w:jc w:val="right"/>
              <w:rPr/>
            </w:pPr>
            <w:r>
              <w:rPr/>
              <w:t>17</w:t>
            </w:r>
          </w:p>
        </w:tc>
        <w:tc>
          <w:tcPr>
            <w:tcW w:w="30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lineRule="auto" w:line="300" w:before="0" w:after="0"/>
              <w:jc w:val="both"/>
              <w:rPr/>
            </w:pPr>
            <w:r>
              <w:rPr/>
              <w:t>Gross profit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lineRule="auto" w:line="300" w:before="0" w:after="0"/>
              <w:jc w:val="right"/>
              <w:rPr/>
            </w:pPr>
            <w:r>
              <w:rPr/>
              <w:t>78</w:t>
            </w:r>
          </w:p>
        </w:tc>
        <w:tc>
          <w:tcPr>
            <w:tcW w:w="627"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lineRule="auto" w:line="300" w:before="0" w:after="0"/>
              <w:jc w:val="right"/>
              <w:rPr/>
            </w:pPr>
            <w:r>
              <w:rPr/>
              <w:t>83</w:t>
            </w:r>
          </w:p>
        </w:tc>
        <w:tc>
          <w:tcPr>
            <w:tcW w:w="305"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lineRule="auto" w:line="300" w:before="0" w:after="0"/>
              <w:jc w:val="both"/>
              <w:rPr/>
            </w:pPr>
            <w:r>
              <w:rPr/>
              <w:t>Operating expenses:</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62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30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lineRule="auto" w:line="300" w:before="0" w:after="0"/>
              <w:ind w:left="0" w:right="0" w:firstLine="180"/>
              <w:jc w:val="both"/>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lineRule="auto" w:line="300" w:before="0" w:after="0"/>
              <w:jc w:val="right"/>
              <w:rPr/>
            </w:pPr>
            <w:r>
              <w:rPr/>
              <w:t>24</w:t>
            </w:r>
          </w:p>
        </w:tc>
        <w:tc>
          <w:tcPr>
            <w:tcW w:w="627"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lineRule="auto" w:line="300" w:before="0" w:after="0"/>
              <w:jc w:val="right"/>
              <w:rPr/>
            </w:pPr>
            <w:r>
              <w:rPr/>
              <w:t>21</w:t>
            </w:r>
          </w:p>
        </w:tc>
        <w:tc>
          <w:tcPr>
            <w:tcW w:w="305"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lineRule="auto" w:line="300" w:before="0" w:after="0"/>
              <w:ind w:left="0" w:right="0" w:firstLine="180"/>
              <w:jc w:val="both"/>
              <w:rPr/>
            </w:pPr>
            <w:r>
              <w:rPr/>
              <w:t>Sales and marketing</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lineRule="auto" w:line="300" w:before="0" w:after="0"/>
              <w:jc w:val="right"/>
              <w:rPr/>
            </w:pPr>
            <w:r>
              <w:rPr/>
              <w:t>72</w:t>
            </w:r>
          </w:p>
        </w:tc>
        <w:tc>
          <w:tcPr>
            <w:tcW w:w="62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lineRule="auto" w:line="300" w:before="0" w:after="0"/>
              <w:jc w:val="right"/>
              <w:rPr/>
            </w:pPr>
            <w:r>
              <w:rPr/>
              <w:t>60</w:t>
            </w:r>
          </w:p>
        </w:tc>
        <w:tc>
          <w:tcPr>
            <w:tcW w:w="30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lineRule="auto" w:line="300" w:before="0" w:after="0"/>
              <w:ind w:left="0" w:right="0" w:firstLine="180"/>
              <w:jc w:val="both"/>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27</w:t>
            </w:r>
          </w:p>
        </w:tc>
        <w:tc>
          <w:tcPr>
            <w:tcW w:w="627"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27</w:t>
            </w:r>
          </w:p>
        </w:tc>
        <w:tc>
          <w:tcPr>
            <w:tcW w:w="305"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lineRule="auto" w:line="300" w:before="0" w:after="0"/>
              <w:jc w:val="both"/>
              <w:rPr/>
            </w:pPr>
            <w:r>
              <w:rPr/>
              <w:t>Total operating expenses</w:t>
            </w:r>
          </w:p>
        </w:tc>
        <w:tc>
          <w:tcPr>
            <w:tcW w:w="60" w:type="dxa"/>
            <w:tcBorders/>
            <w:vAlign w:val="center"/>
          </w:tcPr>
          <w:p>
            <w:pPr>
              <w:pStyle w:val="TableContents"/>
              <w:bidi w:val="0"/>
              <w:spacing w:before="0" w:after="283"/>
              <w:jc w:val="left"/>
              <w:rPr/>
            </w:pPr>
            <w:r>
              <w:rPr/>
              <w:t> </w:t>
            </w:r>
          </w:p>
        </w:tc>
        <w:tc>
          <w:tcPr>
            <w:tcW w:w="129" w:type="dxa"/>
            <w:tcBorders>
              <w:bottom w:val="single" w:sz="12" w:space="0" w:color="000000"/>
            </w:tcBorders>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tcMar>
              <w:bottom w:w="28" w:type="dxa"/>
            </w:tcMar>
            <w:vAlign w:val="center"/>
          </w:tcPr>
          <w:p>
            <w:pPr>
              <w:pStyle w:val="TableContents"/>
              <w:bidi w:val="0"/>
              <w:spacing w:lineRule="auto" w:line="300" w:before="0" w:after="0"/>
              <w:jc w:val="right"/>
              <w:rPr/>
            </w:pPr>
            <w:r>
              <w:rPr/>
              <w:t>123</w:t>
            </w:r>
          </w:p>
        </w:tc>
        <w:tc>
          <w:tcPr>
            <w:tcW w:w="62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9" w:type="dxa"/>
            <w:tcBorders>
              <w:bottom w:val="single" w:sz="12" w:space="0" w:color="000000"/>
            </w:tcBorders>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tcMar>
              <w:bottom w:w="28" w:type="dxa"/>
            </w:tcMar>
            <w:vAlign w:val="center"/>
          </w:tcPr>
          <w:p>
            <w:pPr>
              <w:pStyle w:val="TableContents"/>
              <w:bidi w:val="0"/>
              <w:spacing w:lineRule="auto" w:line="300" w:before="0" w:after="0"/>
              <w:jc w:val="right"/>
              <w:rPr/>
            </w:pPr>
            <w:r>
              <w:rPr/>
              <w:t>108</w:t>
            </w:r>
          </w:p>
        </w:tc>
        <w:tc>
          <w:tcPr>
            <w:tcW w:w="30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lineRule="auto" w:line="300" w:before="0" w:after="0"/>
              <w:jc w:val="both"/>
              <w:rPr/>
            </w:pPr>
            <w:r>
              <w:rPr/>
              <w:t>Operating loss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lineRule="auto" w:line="300" w:before="0" w:after="0"/>
              <w:jc w:val="right"/>
              <w:rPr/>
            </w:pPr>
            <w:r>
              <w:rPr/>
              <w:t>(45</w:t>
            </w:r>
          </w:p>
        </w:tc>
        <w:tc>
          <w:tcPr>
            <w:tcW w:w="627" w:type="dxa"/>
            <w:tcBorders/>
            <w:shd w:fill="CCEEFF" w:val="clear"/>
            <w:vAlign w:val="center"/>
          </w:tcPr>
          <w:p>
            <w:pPr>
              <w:pStyle w:val="TableContents"/>
              <w:bidi w:val="0"/>
              <w:spacing w:lineRule="auto" w:line="300" w:before="0" w:after="0"/>
              <w:jc w:val="left"/>
              <w:rPr/>
            </w:pPr>
            <w:r>
              <w:rPr/>
              <w:t>)</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lineRule="auto" w:line="300" w:before="0" w:after="0"/>
              <w:jc w:val="right"/>
              <w:rPr/>
            </w:pPr>
            <w:r>
              <w:rPr/>
              <w:t>(24</w:t>
            </w:r>
          </w:p>
        </w:tc>
        <w:tc>
          <w:tcPr>
            <w:tcW w:w="305" w:type="dxa"/>
            <w:tcBorders/>
            <w:shd w:fill="CCEEFF" w:val="clear"/>
            <w:vAlign w:val="center"/>
          </w:tcPr>
          <w:p>
            <w:pPr>
              <w:pStyle w:val="TableContents"/>
              <w:bidi w:val="0"/>
              <w:spacing w:lineRule="auto" w:line="300" w:before="0" w:after="0"/>
              <w:jc w:val="left"/>
              <w:rPr/>
            </w:pPr>
            <w:r>
              <w:rPr/>
              <w:t>)</w:t>
            </w:r>
          </w:p>
        </w:tc>
      </w:tr>
      <w:tr>
        <w:trPr/>
        <w:tc>
          <w:tcPr>
            <w:tcW w:w="2765" w:type="dxa"/>
            <w:tcBorders/>
            <w:vAlign w:val="center"/>
          </w:tcPr>
          <w:p>
            <w:pPr>
              <w:pStyle w:val="TableContents"/>
              <w:bidi w:val="0"/>
              <w:spacing w:lineRule="auto" w:line="300" w:before="0" w:after="0"/>
              <w:jc w:val="both"/>
              <w:rPr/>
            </w:pPr>
            <w:r>
              <w:rPr/>
              <w:t>Financial income, net</w:t>
            </w:r>
          </w:p>
        </w:tc>
        <w:tc>
          <w:tcPr>
            <w:tcW w:w="60" w:type="dxa"/>
            <w:tcBorders/>
            <w:vAlign w:val="center"/>
          </w:tcPr>
          <w:p>
            <w:pPr>
              <w:pStyle w:val="TableContents"/>
              <w:bidi w:val="0"/>
              <w:spacing w:before="0" w:after="283"/>
              <w:jc w:val="left"/>
              <w:rPr/>
            </w:pPr>
            <w:r>
              <w:rPr/>
              <w:t> </w:t>
            </w:r>
          </w:p>
        </w:tc>
        <w:tc>
          <w:tcPr>
            <w:tcW w:w="129" w:type="dxa"/>
            <w:tcBorders>
              <w:bottom w:val="single" w:sz="12" w:space="0" w:color="000000"/>
            </w:tcBorders>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tcMar>
              <w:bottom w:w="28" w:type="dxa"/>
            </w:tcMar>
            <w:vAlign w:val="center"/>
          </w:tcPr>
          <w:p>
            <w:pPr>
              <w:pStyle w:val="TableContents"/>
              <w:bidi w:val="0"/>
              <w:spacing w:lineRule="auto" w:line="300" w:before="0" w:after="0"/>
              <w:jc w:val="right"/>
              <w:rPr/>
            </w:pPr>
            <w:r>
              <w:rPr/>
              <w:t>2</w:t>
            </w:r>
          </w:p>
        </w:tc>
        <w:tc>
          <w:tcPr>
            <w:tcW w:w="62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9" w:type="dxa"/>
            <w:tcBorders>
              <w:bottom w:val="single" w:sz="12" w:space="0" w:color="000000"/>
            </w:tcBorders>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tcMar>
              <w:bottom w:w="28" w:type="dxa"/>
            </w:tcMar>
            <w:vAlign w:val="center"/>
          </w:tcPr>
          <w:p>
            <w:pPr>
              <w:pStyle w:val="TableContents"/>
              <w:bidi w:val="0"/>
              <w:spacing w:lineRule="auto" w:line="300" w:before="0" w:after="0"/>
              <w:jc w:val="right"/>
              <w:rPr/>
            </w:pPr>
            <w:r>
              <w:rPr/>
              <w:t>5</w:t>
            </w:r>
          </w:p>
        </w:tc>
        <w:tc>
          <w:tcPr>
            <w:tcW w:w="30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lineRule="auto" w:line="300" w:before="0" w:after="0"/>
              <w:jc w:val="both"/>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(43</w:t>
            </w:r>
          </w:p>
        </w:tc>
        <w:tc>
          <w:tcPr>
            <w:tcW w:w="627" w:type="dxa"/>
            <w:tcBorders/>
            <w:shd w:fill="CCEEFF" w:val="clear"/>
            <w:vAlign w:val="center"/>
          </w:tcPr>
          <w:p>
            <w:pPr>
              <w:pStyle w:val="TableContents"/>
              <w:bidi w:val="0"/>
              <w:spacing w:lineRule="auto" w:line="300" w:before="0" w:after="0"/>
              <w:jc w:val="left"/>
              <w:rPr/>
            </w:pPr>
            <w:r>
              <w:rPr/>
              <w:t>)</w:t>
            </w:r>
          </w:p>
        </w:tc>
        <w:tc>
          <w:tcPr>
            <w:tcW w:w="129"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(19</w:t>
            </w:r>
          </w:p>
        </w:tc>
        <w:tc>
          <w:tcPr>
            <w:tcW w:w="305" w:type="dxa"/>
            <w:tcBorders/>
            <w:shd w:fill="CCEEFF" w:val="clear"/>
            <w:vAlign w:val="center"/>
          </w:tcPr>
          <w:p>
            <w:pPr>
              <w:pStyle w:val="TableContents"/>
              <w:bidi w:val="0"/>
              <w:spacing w:lineRule="auto" w:line="300" w:before="0" w:after="0"/>
              <w:jc w:val="left"/>
              <w:rPr/>
            </w:pPr>
            <w:r>
              <w:rPr/>
              <w:t>)</w:t>
            </w:r>
          </w:p>
        </w:tc>
      </w:tr>
      <w:tr>
        <w:trPr/>
        <w:tc>
          <w:tcPr>
            <w:tcW w:w="2765" w:type="dxa"/>
            <w:tcBorders/>
            <w:vAlign w:val="center"/>
          </w:tcPr>
          <w:p>
            <w:pPr>
              <w:pStyle w:val="TableContents"/>
              <w:bidi w:val="0"/>
              <w:spacing w:lineRule="auto" w:line="300" w:before="0" w:after="0"/>
              <w:jc w:val="both"/>
              <w:rPr/>
            </w:pPr>
            <w:r>
              <w:rPr/>
              <w:t>Income taxes</w:t>
            </w:r>
          </w:p>
        </w:tc>
        <w:tc>
          <w:tcPr>
            <w:tcW w:w="60" w:type="dxa"/>
            <w:tcBorders/>
            <w:vAlign w:val="center"/>
          </w:tcPr>
          <w:p>
            <w:pPr>
              <w:pStyle w:val="TableContents"/>
              <w:bidi w:val="0"/>
              <w:spacing w:before="0" w:after="283"/>
              <w:jc w:val="left"/>
              <w:rPr/>
            </w:pPr>
            <w:r>
              <w:rPr/>
              <w:t> </w:t>
            </w:r>
          </w:p>
        </w:tc>
        <w:tc>
          <w:tcPr>
            <w:tcW w:w="129" w:type="dxa"/>
            <w:tcBorders>
              <w:bottom w:val="single" w:sz="12" w:space="0" w:color="000000"/>
            </w:tcBorders>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tcMar>
              <w:bottom w:w="28" w:type="dxa"/>
            </w:tcMar>
            <w:vAlign w:val="center"/>
          </w:tcPr>
          <w:p>
            <w:pPr>
              <w:pStyle w:val="TableContents"/>
              <w:bidi w:val="0"/>
              <w:spacing w:lineRule="auto" w:line="300" w:before="0" w:after="0"/>
              <w:jc w:val="right"/>
              <w:rPr/>
            </w:pPr>
            <w:r>
              <w:rPr/>
              <w:t>(1</w:t>
            </w:r>
          </w:p>
        </w:tc>
        <w:tc>
          <w:tcPr>
            <w:tcW w:w="627" w:type="dxa"/>
            <w:tcBorders/>
            <w:vAlign w:val="center"/>
          </w:tcPr>
          <w:p>
            <w:pPr>
              <w:pStyle w:val="TableContents"/>
              <w:bidi w:val="0"/>
              <w:spacing w:lineRule="auto" w:line="300" w:before="0" w:after="0"/>
              <w:jc w:val="left"/>
              <w:rPr/>
            </w:pPr>
            <w:r>
              <w:rPr/>
              <w:t>)</w:t>
            </w:r>
          </w:p>
        </w:tc>
        <w:tc>
          <w:tcPr>
            <w:tcW w:w="129" w:type="dxa"/>
            <w:tcBorders/>
            <w:vAlign w:val="center"/>
          </w:tcPr>
          <w:p>
            <w:pPr>
              <w:pStyle w:val="TableContents"/>
              <w:bidi w:val="0"/>
              <w:spacing w:before="0" w:after="283"/>
              <w:jc w:val="left"/>
              <w:rPr/>
            </w:pPr>
            <w:r>
              <w:rPr/>
              <w:t> </w:t>
            </w:r>
          </w:p>
        </w:tc>
        <w:tc>
          <w:tcPr>
            <w:tcW w:w="129" w:type="dxa"/>
            <w:tcBorders>
              <w:bottom w:val="single" w:sz="12" w:space="0" w:color="000000"/>
            </w:tcBorders>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tcMar>
              <w:bottom w:w="28" w:type="dxa"/>
            </w:tcMar>
            <w:vAlign w:val="center"/>
          </w:tcPr>
          <w:p>
            <w:pPr>
              <w:pStyle w:val="TableContents"/>
              <w:bidi w:val="0"/>
              <w:spacing w:lineRule="auto" w:line="300" w:before="0" w:after="0"/>
              <w:jc w:val="right"/>
              <w:rPr/>
            </w:pPr>
            <w:r>
              <w:rPr/>
              <w:t>(2</w:t>
            </w:r>
          </w:p>
        </w:tc>
        <w:tc>
          <w:tcPr>
            <w:tcW w:w="305" w:type="dxa"/>
            <w:tcBorders/>
            <w:vAlign w:val="center"/>
          </w:tcPr>
          <w:p>
            <w:pPr>
              <w:pStyle w:val="TableContents"/>
              <w:bidi w:val="0"/>
              <w:spacing w:lineRule="auto" w:line="300" w:before="0" w:after="0"/>
              <w:jc w:val="left"/>
              <w:rPr/>
            </w:pPr>
            <w:r>
              <w:rPr/>
              <w:t>)</w:t>
            </w:r>
          </w:p>
        </w:tc>
      </w:tr>
      <w:tr>
        <w:trPr/>
        <w:tc>
          <w:tcPr>
            <w:tcW w:w="2765" w:type="dxa"/>
            <w:tcBorders/>
            <w:shd w:fill="CCEEFF" w:val="clear"/>
            <w:vAlign w:val="center"/>
          </w:tcPr>
          <w:p>
            <w:pPr>
              <w:pStyle w:val="TableContents"/>
              <w:bidi w:val="0"/>
              <w:spacing w:lineRule="auto" w:line="300" w:before="0" w:after="0"/>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(44</w:t>
            </w:r>
          </w:p>
        </w:tc>
        <w:tc>
          <w:tcPr>
            <w:tcW w:w="627" w:type="dxa"/>
            <w:tcBorders/>
            <w:shd w:fill="CCEEFF" w:val="clear"/>
            <w:vAlign w:val="center"/>
          </w:tcPr>
          <w:p>
            <w:pPr>
              <w:pStyle w:val="TableContents"/>
              <w:bidi w:val="0"/>
              <w:spacing w:lineRule="auto" w:line="300" w:before="0" w:after="0"/>
              <w:jc w:val="left"/>
              <w:rPr/>
            </w:pPr>
            <w:r>
              <w:rPr/>
              <w:t>)%</w:t>
            </w:r>
          </w:p>
        </w:tc>
        <w:tc>
          <w:tcPr>
            <w:tcW w:w="129"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(21</w:t>
            </w:r>
          </w:p>
        </w:tc>
        <w:tc>
          <w:tcPr>
            <w:tcW w:w="305" w:type="dxa"/>
            <w:tcBorders/>
            <w:shd w:fill="CCEEFF" w:val="clear"/>
            <w:vAlign w:val="center"/>
          </w:tcPr>
          <w:p>
            <w:pPr>
              <w:pStyle w:val="TableContents"/>
              <w:bidi w:val="0"/>
              <w:spacing w:lineRule="auto" w:line="300" w:before="0" w:after="0"/>
              <w:jc w:val="left"/>
              <w:rPr/>
            </w:pPr>
            <w:r>
              <w:rPr/>
              <w:t>)%</w:t>
            </w:r>
          </w:p>
        </w:tc>
      </w:tr>
    </w:tbl>
    <w:p>
      <w:pPr>
        <w:pStyle w:val="TextBody"/>
        <w:bidi w:val="0"/>
        <w:spacing w:lineRule="auto" w:line="300" w:before="0" w:after="0"/>
        <w:jc w:val="left"/>
        <w:rPr/>
      </w:pPr>
      <w:r>
        <w:rPr/>
        <w:t> </w:t>
      </w:r>
    </w:p>
    <w:p>
      <w:pPr>
        <w:pStyle w:val="TextBody"/>
        <w:bidi w:val="0"/>
        <w:spacing w:lineRule="auto" w:line="300" w:before="0" w:after="0"/>
        <w:jc w:val="both"/>
        <w:rPr>
          <w:sz w:val="20"/>
        </w:rPr>
      </w:pPr>
      <w:r>
        <w:rPr>
          <w:sz w:val="20"/>
        </w:rPr>
        <w:t>* Due to rounding, numbers presented in the above table may not add up precisely to the totals provided and percentages may not precisely reflect the absolute figures.</w:t>
      </w:r>
    </w:p>
    <w:p>
      <w:pPr>
        <w:pStyle w:val="TextBody"/>
        <w:bidi w:val="0"/>
        <w:spacing w:lineRule="auto" w:line="300" w:before="0" w:after="0"/>
        <w:jc w:val="left"/>
        <w:rPr/>
      </w:pPr>
      <w:r>
        <w:rPr/>
      </w:r>
    </w:p>
    <w:p>
      <w:pPr>
        <w:pStyle w:val="TextBody"/>
        <w:bidi w:val="0"/>
        <w:spacing w:lineRule="auto" w:line="300" w:before="0" w:after="0"/>
        <w:ind w:left="0" w:right="0" w:firstLine="500"/>
        <w:jc w:val="both"/>
        <w:rPr>
          <w:rFonts w:ascii="Times New Roman;Times;serif" w:hAnsi="Times New Roman;Times;serif"/>
          <w:b/>
          <w:i/>
          <w:sz w:val="20"/>
        </w:rPr>
      </w:pPr>
      <w:r>
        <w:rPr>
          <w:rFonts w:ascii="Times New Roman;Times;serif" w:hAnsi="Times New Roman;Times;serif"/>
          <w:b/>
          <w:i/>
          <w:sz w:val="20"/>
        </w:rPr>
        <w:t>Comparison of the years ended December 31, 2022 and 2023</w:t>
      </w:r>
    </w:p>
    <w:p>
      <w:pPr>
        <w:pStyle w:val="TextBody"/>
        <w:bidi w:val="0"/>
        <w:spacing w:lineRule="auto" w:line="300" w:before="0" w:after="0"/>
        <w:jc w:val="left"/>
        <w:rPr/>
      </w:pPr>
      <w:r>
        <w:rPr/>
        <w:t> </w:t>
      </w:r>
    </w:p>
    <w:p>
      <w:pPr>
        <w:pStyle w:val="TextBody"/>
        <w:bidi w:val="0"/>
        <w:spacing w:lineRule="auto" w:line="300" w:before="0" w:after="0"/>
        <w:jc w:val="left"/>
        <w:rPr>
          <w:b/>
          <w:i/>
          <w:sz w:val="20"/>
        </w:rPr>
      </w:pPr>
      <w:r>
        <w:rPr>
          <w:b/>
          <w:i/>
          <w:sz w:val="20"/>
        </w:rPr>
        <w:t>Revenue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37" w:name="z62b463e581e1478bb4d2b8fea298c3f2"/>
      <w:bookmarkStart w:id="138" w:name="z62b463e581e1478bb4d2b8fea298c3f2"/>
      <w:bookmarkEnd w:id="138"/>
    </w:p>
    <w:tbl>
      <w:tblPr>
        <w:tblW w:w="8573" w:type="dxa"/>
        <w:jc w:val="left"/>
        <w:tblInd w:w="0" w:type="dxa"/>
        <w:tblLayout w:type="fixed"/>
        <w:tblCellMar>
          <w:top w:w="0" w:type="dxa"/>
          <w:left w:w="0" w:type="dxa"/>
          <w:bottom w:w="0" w:type="dxa"/>
          <w:right w:w="0" w:type="dxa"/>
        </w:tblCellMar>
      </w:tblPr>
      <w:tblGrid>
        <w:gridCol w:w="2900"/>
        <w:gridCol w:w="60"/>
        <w:gridCol w:w="190"/>
        <w:gridCol w:w="1088"/>
        <w:gridCol w:w="81"/>
        <w:gridCol w:w="81"/>
        <w:gridCol w:w="190"/>
        <w:gridCol w:w="1088"/>
        <w:gridCol w:w="60"/>
        <w:gridCol w:w="60"/>
        <w:gridCol w:w="201"/>
        <w:gridCol w:w="977"/>
        <w:gridCol w:w="136"/>
        <w:gridCol w:w="86"/>
        <w:gridCol w:w="172"/>
        <w:gridCol w:w="973"/>
        <w:gridCol w:w="230"/>
      </w:tblGrid>
      <w:tr>
        <w:trPr/>
        <w:tc>
          <w:tcPr>
            <w:tcW w:w="2900" w:type="dxa"/>
            <w:tcBorders/>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Period-over-Period</w:t>
              <w:br/>
              <w:t>Change</w:t>
            </w:r>
          </w:p>
        </w:tc>
        <w:tc>
          <w:tcPr>
            <w:tcW w:w="23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278"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8"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Dollar</w:t>
            </w:r>
          </w:p>
        </w:tc>
        <w:tc>
          <w:tcPr>
            <w:tcW w:w="13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Percentage</w:t>
            </w:r>
          </w:p>
        </w:tc>
        <w:tc>
          <w:tcPr>
            <w:tcW w:w="23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5383" w:type="dxa"/>
            <w:gridSpan w:val="14"/>
            <w:tcBorders/>
            <w:vAlign w:val="center"/>
          </w:tcPr>
          <w:p>
            <w:pPr>
              <w:pStyle w:val="TableContents"/>
              <w:bidi w:val="0"/>
              <w:spacing w:lineRule="auto" w:line="300" w:before="0" w:after="0"/>
              <w:jc w:val="center"/>
              <w:rPr>
                <w:b/>
              </w:rPr>
            </w:pPr>
            <w:r>
              <w:rPr>
                <w:b/>
              </w:rPr>
              <w:t>(in thousands, except percentages)</w:t>
            </w:r>
          </w:p>
        </w:tc>
        <w:tc>
          <w:tcPr>
            <w:tcW w:w="23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lineRule="auto" w:line="300" w:before="0" w:after="0"/>
              <w:jc w:val="left"/>
              <w:rPr/>
            </w:pPr>
            <w:r>
              <w:rPr/>
              <w:t>Subscription revenues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lineRule="auto" w:line="300" w:before="0" w:after="0"/>
              <w:jc w:val="left"/>
              <w:rPr/>
            </w:pPr>
            <w:r>
              <w:rPr/>
              <w:t>$</w:t>
            </w:r>
          </w:p>
        </w:tc>
        <w:tc>
          <w:tcPr>
            <w:tcW w:w="1088" w:type="dxa"/>
            <w:tcBorders/>
            <w:shd w:fill="CCEEFF" w:val="clear"/>
            <w:vAlign w:val="center"/>
          </w:tcPr>
          <w:p>
            <w:pPr>
              <w:pStyle w:val="TableContents"/>
              <w:bidi w:val="0"/>
              <w:spacing w:lineRule="auto" w:line="300" w:before="0" w:after="0"/>
              <w:jc w:val="right"/>
              <w:rPr/>
            </w:pPr>
            <w:r>
              <w:rPr/>
              <w:t>220,972</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lineRule="auto" w:line="300" w:before="0" w:after="0"/>
              <w:jc w:val="left"/>
              <w:rPr/>
            </w:pPr>
            <w:r>
              <w:rPr/>
              <w:t>$</w:t>
            </w:r>
          </w:p>
        </w:tc>
        <w:tc>
          <w:tcPr>
            <w:tcW w:w="1088" w:type="dxa"/>
            <w:tcBorders/>
            <w:shd w:fill="CCEEFF" w:val="clear"/>
            <w:vAlign w:val="center"/>
          </w:tcPr>
          <w:p>
            <w:pPr>
              <w:pStyle w:val="TableContents"/>
              <w:bidi w:val="0"/>
              <w:spacing w:lineRule="auto" w:line="300" w:before="0" w:after="0"/>
              <w:jc w:val="right"/>
              <w:rPr/>
            </w:pPr>
            <w:r>
              <w:rPr/>
              <w:t>247,715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lineRule="auto" w:line="300" w:before="0" w:after="0"/>
              <w:jc w:val="left"/>
              <w:rPr/>
            </w:pPr>
            <w:r>
              <w:rPr/>
              <w:t>$</w:t>
            </w:r>
          </w:p>
        </w:tc>
        <w:tc>
          <w:tcPr>
            <w:tcW w:w="977" w:type="dxa"/>
            <w:tcBorders/>
            <w:shd w:fill="CCEEFF" w:val="clear"/>
            <w:vAlign w:val="center"/>
          </w:tcPr>
          <w:p>
            <w:pPr>
              <w:pStyle w:val="TableContents"/>
              <w:bidi w:val="0"/>
              <w:spacing w:lineRule="auto" w:line="300" w:before="0" w:after="0"/>
              <w:jc w:val="right"/>
              <w:rPr/>
            </w:pPr>
            <w:r>
              <w:rPr/>
              <w:t>26,743</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lineRule="auto" w:line="300" w:before="0" w:after="0"/>
              <w:jc w:val="right"/>
              <w:rPr/>
            </w:pPr>
            <w:r>
              <w:rPr/>
              <w:t>12</w:t>
            </w:r>
          </w:p>
        </w:tc>
        <w:tc>
          <w:tcPr>
            <w:tcW w:w="230" w:type="dxa"/>
            <w:tcBorders/>
            <w:shd w:fill="CCEEFF" w:val="clear"/>
            <w:vAlign w:val="center"/>
          </w:tcPr>
          <w:p>
            <w:pPr>
              <w:pStyle w:val="TableContents"/>
              <w:bidi w:val="0"/>
              <w:spacing w:lineRule="auto" w:line="300" w:before="0" w:after="0"/>
              <w:jc w:val="left"/>
              <w:rPr/>
            </w:pPr>
            <w:r>
              <w:rPr/>
              <w:t>%</w:t>
            </w:r>
          </w:p>
        </w:tc>
      </w:tr>
      <w:tr>
        <w:trPr/>
        <w:tc>
          <w:tcPr>
            <w:tcW w:w="2900" w:type="dxa"/>
            <w:tcBorders/>
            <w:vAlign w:val="center"/>
          </w:tcPr>
          <w:p>
            <w:pPr>
              <w:pStyle w:val="TableContents"/>
              <w:bidi w:val="0"/>
              <w:spacing w:lineRule="auto" w:line="300" w:before="0" w:after="0"/>
              <w:jc w:val="left"/>
              <w:rPr/>
            </w:pPr>
            <w:r>
              <w:rPr/>
              <w:t>Professional services revenues</w:t>
            </w:r>
          </w:p>
        </w:tc>
        <w:tc>
          <w:tcPr>
            <w:tcW w:w="60" w:type="dxa"/>
            <w:tcBorders/>
            <w:vAlign w:val="center"/>
          </w:tcPr>
          <w:p>
            <w:pPr>
              <w:pStyle w:val="TableContents"/>
              <w:bidi w:val="0"/>
              <w:spacing w:before="0" w:after="283"/>
              <w:jc w:val="left"/>
              <w:rPr/>
            </w:pPr>
            <w:r>
              <w:rPr/>
              <w:t> </w:t>
            </w:r>
          </w:p>
        </w:tc>
        <w:tc>
          <w:tcPr>
            <w:tcW w:w="1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8" w:type="dxa"/>
            <w:tcBorders>
              <w:bottom w:val="single" w:sz="12" w:space="0" w:color="000000"/>
            </w:tcBorders>
            <w:tcMar>
              <w:bottom w:w="28" w:type="dxa"/>
            </w:tcMar>
            <w:vAlign w:val="center"/>
          </w:tcPr>
          <w:p>
            <w:pPr>
              <w:pStyle w:val="TableContents"/>
              <w:bidi w:val="0"/>
              <w:spacing w:lineRule="auto" w:line="300" w:before="0" w:after="0"/>
              <w:jc w:val="right"/>
              <w:rPr/>
            </w:pPr>
            <w:r>
              <w:rPr/>
              <w:t>24,034</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8" w:type="dxa"/>
            <w:tcBorders>
              <w:bottom w:val="single" w:sz="12" w:space="0" w:color="000000"/>
            </w:tcBorders>
            <w:tcMar>
              <w:bottom w:w="28" w:type="dxa"/>
            </w:tcMar>
            <w:vAlign w:val="center"/>
          </w:tcPr>
          <w:p>
            <w:pPr>
              <w:pStyle w:val="TableContents"/>
              <w:bidi w:val="0"/>
              <w:spacing w:lineRule="auto" w:line="300" w:before="0" w:after="0"/>
              <w:jc w:val="right"/>
              <w:rPr/>
            </w:pPr>
            <w:r>
              <w:rPr/>
              <w:t>19,239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7" w:type="dxa"/>
            <w:tcBorders>
              <w:bottom w:val="single" w:sz="12" w:space="0" w:color="000000"/>
            </w:tcBorders>
            <w:tcMar>
              <w:bottom w:w="28" w:type="dxa"/>
            </w:tcMar>
            <w:vAlign w:val="center"/>
          </w:tcPr>
          <w:p>
            <w:pPr>
              <w:pStyle w:val="TableContents"/>
              <w:bidi w:val="0"/>
              <w:spacing w:lineRule="auto" w:line="300" w:before="0" w:after="0"/>
              <w:jc w:val="right"/>
              <w:rPr/>
            </w:pPr>
            <w:r>
              <w:rPr/>
              <w:t>(4,795</w:t>
            </w:r>
          </w:p>
        </w:tc>
        <w:tc>
          <w:tcPr>
            <w:tcW w:w="136" w:type="dxa"/>
            <w:tcBorders/>
            <w:vAlign w:val="center"/>
          </w:tcPr>
          <w:p>
            <w:pPr>
              <w:pStyle w:val="TableContents"/>
              <w:bidi w:val="0"/>
              <w:spacing w:lineRule="auto" w:line="300" w:before="0" w:after="0"/>
              <w:jc w:val="left"/>
              <w:rPr/>
            </w:pPr>
            <w:r>
              <w:rPr/>
              <w:t>)</w:t>
            </w:r>
          </w:p>
        </w:tc>
        <w:tc>
          <w:tcPr>
            <w:tcW w:w="86"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973" w:type="dxa"/>
            <w:tcBorders>
              <w:bottom w:val="single" w:sz="12" w:space="0" w:color="000000"/>
            </w:tcBorders>
            <w:tcMar>
              <w:bottom w:w="28" w:type="dxa"/>
            </w:tcMar>
            <w:vAlign w:val="center"/>
          </w:tcPr>
          <w:p>
            <w:pPr>
              <w:pStyle w:val="TableContents"/>
              <w:bidi w:val="0"/>
              <w:spacing w:lineRule="auto" w:line="300" w:before="0" w:after="0"/>
              <w:jc w:val="right"/>
              <w:rPr/>
            </w:pPr>
            <w:r>
              <w:rPr/>
              <w:t>(20</w:t>
            </w:r>
          </w:p>
        </w:tc>
        <w:tc>
          <w:tcPr>
            <w:tcW w:w="230" w:type="dxa"/>
            <w:tcBorders/>
            <w:vAlign w:val="center"/>
          </w:tcPr>
          <w:p>
            <w:pPr>
              <w:pStyle w:val="TableContents"/>
              <w:bidi w:val="0"/>
              <w:spacing w:lineRule="auto" w:line="300" w:before="0" w:after="0"/>
              <w:jc w:val="left"/>
              <w:rPr/>
            </w:pPr>
            <w:r>
              <w:rPr/>
              <w:t>)</w:t>
            </w:r>
          </w:p>
        </w:tc>
      </w:tr>
      <w:tr>
        <w:trPr/>
        <w:tc>
          <w:tcPr>
            <w:tcW w:w="2900" w:type="dxa"/>
            <w:tcBorders/>
            <w:shd w:fill="CCEEFF" w:val="clear"/>
            <w:vAlign w:val="center"/>
          </w:tcPr>
          <w:p>
            <w:pPr>
              <w:pStyle w:val="TableContents"/>
              <w:bidi w:val="0"/>
              <w:spacing w:lineRule="auto" w:line="300" w:before="0" w:after="0"/>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pPr>
            <w:r>
              <w:rPr/>
              <w:t>$</w:t>
            </w:r>
          </w:p>
        </w:tc>
        <w:tc>
          <w:tcPr>
            <w:tcW w:w="108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245,006</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pPr>
            <w:r>
              <w:rPr/>
              <w:t>$</w:t>
            </w:r>
          </w:p>
        </w:tc>
        <w:tc>
          <w:tcPr>
            <w:tcW w:w="108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266,954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pPr>
            <w:r>
              <w:rPr/>
              <w:t>$</w:t>
            </w:r>
          </w:p>
        </w:tc>
        <w:tc>
          <w:tcPr>
            <w:tcW w:w="97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21,948</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9</w:t>
            </w:r>
          </w:p>
        </w:tc>
        <w:tc>
          <w:tcPr>
            <w:tcW w:w="230" w:type="dxa"/>
            <w:tcBorders/>
            <w:shd w:fill="CCEEFF" w:val="clear"/>
            <w:vAlign w:val="center"/>
          </w:tcPr>
          <w:p>
            <w:pPr>
              <w:pStyle w:val="TableContents"/>
              <w:bidi w:val="0"/>
              <w:spacing w:lineRule="auto" w:line="300" w:before="0" w:after="0"/>
              <w:jc w:val="left"/>
              <w:rPr/>
            </w:pPr>
            <w:r>
              <w:rPr/>
              <w:t>%</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The following table presents our subscription revenues and professional services revenues as a percentage of our total revenue for each period presented above. </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39" w:name="z41faf51e704a416fa4f5ccdd9c1496d2"/>
      <w:bookmarkStart w:id="140" w:name="z41faf51e704a416fa4f5ccdd9c1496d2"/>
      <w:bookmarkEnd w:id="140"/>
    </w:p>
    <w:tbl>
      <w:tblPr>
        <w:tblW w:w="4602" w:type="dxa"/>
        <w:jc w:val="left"/>
        <w:tblInd w:w="0" w:type="dxa"/>
        <w:tblLayout w:type="fixed"/>
        <w:tblCellMar>
          <w:top w:w="0" w:type="dxa"/>
          <w:left w:w="0" w:type="dxa"/>
          <w:bottom w:w="0" w:type="dxa"/>
          <w:right w:w="0" w:type="dxa"/>
        </w:tblCellMar>
      </w:tblPr>
      <w:tblGrid>
        <w:gridCol w:w="2900"/>
        <w:gridCol w:w="60"/>
        <w:gridCol w:w="73"/>
        <w:gridCol w:w="465"/>
        <w:gridCol w:w="263"/>
        <w:gridCol w:w="73"/>
        <w:gridCol w:w="73"/>
        <w:gridCol w:w="465"/>
        <w:gridCol w:w="230"/>
      </w:tblGrid>
      <w:tr>
        <w:trPr/>
        <w:tc>
          <w:tcPr>
            <w:tcW w:w="2900" w:type="dxa"/>
            <w:tcBorders/>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w:t>
              <w:br/>
              <w:t>December 31,</w:t>
            </w:r>
          </w:p>
        </w:tc>
        <w:tc>
          <w:tcPr>
            <w:tcW w:w="23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538"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26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538"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23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lineRule="auto" w:line="300" w:before="0" w:after="0"/>
              <w:jc w:val="left"/>
              <w:rPr/>
            </w:pPr>
            <w:r>
              <w:rPr/>
              <w:t>Subscription revenues</w:t>
            </w:r>
          </w:p>
        </w:tc>
        <w:tc>
          <w:tcPr>
            <w:tcW w:w="60"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lineRule="auto" w:line="300" w:before="0" w:after="0"/>
              <w:jc w:val="right"/>
              <w:rPr/>
            </w:pPr>
            <w:r>
              <w:rPr/>
              <w:t>90</w:t>
            </w:r>
          </w:p>
        </w:tc>
        <w:tc>
          <w:tcPr>
            <w:tcW w:w="263" w:type="dxa"/>
            <w:tcBorders/>
            <w:shd w:fill="CCEEFF" w:val="clear"/>
            <w:vAlign w:val="center"/>
          </w:tcPr>
          <w:p>
            <w:pPr>
              <w:pStyle w:val="TableContents"/>
              <w:bidi w:val="0"/>
              <w:spacing w:lineRule="auto" w:line="300" w:before="0" w:after="0"/>
              <w:jc w:val="left"/>
              <w:rPr/>
            </w:pPr>
            <w:r>
              <w:rPr/>
              <w:t>%</w:t>
            </w:r>
          </w:p>
        </w:tc>
        <w:tc>
          <w:tcPr>
            <w:tcW w:w="73"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lineRule="auto" w:line="300" w:before="0" w:after="0"/>
              <w:jc w:val="right"/>
              <w:rPr/>
            </w:pPr>
            <w:r>
              <w:rPr/>
              <w:t>93</w:t>
            </w:r>
          </w:p>
        </w:tc>
        <w:tc>
          <w:tcPr>
            <w:tcW w:w="230" w:type="dxa"/>
            <w:tcBorders/>
            <w:shd w:fill="CCEEFF" w:val="clear"/>
            <w:vAlign w:val="center"/>
          </w:tcPr>
          <w:p>
            <w:pPr>
              <w:pStyle w:val="TableContents"/>
              <w:bidi w:val="0"/>
              <w:spacing w:lineRule="auto" w:line="300" w:before="0" w:after="0"/>
              <w:jc w:val="left"/>
              <w:rPr/>
            </w:pPr>
            <w:r>
              <w:rPr/>
              <w:t>%</w:t>
            </w:r>
          </w:p>
        </w:tc>
      </w:tr>
      <w:tr>
        <w:trPr/>
        <w:tc>
          <w:tcPr>
            <w:tcW w:w="2900" w:type="dxa"/>
            <w:tcBorders/>
            <w:vAlign w:val="center"/>
          </w:tcPr>
          <w:p>
            <w:pPr>
              <w:pStyle w:val="TableContents"/>
              <w:bidi w:val="0"/>
              <w:spacing w:lineRule="auto" w:line="300" w:before="0" w:after="0"/>
              <w:jc w:val="left"/>
              <w:rPr/>
            </w:pPr>
            <w:r>
              <w:rPr/>
              <w:t>Professional services revenues</w:t>
            </w:r>
          </w:p>
        </w:tc>
        <w:tc>
          <w:tcPr>
            <w:tcW w:w="60" w:type="dxa"/>
            <w:tcBorders/>
            <w:vAlign w:val="center"/>
          </w:tcPr>
          <w:p>
            <w:pPr>
              <w:pStyle w:val="TableContents"/>
              <w:bidi w:val="0"/>
              <w:spacing w:before="0" w:after="283"/>
              <w:jc w:val="right"/>
              <w:rPr/>
            </w:pPr>
            <w:r>
              <w:rPr/>
              <w:t> </w:t>
            </w:r>
          </w:p>
        </w:tc>
        <w:tc>
          <w:tcPr>
            <w:tcW w:w="73" w:type="dxa"/>
            <w:tcBorders>
              <w:bottom w:val="single" w:sz="12" w:space="0" w:color="000000"/>
            </w:tcBorders>
            <w:tcMar>
              <w:bottom w:w="28" w:type="dxa"/>
            </w:tcMar>
            <w:vAlign w:val="center"/>
          </w:tcPr>
          <w:p>
            <w:pPr>
              <w:pStyle w:val="TableContents"/>
              <w:bidi w:val="0"/>
              <w:spacing w:before="0" w:after="283"/>
              <w:jc w:val="left"/>
              <w:rPr/>
            </w:pPr>
            <w:r>
              <w:rPr/>
              <w:t> </w:t>
            </w:r>
          </w:p>
        </w:tc>
        <w:tc>
          <w:tcPr>
            <w:tcW w:w="465" w:type="dxa"/>
            <w:tcBorders>
              <w:bottom w:val="single" w:sz="12" w:space="0" w:color="000000"/>
            </w:tcBorders>
            <w:tcMar>
              <w:bottom w:w="28" w:type="dxa"/>
            </w:tcMar>
            <w:vAlign w:val="center"/>
          </w:tcPr>
          <w:p>
            <w:pPr>
              <w:pStyle w:val="TableContents"/>
              <w:bidi w:val="0"/>
              <w:spacing w:lineRule="auto" w:line="300" w:before="0" w:after="0"/>
              <w:jc w:val="right"/>
              <w:rPr/>
            </w:pPr>
            <w:r>
              <w:rPr/>
              <w:t>10</w:t>
            </w:r>
          </w:p>
        </w:tc>
        <w:tc>
          <w:tcPr>
            <w:tcW w:w="26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right"/>
              <w:rPr/>
            </w:pPr>
            <w:r>
              <w:rPr/>
              <w:t> </w:t>
            </w:r>
          </w:p>
        </w:tc>
        <w:tc>
          <w:tcPr>
            <w:tcW w:w="73" w:type="dxa"/>
            <w:tcBorders>
              <w:bottom w:val="single" w:sz="12" w:space="0" w:color="000000"/>
            </w:tcBorders>
            <w:tcMar>
              <w:bottom w:w="28" w:type="dxa"/>
            </w:tcMar>
            <w:vAlign w:val="center"/>
          </w:tcPr>
          <w:p>
            <w:pPr>
              <w:pStyle w:val="TableContents"/>
              <w:bidi w:val="0"/>
              <w:spacing w:before="0" w:after="283"/>
              <w:jc w:val="left"/>
              <w:rPr/>
            </w:pPr>
            <w:r>
              <w:rPr/>
              <w:t> </w:t>
            </w:r>
          </w:p>
        </w:tc>
        <w:tc>
          <w:tcPr>
            <w:tcW w:w="465" w:type="dxa"/>
            <w:tcBorders>
              <w:bottom w:val="single" w:sz="12" w:space="0" w:color="000000"/>
            </w:tcBorders>
            <w:tcMar>
              <w:bottom w:w="28" w:type="dxa"/>
            </w:tcMar>
            <w:vAlign w:val="center"/>
          </w:tcPr>
          <w:p>
            <w:pPr>
              <w:pStyle w:val="TableContents"/>
              <w:bidi w:val="0"/>
              <w:spacing w:lineRule="auto" w:line="300" w:before="0" w:after="0"/>
              <w:jc w:val="right"/>
              <w:rPr/>
            </w:pPr>
            <w:r>
              <w:rPr/>
              <w:t>7</w:t>
            </w:r>
          </w:p>
        </w:tc>
        <w:tc>
          <w:tcPr>
            <w:tcW w:w="23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lineRule="auto" w:line="300" w:before="0" w:after="0"/>
              <w:jc w:val="left"/>
              <w:rPr/>
            </w:pPr>
            <w:r>
              <w:rPr/>
              <w:t>Total revenue</w:t>
            </w:r>
          </w:p>
        </w:tc>
        <w:tc>
          <w:tcPr>
            <w:tcW w:w="60" w:type="dxa"/>
            <w:tcBorders/>
            <w:shd w:fill="CCEEFF" w:val="clear"/>
            <w:vAlign w:val="center"/>
          </w:tcPr>
          <w:p>
            <w:pPr>
              <w:pStyle w:val="TableContents"/>
              <w:bidi w:val="0"/>
              <w:spacing w:before="0" w:after="283"/>
              <w:jc w:val="righ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100</w:t>
            </w:r>
          </w:p>
        </w:tc>
        <w:tc>
          <w:tcPr>
            <w:tcW w:w="263" w:type="dxa"/>
            <w:tcBorders/>
            <w:shd w:fill="CCEEFF" w:val="clear"/>
            <w:vAlign w:val="center"/>
          </w:tcPr>
          <w:p>
            <w:pPr>
              <w:pStyle w:val="TableContents"/>
              <w:bidi w:val="0"/>
              <w:spacing w:lineRule="auto" w:line="300" w:before="0" w:after="0"/>
              <w:jc w:val="left"/>
              <w:rPr/>
            </w:pPr>
            <w:r>
              <w:rPr/>
              <w:t>%</w:t>
            </w:r>
          </w:p>
        </w:tc>
        <w:tc>
          <w:tcPr>
            <w:tcW w:w="73" w:type="dxa"/>
            <w:tcBorders/>
            <w:shd w:fill="CCEEFF" w:val="clear"/>
            <w:vAlign w:val="center"/>
          </w:tcPr>
          <w:p>
            <w:pPr>
              <w:pStyle w:val="TableContents"/>
              <w:bidi w:val="0"/>
              <w:spacing w:before="0" w:after="283"/>
              <w:jc w:val="righ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100</w:t>
            </w:r>
          </w:p>
        </w:tc>
        <w:tc>
          <w:tcPr>
            <w:tcW w:w="230" w:type="dxa"/>
            <w:tcBorders/>
            <w:shd w:fill="CCEEFF" w:val="clear"/>
            <w:vAlign w:val="center"/>
          </w:tcPr>
          <w:p>
            <w:pPr>
              <w:pStyle w:val="TableContents"/>
              <w:bidi w:val="0"/>
              <w:spacing w:lineRule="auto" w:line="300" w:before="0" w:after="0"/>
              <w:jc w:val="left"/>
              <w:rPr/>
            </w:pPr>
            <w:r>
              <w:rPr/>
              <w:t>%</w:t>
            </w:r>
          </w:p>
        </w:tc>
      </w:tr>
    </w:tbl>
    <w:p>
      <w:pPr>
        <w:pStyle w:val="TextBody"/>
        <w:bidi w:val="0"/>
        <w:spacing w:lineRule="auto" w:line="300" w:before="0" w:after="0"/>
        <w:jc w:val="left"/>
        <w:rPr/>
      </w:pPr>
      <w:r>
        <w:rPr/>
      </w:r>
    </w:p>
    <w:p>
      <w:pPr>
        <w:pStyle w:val="TextBody"/>
        <w:bidi w:val="0"/>
        <w:spacing w:lineRule="auto" w:line="300" w:before="0" w:after="0"/>
        <w:jc w:val="left"/>
        <w:rPr>
          <w:i/>
          <w:sz w:val="20"/>
        </w:rPr>
      </w:pPr>
      <w:r>
        <w:rPr>
          <w:i/>
          <w:sz w:val="20"/>
        </w:rPr>
        <w:t>Subscription Revenues</w:t>
      </w:r>
    </w:p>
    <w:p>
      <w:pPr>
        <w:pStyle w:val="TextBody"/>
        <w:bidi w:val="0"/>
        <w:spacing w:lineRule="auto" w:line="300" w:before="0" w:after="0"/>
        <w:jc w:val="left"/>
        <w:rPr/>
      </w:pPr>
      <w:r>
        <w:rPr/>
        <w:t> </w:t>
      </w:r>
    </w:p>
    <w:p>
      <w:pPr>
        <w:pStyle w:val="TextBody"/>
        <w:bidi w:val="0"/>
        <w:spacing w:lineRule="auto" w:line="300" w:before="0" w:after="0"/>
        <w:ind w:left="0" w:right="0" w:firstLine="490"/>
        <w:jc w:val="both"/>
        <w:rPr>
          <w:sz w:val="20"/>
        </w:rPr>
      </w:pPr>
      <w:r>
        <w:rPr>
          <w:sz w:val="20"/>
        </w:rPr>
        <w:t>Subscription revenues increased by $26.7 million, or 12%, to $247.7 million for the year ended December 31, 2023 compared to $221.0 million for the year ended December 31, 2022. This increase was due to expansion from existing customers within and across lines of business, as well as new customer additions. Approximately 78% of the increase in revenue was attributable to the growth from existing customers, and the remaining increase in revenue was attributable to new customers.</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65</w:t>
      </w:r>
    </w:p>
    <w:p>
      <w:pPr>
        <w:pStyle w:val="HorizontalLine"/>
        <w:bidi w:val="0"/>
        <w:spacing w:before="200" w:after="200"/>
        <w:jc w:val="left"/>
        <w:rPr/>
      </w:pPr>
      <w:r>
        <w:rPr/>
      </w:r>
    </w:p>
    <w:p>
      <w:pPr>
        <w:pStyle w:val="TextBody"/>
        <w:bidi w:val="0"/>
        <w:spacing w:lineRule="auto" w:line="300" w:before="0" w:after="0"/>
        <w:jc w:val="both"/>
        <w:rPr>
          <w:i/>
          <w:sz w:val="20"/>
        </w:rPr>
      </w:pPr>
      <w:r>
        <w:rPr>
          <w:i/>
          <w:sz w:val="20"/>
        </w:rPr>
        <w:t>Professional Services Revenues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Professional services revenues decreased by $4.8 million, or 20%, to $19.2 million for the year ended December 31, 2023 compared to $24.0 million for the year ended December 31, 2022. The decrease is primarily due to our internal partners strategy and our transformation to outcome-based services.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Cost of Revenues and Gross Margin</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141" w:name="z5593ed0b86b84a5a95dc8a1b3470d17e"/>
      <w:bookmarkStart w:id="142" w:name="z5593ed0b86b84a5a95dc8a1b3470d17e"/>
      <w:bookmarkEnd w:id="142"/>
    </w:p>
    <w:tbl>
      <w:tblPr>
        <w:tblW w:w="8717" w:type="dxa"/>
        <w:jc w:val="left"/>
        <w:tblInd w:w="0" w:type="dxa"/>
        <w:tblLayout w:type="fixed"/>
        <w:tblCellMar>
          <w:top w:w="0" w:type="dxa"/>
          <w:left w:w="0" w:type="dxa"/>
          <w:bottom w:w="0" w:type="dxa"/>
          <w:right w:w="0" w:type="dxa"/>
        </w:tblCellMar>
      </w:tblPr>
      <w:tblGrid>
        <w:gridCol w:w="3635"/>
        <w:gridCol w:w="60"/>
        <w:gridCol w:w="140"/>
        <w:gridCol w:w="680"/>
        <w:gridCol w:w="215"/>
        <w:gridCol w:w="60"/>
        <w:gridCol w:w="140"/>
        <w:gridCol w:w="680"/>
        <w:gridCol w:w="215"/>
        <w:gridCol w:w="60"/>
        <w:gridCol w:w="208"/>
        <w:gridCol w:w="944"/>
        <w:gridCol w:w="141"/>
        <w:gridCol w:w="89"/>
        <w:gridCol w:w="173"/>
        <w:gridCol w:w="972"/>
        <w:gridCol w:w="305"/>
      </w:tblGrid>
      <w:tr>
        <w:trPr/>
        <w:tc>
          <w:tcPr>
            <w:tcW w:w="3635" w:type="dxa"/>
            <w:tcBorders/>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915"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w:t>
              <w:br/>
              <w:t>December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7"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Period-over-Period</w:t>
              <w:br/>
              <w:t>Change</w:t>
            </w:r>
          </w:p>
        </w:tc>
        <w:tc>
          <w:tcPr>
            <w:tcW w:w="30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2"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Dollar</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Percentage</w:t>
            </w:r>
          </w:p>
        </w:tc>
        <w:tc>
          <w:tcPr>
            <w:tcW w:w="30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4717" w:type="dxa"/>
            <w:gridSpan w:val="14"/>
            <w:tcBorders/>
            <w:vAlign w:val="center"/>
          </w:tcPr>
          <w:p>
            <w:pPr>
              <w:pStyle w:val="TableContents"/>
              <w:bidi w:val="0"/>
              <w:spacing w:lineRule="auto" w:line="300" w:before="0" w:after="0"/>
              <w:jc w:val="center"/>
              <w:rPr>
                <w:b/>
              </w:rPr>
            </w:pPr>
            <w:r>
              <w:rPr>
                <w:b/>
              </w:rPr>
              <w:t>(in thousands, except percentages)</w:t>
            </w:r>
          </w:p>
        </w:tc>
        <w:tc>
          <w:tcPr>
            <w:tcW w:w="30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lineRule="auto" w:line="300" w:before="0" w:after="0"/>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2" w:type="dxa"/>
            <w:gridSpan w:val="2"/>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45" w:type="dxa"/>
            <w:gridSpan w:val="2"/>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lineRule="auto" w:line="300" w:before="0" w:after="0"/>
              <w:ind w:left="450" w:right="0" w:hanging="0"/>
              <w:jc w:val="left"/>
              <w:rPr/>
            </w:pPr>
            <w:r>
              <w:rPr/>
              <w:t>Cost of subscription revenues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680" w:type="dxa"/>
            <w:tcBorders/>
            <w:vAlign w:val="center"/>
          </w:tcPr>
          <w:p>
            <w:pPr>
              <w:pStyle w:val="TableContents"/>
              <w:bidi w:val="0"/>
              <w:spacing w:lineRule="auto" w:line="300" w:before="0" w:after="0"/>
              <w:jc w:val="right"/>
              <w:rPr/>
            </w:pPr>
            <w:r>
              <w:rPr/>
              <w:t>25,990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680" w:type="dxa"/>
            <w:tcBorders/>
            <w:vAlign w:val="center"/>
          </w:tcPr>
          <w:p>
            <w:pPr>
              <w:pStyle w:val="TableContents"/>
              <w:bidi w:val="0"/>
              <w:spacing w:lineRule="auto" w:line="300" w:before="0" w:after="0"/>
              <w:jc w:val="right"/>
              <w:rPr/>
            </w:pPr>
            <w:r>
              <w:rPr/>
              <w:t>25,360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lineRule="auto" w:line="300" w:before="0" w:after="0"/>
              <w:jc w:val="left"/>
              <w:rPr/>
            </w:pPr>
            <w:r>
              <w:rPr/>
              <w:t>$</w:t>
            </w:r>
          </w:p>
        </w:tc>
        <w:tc>
          <w:tcPr>
            <w:tcW w:w="944" w:type="dxa"/>
            <w:tcBorders/>
            <w:vAlign w:val="center"/>
          </w:tcPr>
          <w:p>
            <w:pPr>
              <w:pStyle w:val="TableContents"/>
              <w:bidi w:val="0"/>
              <w:spacing w:lineRule="auto" w:line="300" w:before="0" w:after="0"/>
              <w:jc w:val="right"/>
              <w:rPr/>
            </w:pPr>
            <w:r>
              <w:rPr/>
              <w:t>(630</w:t>
            </w:r>
          </w:p>
        </w:tc>
        <w:tc>
          <w:tcPr>
            <w:tcW w:w="141" w:type="dxa"/>
            <w:tcBorders/>
            <w:vAlign w:val="center"/>
          </w:tcPr>
          <w:p>
            <w:pPr>
              <w:pStyle w:val="TableContents"/>
              <w:bidi w:val="0"/>
              <w:spacing w:lineRule="auto" w:line="300" w:before="0" w:after="0"/>
              <w:jc w:val="left"/>
              <w:rPr/>
            </w:pPr>
            <w:r>
              <w:rPr/>
              <w:t>)</w:t>
            </w:r>
          </w:p>
        </w:tc>
        <w:tc>
          <w:tcPr>
            <w:tcW w:w="89"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lineRule="auto" w:line="300" w:before="0" w:after="0"/>
              <w:jc w:val="right"/>
              <w:rPr/>
            </w:pPr>
            <w:r>
              <w:rPr/>
              <w:t>(2</w:t>
            </w:r>
          </w:p>
        </w:tc>
        <w:tc>
          <w:tcPr>
            <w:tcW w:w="305" w:type="dxa"/>
            <w:tcBorders/>
            <w:vAlign w:val="center"/>
          </w:tcPr>
          <w:p>
            <w:pPr>
              <w:pStyle w:val="TableContents"/>
              <w:bidi w:val="0"/>
              <w:spacing w:lineRule="auto" w:line="300" w:before="0" w:after="0"/>
              <w:jc w:val="left"/>
              <w:rPr/>
            </w:pPr>
            <w:r>
              <w:rPr/>
              <w:t>)%</w:t>
            </w:r>
          </w:p>
        </w:tc>
      </w:tr>
      <w:tr>
        <w:trPr/>
        <w:tc>
          <w:tcPr>
            <w:tcW w:w="3635" w:type="dxa"/>
            <w:tcBorders/>
            <w:shd w:fill="CCEEFF" w:val="clear"/>
            <w:vAlign w:val="center"/>
          </w:tcPr>
          <w:p>
            <w:pPr>
              <w:pStyle w:val="TableContents"/>
              <w:bidi w:val="0"/>
              <w:spacing w:lineRule="auto" w:line="300" w:before="0" w:after="0"/>
              <w:ind w:left="450" w:right="0" w:hanging="0"/>
              <w:jc w:val="left"/>
              <w:rPr/>
            </w:pPr>
            <w:r>
              <w:rPr/>
              <w:t>Cost of professional services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27,894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19,013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(8,881</w:t>
            </w:r>
          </w:p>
        </w:tc>
        <w:tc>
          <w:tcPr>
            <w:tcW w:w="141" w:type="dxa"/>
            <w:tcBorders/>
            <w:shd w:fill="CCEEFF" w:val="clear"/>
            <w:vAlign w:val="center"/>
          </w:tcPr>
          <w:p>
            <w:pPr>
              <w:pStyle w:val="TableContents"/>
              <w:bidi w:val="0"/>
              <w:spacing w:lineRule="auto" w:line="300" w:before="0" w:after="0"/>
              <w:jc w:val="left"/>
              <w:rPr/>
            </w:pPr>
            <w:r>
              <w:rPr/>
              <w:t>)</w:t>
            </w:r>
          </w:p>
        </w:tc>
        <w:tc>
          <w:tcPr>
            <w:tcW w:w="89"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(32</w:t>
            </w:r>
          </w:p>
        </w:tc>
        <w:tc>
          <w:tcPr>
            <w:tcW w:w="305" w:type="dxa"/>
            <w:tcBorders/>
            <w:shd w:fill="CCEEFF" w:val="clear"/>
            <w:vAlign w:val="center"/>
          </w:tcPr>
          <w:p>
            <w:pPr>
              <w:pStyle w:val="TableContents"/>
              <w:bidi w:val="0"/>
              <w:spacing w:lineRule="auto" w:line="300" w:before="0" w:after="0"/>
              <w:jc w:val="left"/>
              <w:rPr/>
            </w:pPr>
            <w:r>
              <w:rPr/>
              <w:t>)</w:t>
            </w:r>
          </w:p>
        </w:tc>
      </w:tr>
      <w:tr>
        <w:trPr/>
        <w:tc>
          <w:tcPr>
            <w:tcW w:w="3635" w:type="dxa"/>
            <w:tcBorders/>
            <w:vAlign w:val="center"/>
          </w:tcPr>
          <w:p>
            <w:pPr>
              <w:pStyle w:val="TableContents"/>
              <w:bidi w:val="0"/>
              <w:spacing w:lineRule="auto" w:line="300" w:before="0" w:after="0"/>
              <w:jc w:val="left"/>
              <w:rPr/>
            </w:pPr>
            <w:r>
              <w:rPr/>
              <w:t>Total cost of revenues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lineRule="auto" w:line="300" w:before="0" w:after="0"/>
              <w:jc w:val="left"/>
              <w:rPr/>
            </w:pPr>
            <w:r>
              <w:rPr/>
              <w:t>$</w:t>
            </w:r>
          </w:p>
        </w:tc>
        <w:tc>
          <w:tcPr>
            <w:tcW w:w="680" w:type="dxa"/>
            <w:tcBorders>
              <w:bottom w:val="single" w:sz="12" w:space="0" w:color="000000"/>
            </w:tcBorders>
            <w:tcMar>
              <w:bottom w:w="28" w:type="dxa"/>
            </w:tcMar>
            <w:vAlign w:val="center"/>
          </w:tcPr>
          <w:p>
            <w:pPr>
              <w:pStyle w:val="TableContents"/>
              <w:bidi w:val="0"/>
              <w:spacing w:lineRule="auto" w:line="300" w:before="0" w:after="0"/>
              <w:jc w:val="right"/>
              <w:rPr/>
            </w:pPr>
            <w:r>
              <w:rPr/>
              <w:t>53,884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lineRule="auto" w:line="300" w:before="0" w:after="0"/>
              <w:jc w:val="left"/>
              <w:rPr/>
            </w:pPr>
            <w:r>
              <w:rPr/>
              <w:t>$</w:t>
            </w:r>
          </w:p>
        </w:tc>
        <w:tc>
          <w:tcPr>
            <w:tcW w:w="680" w:type="dxa"/>
            <w:tcBorders>
              <w:bottom w:val="single" w:sz="12" w:space="0" w:color="000000"/>
            </w:tcBorders>
            <w:tcMar>
              <w:bottom w:w="28" w:type="dxa"/>
            </w:tcMar>
            <w:vAlign w:val="center"/>
          </w:tcPr>
          <w:p>
            <w:pPr>
              <w:pStyle w:val="TableContents"/>
              <w:bidi w:val="0"/>
              <w:spacing w:lineRule="auto" w:line="300" w:before="0" w:after="0"/>
              <w:jc w:val="right"/>
              <w:rPr/>
            </w:pPr>
            <w:r>
              <w:rPr/>
              <w:t>44,373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lineRule="auto" w:line="300" w:before="0" w:after="0"/>
              <w:jc w:val="left"/>
              <w:rPr/>
            </w:pPr>
            <w:r>
              <w:rPr/>
              <w:t>$</w:t>
            </w:r>
          </w:p>
        </w:tc>
        <w:tc>
          <w:tcPr>
            <w:tcW w:w="944" w:type="dxa"/>
            <w:tcBorders>
              <w:bottom w:val="single" w:sz="12" w:space="0" w:color="000000"/>
            </w:tcBorders>
            <w:tcMar>
              <w:bottom w:w="28" w:type="dxa"/>
            </w:tcMar>
            <w:vAlign w:val="center"/>
          </w:tcPr>
          <w:p>
            <w:pPr>
              <w:pStyle w:val="TableContents"/>
              <w:bidi w:val="0"/>
              <w:spacing w:lineRule="auto" w:line="300" w:before="0" w:after="0"/>
              <w:jc w:val="right"/>
              <w:rPr/>
            </w:pPr>
            <w:r>
              <w:rPr/>
              <w:t>(9,511</w:t>
            </w:r>
          </w:p>
        </w:tc>
        <w:tc>
          <w:tcPr>
            <w:tcW w:w="141" w:type="dxa"/>
            <w:tcBorders/>
            <w:vAlign w:val="center"/>
          </w:tcPr>
          <w:p>
            <w:pPr>
              <w:pStyle w:val="TableContents"/>
              <w:bidi w:val="0"/>
              <w:spacing w:lineRule="auto" w:line="300" w:before="0" w:after="0"/>
              <w:jc w:val="left"/>
              <w:rPr/>
            </w:pPr>
            <w:r>
              <w:rPr/>
              <w:t>)</w:t>
            </w:r>
          </w:p>
        </w:tc>
        <w:tc>
          <w:tcPr>
            <w:tcW w:w="89"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972" w:type="dxa"/>
            <w:tcBorders>
              <w:bottom w:val="single" w:sz="12" w:space="0" w:color="000000"/>
            </w:tcBorders>
            <w:tcMar>
              <w:bottom w:w="28" w:type="dxa"/>
            </w:tcMar>
            <w:vAlign w:val="center"/>
          </w:tcPr>
          <w:p>
            <w:pPr>
              <w:pStyle w:val="TableContents"/>
              <w:bidi w:val="0"/>
              <w:spacing w:lineRule="auto" w:line="300" w:before="0" w:after="0"/>
              <w:jc w:val="right"/>
              <w:rPr/>
            </w:pPr>
            <w:r>
              <w:rPr/>
              <w:t>(18</w:t>
            </w:r>
          </w:p>
        </w:tc>
        <w:tc>
          <w:tcPr>
            <w:tcW w:w="305" w:type="dxa"/>
            <w:tcBorders/>
            <w:vAlign w:val="center"/>
          </w:tcPr>
          <w:p>
            <w:pPr>
              <w:pStyle w:val="TableContents"/>
              <w:bidi w:val="0"/>
              <w:spacing w:lineRule="auto" w:line="300" w:before="0" w:after="0"/>
              <w:jc w:val="left"/>
              <w:rPr/>
            </w:pPr>
            <w:r>
              <w:rPr/>
              <w:t>)%</w:t>
            </w:r>
          </w:p>
        </w:tc>
      </w:tr>
      <w:tr>
        <w:trPr/>
        <w:tc>
          <w:tcPr>
            <w:tcW w:w="3635" w:type="dxa"/>
            <w:tcBorders/>
            <w:shd w:fill="CCEEFF" w:val="clear"/>
            <w:vAlign w:val="center"/>
          </w:tcPr>
          <w:p>
            <w:pPr>
              <w:pStyle w:val="TableContents"/>
              <w:bidi w:val="0"/>
              <w:spacing w:lineRule="auto" w:line="300" w:before="0" w:after="0"/>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lineRule="auto" w:line="300" w:before="0" w:after="0"/>
              <w:ind w:left="450" w:right="0" w:hanging="0"/>
              <w:jc w:val="left"/>
              <w:rPr/>
            </w:pPr>
            <w:r>
              <w:rPr/>
              <w:t>Subscription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lineRule="auto" w:line="300" w:before="0" w:after="0"/>
              <w:jc w:val="right"/>
              <w:rPr/>
            </w:pPr>
            <w:r>
              <w:rPr/>
              <w:t>88</w:t>
            </w:r>
          </w:p>
        </w:tc>
        <w:tc>
          <w:tcPr>
            <w:tcW w:w="21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lineRule="auto" w:line="300" w:before="0" w:after="0"/>
              <w:jc w:val="right"/>
              <w:rPr/>
            </w:pPr>
            <w:r>
              <w:rPr/>
              <w:t>90</w:t>
            </w:r>
          </w:p>
        </w:tc>
        <w:tc>
          <w:tcPr>
            <w:tcW w:w="21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right"/>
              <w:rPr/>
            </w:pPr>
            <w:r>
              <w:rPr/>
              <w:t> </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right"/>
              <w:rPr/>
            </w:pPr>
            <w:r>
              <w:rPr/>
              <w:t> </w:t>
            </w:r>
          </w:p>
        </w:tc>
        <w:tc>
          <w:tcPr>
            <w:tcW w:w="30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lineRule="auto" w:line="300" w:before="0" w:after="0"/>
              <w:ind w:left="450" w:right="0" w:hanging="0"/>
              <w:jc w:val="left"/>
              <w:rPr/>
            </w:pPr>
            <w:r>
              <w:rPr/>
              <w:t>Professional services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lineRule="auto" w:line="300" w:before="0" w:after="0"/>
              <w:jc w:val="right"/>
              <w:rPr/>
            </w:pPr>
            <w:r>
              <w:rPr/>
              <w:t>(16</w:t>
            </w:r>
          </w:p>
        </w:tc>
        <w:tc>
          <w:tcPr>
            <w:tcW w:w="21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lineRule="auto" w:line="300" w:before="0" w:after="0"/>
              <w:jc w:val="right"/>
              <w:rPr/>
            </w:pPr>
            <w:r>
              <w:rPr/>
              <w:t>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lineRule="auto" w:line="300" w:before="0" w:after="0"/>
              <w:jc w:val="left"/>
              <w:rPr/>
            </w:pPr>
            <w:r>
              <w:rPr/>
              <w:t>Total gross margin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lineRule="auto" w:line="300" w:before="0" w:after="0"/>
              <w:jc w:val="right"/>
              <w:rPr/>
            </w:pPr>
            <w:r>
              <w:rPr/>
              <w:t>78</w:t>
            </w:r>
          </w:p>
        </w:tc>
        <w:tc>
          <w:tcPr>
            <w:tcW w:w="21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lineRule="auto" w:line="300" w:before="0" w:after="0"/>
              <w:jc w:val="right"/>
              <w:rPr/>
            </w:pPr>
            <w:r>
              <w:rPr/>
              <w:t>83</w:t>
            </w:r>
          </w:p>
        </w:tc>
        <w:tc>
          <w:tcPr>
            <w:tcW w:w="21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right"/>
              <w:rPr/>
            </w:pPr>
            <w:r>
              <w:rPr/>
              <w:t> </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right"/>
              <w:rPr/>
            </w:pPr>
            <w:r>
              <w:rPr/>
              <w:t> </w:t>
            </w:r>
          </w:p>
        </w:tc>
        <w:tc>
          <w:tcPr>
            <w:tcW w:w="30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TextBody"/>
        <w:bidi w:val="0"/>
        <w:spacing w:lineRule="auto" w:line="300" w:before="0" w:after="0"/>
        <w:jc w:val="both"/>
        <w:rPr>
          <w:i/>
          <w:sz w:val="20"/>
        </w:rPr>
      </w:pPr>
      <w:r>
        <w:rPr>
          <w:i/>
          <w:sz w:val="20"/>
        </w:rPr>
        <w:t>Cost of Subscription Revenues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Cost of subscription revenues decreased by $0.6 million, or 2%, to $25.4 million for the year ended December 31, 2023 compared to $26.0 million for the year ended December 31, 2022. This decrease was primarily attributable to a decrease of $0.4 million in third party cloud hosting and $0.2 million in share-based compensation expense.</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Gross Margin-Subscription</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gross margin for subscription revenue increased during the year ended December 31, 2023, compared to the year ended December 31, 2022, mainly due to continued optimization of our cloud hosting operations. We expect to maintain our current subscription revenue gross margin level throughout 2024.</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Cost of Professional Services Revenues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Cost of professional services revenues decreased by $8.9 million, or 32%, to $19.0 million for the year ended December 31, 2023 compared to $27.9 million for the year ended December 31, 2022. This decrease was primarily attributable to a decrease of $5.4 million in employee-related costs as a result of decrease in headcount, $1.3 million in share-based compensation expense, $1.2 million in allocated overhead expenses, $0.8 million in outsourcing and professional service fees, and $0.2 million in other costs.</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Gross Margin-Professional Services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gross margin for professional services revenue improved primarily due to enhanced focus on our professional services delivery practices, and better workforce utilization of our professional services organization. We expect to maintain our current professional services revenue gross margin level throughout 2024.</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Operating Expenses</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Research and Development</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43" w:name="z5452a9e3a4a74512b3151468455353c4"/>
      <w:bookmarkStart w:id="144" w:name="z5452a9e3a4a74512b3151468455353c4"/>
      <w:bookmarkEnd w:id="144"/>
    </w:p>
    <w:tbl>
      <w:tblPr>
        <w:tblW w:w="7494" w:type="dxa"/>
        <w:jc w:val="left"/>
        <w:tblInd w:w="0" w:type="dxa"/>
        <w:tblLayout w:type="fixed"/>
        <w:tblCellMar>
          <w:top w:w="0" w:type="dxa"/>
          <w:left w:w="0" w:type="dxa"/>
          <w:bottom w:w="0" w:type="dxa"/>
          <w:right w:w="0" w:type="dxa"/>
        </w:tblCellMar>
      </w:tblPr>
      <w:tblGrid>
        <w:gridCol w:w="2585"/>
        <w:gridCol w:w="60"/>
        <w:gridCol w:w="140"/>
        <w:gridCol w:w="680"/>
        <w:gridCol w:w="60"/>
        <w:gridCol w:w="60"/>
        <w:gridCol w:w="140"/>
        <w:gridCol w:w="680"/>
        <w:gridCol w:w="60"/>
        <w:gridCol w:w="60"/>
        <w:gridCol w:w="228"/>
        <w:gridCol w:w="1038"/>
        <w:gridCol w:w="155"/>
        <w:gridCol w:w="98"/>
        <w:gridCol w:w="248"/>
        <w:gridCol w:w="897"/>
        <w:gridCol w:w="305"/>
      </w:tblGrid>
      <w:tr>
        <w:trPr/>
        <w:tc>
          <w:tcPr>
            <w:tcW w:w="2585" w:type="dxa"/>
            <w:tcBorders/>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w:t>
              <w:b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4"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Period-over-Period</w:t>
              <w:br/>
              <w:t>Change</w:t>
            </w:r>
          </w:p>
        </w:tc>
        <w:tc>
          <w:tcPr>
            <w:tcW w:w="30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6"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Dollar</w:t>
            </w:r>
          </w:p>
        </w:tc>
        <w:tc>
          <w:tcPr>
            <w:tcW w:w="15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Percentage</w:t>
            </w:r>
          </w:p>
        </w:tc>
        <w:tc>
          <w:tcPr>
            <w:tcW w:w="30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4544" w:type="dxa"/>
            <w:gridSpan w:val="14"/>
            <w:tcBorders/>
            <w:vAlign w:val="center"/>
          </w:tcPr>
          <w:p>
            <w:pPr>
              <w:pStyle w:val="TableContents"/>
              <w:bidi w:val="0"/>
              <w:spacing w:lineRule="auto" w:line="300" w:before="0" w:after="0"/>
              <w:jc w:val="center"/>
              <w:rPr>
                <w:b/>
              </w:rPr>
            </w:pPr>
            <w:r>
              <w:rPr>
                <w:b/>
              </w:rPr>
              <w:t>(in thousands, except percentages)</w:t>
            </w:r>
          </w:p>
        </w:tc>
        <w:tc>
          <w:tcPr>
            <w:tcW w:w="30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lineRule="auto" w:line="300" w:before="0" w:after="0"/>
              <w:jc w:val="left"/>
              <w:rPr/>
            </w:pPr>
            <w:r>
              <w:rPr/>
              <w:t>Research and development</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680" w:type="dxa"/>
            <w:tcBorders/>
            <w:shd w:fill="CCEEFF" w:val="clear"/>
            <w:vAlign w:val="center"/>
          </w:tcPr>
          <w:p>
            <w:pPr>
              <w:pStyle w:val="TableContents"/>
              <w:bidi w:val="0"/>
              <w:spacing w:lineRule="auto" w:line="300" w:before="0" w:after="0"/>
              <w:jc w:val="right"/>
              <w:rPr/>
            </w:pPr>
            <w:r>
              <w:rPr/>
              <w:t>59,468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680" w:type="dxa"/>
            <w:tcBorders/>
            <w:shd w:fill="CCEEFF" w:val="clear"/>
            <w:vAlign w:val="center"/>
          </w:tcPr>
          <w:p>
            <w:pPr>
              <w:pStyle w:val="TableContents"/>
              <w:bidi w:val="0"/>
              <w:spacing w:lineRule="auto" w:line="300" w:before="0" w:after="0"/>
              <w:jc w:val="right"/>
              <w:rPr/>
            </w:pPr>
            <w:r>
              <w:rPr/>
              <w:t>55,107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228" w:type="dxa"/>
            <w:tcBorders/>
            <w:shd w:fill="CCEEFF" w:val="clear"/>
            <w:vAlign w:val="center"/>
          </w:tcPr>
          <w:p>
            <w:pPr>
              <w:pStyle w:val="TableContents"/>
              <w:bidi w:val="0"/>
              <w:spacing w:lineRule="auto" w:line="300" w:before="0" w:after="0"/>
              <w:jc w:val="left"/>
              <w:rPr/>
            </w:pPr>
            <w:r>
              <w:rPr/>
              <w:t>$</w:t>
            </w:r>
          </w:p>
        </w:tc>
        <w:tc>
          <w:tcPr>
            <w:tcW w:w="1038" w:type="dxa"/>
            <w:tcBorders/>
            <w:shd w:fill="CCEEFF" w:val="clear"/>
            <w:vAlign w:val="center"/>
          </w:tcPr>
          <w:p>
            <w:pPr>
              <w:pStyle w:val="TableContents"/>
              <w:bidi w:val="0"/>
              <w:spacing w:lineRule="auto" w:line="300" w:before="0" w:after="0"/>
              <w:jc w:val="right"/>
              <w:rPr/>
            </w:pPr>
            <w:r>
              <w:rPr/>
              <w:t>(4,361</w:t>
            </w:r>
          </w:p>
        </w:tc>
        <w:tc>
          <w:tcPr>
            <w:tcW w:w="155" w:type="dxa"/>
            <w:tcBorders/>
            <w:shd w:fill="CCEEFF" w:val="clear"/>
            <w:vAlign w:val="center"/>
          </w:tcPr>
          <w:p>
            <w:pPr>
              <w:pStyle w:val="TableContents"/>
              <w:bidi w:val="0"/>
              <w:spacing w:lineRule="auto" w:line="300" w:before="0" w:after="0"/>
              <w:jc w:val="left"/>
              <w:rPr/>
            </w:pPr>
            <w:r>
              <w:rPr/>
              <w:t>)</w:t>
            </w:r>
          </w:p>
        </w:tc>
        <w:tc>
          <w:tcPr>
            <w:tcW w:w="98" w:type="dxa"/>
            <w:tcBorders/>
            <w:shd w:fill="CCEEFF" w:val="clear"/>
            <w:vAlign w:val="center"/>
          </w:tcPr>
          <w:p>
            <w:pPr>
              <w:pStyle w:val="TableContents"/>
              <w:bidi w:val="0"/>
              <w:spacing w:before="0" w:after="283"/>
              <w:jc w:val="right"/>
              <w:rPr/>
            </w:pPr>
            <w:r>
              <w:rPr/>
              <w:t> </w:t>
            </w:r>
          </w:p>
        </w:tc>
        <w:tc>
          <w:tcPr>
            <w:tcW w:w="248"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lineRule="auto" w:line="300" w:before="0" w:after="0"/>
              <w:jc w:val="right"/>
              <w:rPr/>
            </w:pPr>
            <w:r>
              <w:rPr/>
              <w:t>(7</w:t>
            </w:r>
          </w:p>
        </w:tc>
        <w:tc>
          <w:tcPr>
            <w:tcW w:w="305" w:type="dxa"/>
            <w:tcBorders/>
            <w:shd w:fill="CCEEFF" w:val="clear"/>
            <w:vAlign w:val="center"/>
          </w:tcPr>
          <w:p>
            <w:pPr>
              <w:pStyle w:val="TableContents"/>
              <w:bidi w:val="0"/>
              <w:spacing w:lineRule="auto" w:line="300" w:before="0" w:after="0"/>
              <w:jc w:val="left"/>
              <w:rPr/>
            </w:pPr>
            <w:r>
              <w:rPr/>
              <w:t>)%</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Research and development expenses decreased by $4.4 million, or 7%, to $55.1 million for the year ended December 31, 2023 compared to $59.5 million for the year ended December 31, 2022. This decrease was primarily attributable to a decrease of $5.9 million in employee-related costs as a result of decreased headcount, $1.6 million in allocated overhead costs, $1.2 million in outsourcing and professional services and $0.3 million in other costs. These decreases were partially offset by a $3.9 million increase in share-based compensation expense and a $0.7 million decrease in capitalization of software development costs.</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66</w:t>
      </w:r>
    </w:p>
    <w:p>
      <w:pPr>
        <w:pStyle w:val="HorizontalLine"/>
        <w:bidi w:val="0"/>
        <w:spacing w:before="200" w:after="200"/>
        <w:jc w:val="left"/>
        <w:rPr/>
      </w:pPr>
      <w:r>
        <w:rPr/>
      </w:r>
    </w:p>
    <w:p>
      <w:pPr>
        <w:pStyle w:val="TextBody"/>
        <w:bidi w:val="0"/>
        <w:spacing w:lineRule="auto" w:line="300" w:before="0" w:after="0"/>
        <w:jc w:val="both"/>
        <w:rPr>
          <w:i/>
          <w:sz w:val="20"/>
        </w:rPr>
      </w:pPr>
      <w:r>
        <w:rPr>
          <w:i/>
          <w:sz w:val="20"/>
        </w:rPr>
        <w:t>Sales and Marketing</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45" w:name="z000815a9721a416da2e45fc22d307223"/>
      <w:bookmarkStart w:id="146" w:name="z000815a9721a416da2e45fc22d307223"/>
      <w:bookmarkEnd w:id="146"/>
    </w:p>
    <w:tbl>
      <w:tblPr>
        <w:tblW w:w="7130" w:type="dxa"/>
        <w:jc w:val="left"/>
        <w:tblInd w:w="0" w:type="dxa"/>
        <w:tblLayout w:type="fixed"/>
        <w:tblCellMar>
          <w:top w:w="0" w:type="dxa"/>
          <w:left w:w="0" w:type="dxa"/>
          <w:bottom w:w="0" w:type="dxa"/>
          <w:right w:w="0" w:type="dxa"/>
        </w:tblCellMar>
      </w:tblPr>
      <w:tblGrid>
        <w:gridCol w:w="1940"/>
        <w:gridCol w:w="60"/>
        <w:gridCol w:w="140"/>
        <w:gridCol w:w="800"/>
        <w:gridCol w:w="60"/>
        <w:gridCol w:w="60"/>
        <w:gridCol w:w="140"/>
        <w:gridCol w:w="800"/>
        <w:gridCol w:w="60"/>
        <w:gridCol w:w="60"/>
        <w:gridCol w:w="208"/>
        <w:gridCol w:w="1122"/>
        <w:gridCol w:w="141"/>
        <w:gridCol w:w="89"/>
        <w:gridCol w:w="248"/>
        <w:gridCol w:w="897"/>
        <w:gridCol w:w="305"/>
      </w:tblGrid>
      <w:tr>
        <w:trPr/>
        <w:tc>
          <w:tcPr>
            <w:tcW w:w="1940" w:type="dxa"/>
            <w:tcBorders/>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w:t>
              <w:b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5"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Period-over-Period</w:t>
              <w:br/>
              <w:t>Change</w:t>
            </w:r>
          </w:p>
        </w:tc>
        <w:tc>
          <w:tcPr>
            <w:tcW w:w="30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Dollar</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Percentage</w:t>
            </w:r>
          </w:p>
        </w:tc>
        <w:tc>
          <w:tcPr>
            <w:tcW w:w="30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4825" w:type="dxa"/>
            <w:gridSpan w:val="14"/>
            <w:tcBorders/>
            <w:vAlign w:val="center"/>
          </w:tcPr>
          <w:p>
            <w:pPr>
              <w:pStyle w:val="TableContents"/>
              <w:bidi w:val="0"/>
              <w:spacing w:lineRule="auto" w:line="300" w:before="0" w:after="0"/>
              <w:jc w:val="center"/>
              <w:rPr>
                <w:b/>
              </w:rPr>
            </w:pPr>
            <w:r>
              <w:rPr>
                <w:b/>
              </w:rPr>
              <w:t>(in thousands, except percentages)</w:t>
            </w:r>
          </w:p>
        </w:tc>
        <w:tc>
          <w:tcPr>
            <w:tcW w:w="30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lineRule="auto" w:line="300" w:before="0" w:after="0"/>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800" w:type="dxa"/>
            <w:tcBorders/>
            <w:shd w:fill="CCEEFF" w:val="clear"/>
            <w:vAlign w:val="center"/>
          </w:tcPr>
          <w:p>
            <w:pPr>
              <w:pStyle w:val="TableContents"/>
              <w:bidi w:val="0"/>
              <w:spacing w:lineRule="auto" w:line="300" w:before="0" w:after="0"/>
              <w:jc w:val="right"/>
              <w:rPr/>
            </w:pPr>
            <w:r>
              <w:rPr/>
              <w:t>176,307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800" w:type="dxa"/>
            <w:tcBorders/>
            <w:shd w:fill="CCEEFF" w:val="clear"/>
            <w:vAlign w:val="center"/>
          </w:tcPr>
          <w:p>
            <w:pPr>
              <w:pStyle w:val="TableContents"/>
              <w:bidi w:val="0"/>
              <w:spacing w:lineRule="auto" w:line="300" w:before="0" w:after="0"/>
              <w:jc w:val="right"/>
              <w:rPr/>
            </w:pPr>
            <w:r>
              <w:rPr/>
              <w:t>161,372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lineRule="auto" w:line="300" w:before="0" w:after="0"/>
              <w:jc w:val="left"/>
              <w:rPr/>
            </w:pPr>
            <w:r>
              <w:rPr/>
              <w:t>$</w:t>
            </w:r>
          </w:p>
        </w:tc>
        <w:tc>
          <w:tcPr>
            <w:tcW w:w="1122" w:type="dxa"/>
            <w:tcBorders/>
            <w:shd w:fill="CCEEFF" w:val="clear"/>
            <w:vAlign w:val="center"/>
          </w:tcPr>
          <w:p>
            <w:pPr>
              <w:pStyle w:val="TableContents"/>
              <w:bidi w:val="0"/>
              <w:spacing w:lineRule="auto" w:line="300" w:before="0" w:after="0"/>
              <w:jc w:val="right"/>
              <w:rPr/>
            </w:pPr>
            <w:r>
              <w:rPr/>
              <w:t>(14,935</w:t>
            </w:r>
          </w:p>
        </w:tc>
        <w:tc>
          <w:tcPr>
            <w:tcW w:w="141" w:type="dxa"/>
            <w:tcBorders/>
            <w:shd w:fill="CCEEFF" w:val="clear"/>
            <w:vAlign w:val="center"/>
          </w:tcPr>
          <w:p>
            <w:pPr>
              <w:pStyle w:val="TableContents"/>
              <w:bidi w:val="0"/>
              <w:spacing w:lineRule="auto" w:line="300" w:before="0" w:after="0"/>
              <w:jc w:val="left"/>
              <w:rPr/>
            </w:pPr>
            <w:r>
              <w:rPr/>
              <w:t>)</w:t>
            </w:r>
          </w:p>
        </w:tc>
        <w:tc>
          <w:tcPr>
            <w:tcW w:w="89"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lineRule="auto" w:line="300" w:before="0" w:after="0"/>
              <w:jc w:val="right"/>
              <w:rPr/>
            </w:pPr>
            <w:r>
              <w:rPr/>
              <w:t>(8</w:t>
            </w:r>
          </w:p>
        </w:tc>
        <w:tc>
          <w:tcPr>
            <w:tcW w:w="305" w:type="dxa"/>
            <w:tcBorders/>
            <w:shd w:fill="CCEEFF" w:val="clear"/>
            <w:vAlign w:val="center"/>
          </w:tcPr>
          <w:p>
            <w:pPr>
              <w:pStyle w:val="TableContents"/>
              <w:bidi w:val="0"/>
              <w:spacing w:lineRule="auto" w:line="300" w:before="0" w:after="0"/>
              <w:jc w:val="left"/>
              <w:rPr/>
            </w:pPr>
            <w:r>
              <w:rPr/>
              <w:t>)%</w:t>
            </w:r>
          </w:p>
        </w:tc>
      </w:tr>
    </w:tbl>
    <w:p>
      <w:pPr>
        <w:pStyle w:val="TextBody"/>
        <w:bidi w:val="0"/>
        <w:spacing w:lineRule="auto" w:line="300" w:before="0" w:after="0"/>
        <w:jc w:val="left"/>
        <w:rPr/>
      </w:pPr>
      <w:r>
        <w:rPr/>
        <w:t> </w:t>
      </w:r>
    </w:p>
    <w:p>
      <w:pPr>
        <w:pStyle w:val="TextBody"/>
        <w:bidi w:val="0"/>
        <w:spacing w:lineRule="auto" w:line="300" w:before="0" w:after="0"/>
        <w:ind w:left="0" w:right="0" w:firstLine="490"/>
        <w:jc w:val="both"/>
        <w:rPr>
          <w:sz w:val="20"/>
        </w:rPr>
      </w:pPr>
      <w:r>
        <w:rPr>
          <w:sz w:val="20"/>
        </w:rPr>
        <w:t>Sales and marketing expenses decreased by $14.9 million, or 8%, to $161.4 million for the year ended December 31, 2023 compared to $176.3 million for the year ended December 31, 2022. The decrease in sales and marketing expenses was primarily attributable to a decrease of $8.8 million in employee-related costs (excluding commission expenses) as a result of decreased headcount, $3.6 million in overhead allocation costs, $3.5 million in marketing expenses, $1.5 million in share-based compensation, $1.3 million in outsourcing and professional services and $1.0 million in other expenses. These decreases were partially offset by a $4.8 million increase in commission expenses, including amortization of deferred commission.</w:t>
      </w:r>
    </w:p>
    <w:p>
      <w:pPr>
        <w:pStyle w:val="TextBody"/>
        <w:bidi w:val="0"/>
        <w:spacing w:lineRule="auto" w:line="300" w:before="0" w:after="0"/>
        <w:jc w:val="left"/>
        <w:rPr/>
      </w:pPr>
      <w:r>
        <w:rPr/>
      </w:r>
    </w:p>
    <w:p>
      <w:pPr>
        <w:pStyle w:val="TextBody"/>
        <w:bidi w:val="0"/>
        <w:spacing w:lineRule="auto" w:line="300" w:before="0" w:after="0"/>
        <w:jc w:val="both"/>
        <w:rPr>
          <w:i/>
          <w:sz w:val="20"/>
        </w:rPr>
      </w:pPr>
      <w:r>
        <w:rPr>
          <w:i/>
          <w:sz w:val="20"/>
        </w:rPr>
        <w:t>General and Administrative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47" w:name="zdbc7b20d1b314684ad1689ada172a57e"/>
      <w:bookmarkStart w:id="148" w:name="zdbc7b20d1b314684ad1689ada172a57e"/>
      <w:bookmarkEnd w:id="148"/>
    </w:p>
    <w:tbl>
      <w:tblPr>
        <w:tblW w:w="7466" w:type="dxa"/>
        <w:jc w:val="left"/>
        <w:tblInd w:w="0" w:type="dxa"/>
        <w:tblLayout w:type="fixed"/>
        <w:tblCellMar>
          <w:top w:w="0" w:type="dxa"/>
          <w:left w:w="0" w:type="dxa"/>
          <w:bottom w:w="0" w:type="dxa"/>
          <w:right w:w="0" w:type="dxa"/>
        </w:tblCellMar>
      </w:tblPr>
      <w:tblGrid>
        <w:gridCol w:w="2570"/>
        <w:gridCol w:w="60"/>
        <w:gridCol w:w="140"/>
        <w:gridCol w:w="680"/>
        <w:gridCol w:w="60"/>
        <w:gridCol w:w="60"/>
        <w:gridCol w:w="140"/>
        <w:gridCol w:w="680"/>
        <w:gridCol w:w="60"/>
        <w:gridCol w:w="60"/>
        <w:gridCol w:w="270"/>
        <w:gridCol w:w="1081"/>
        <w:gridCol w:w="115"/>
        <w:gridCol w:w="115"/>
        <w:gridCol w:w="338"/>
        <w:gridCol w:w="807"/>
        <w:gridCol w:w="230"/>
      </w:tblGrid>
      <w:tr>
        <w:trPr/>
        <w:tc>
          <w:tcPr>
            <w:tcW w:w="2570" w:type="dxa"/>
            <w:tcBorders/>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w:t>
              <w:b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6"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Period-over-Period</w:t>
              <w:br/>
              <w:t>Change</w:t>
            </w:r>
          </w:p>
        </w:tc>
        <w:tc>
          <w:tcPr>
            <w:tcW w:w="23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1"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Dollar</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Percentage</w:t>
            </w:r>
          </w:p>
        </w:tc>
        <w:tc>
          <w:tcPr>
            <w:tcW w:w="23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4606" w:type="dxa"/>
            <w:gridSpan w:val="14"/>
            <w:tcBorders/>
            <w:vAlign w:val="center"/>
          </w:tcPr>
          <w:p>
            <w:pPr>
              <w:pStyle w:val="TableContents"/>
              <w:bidi w:val="0"/>
              <w:spacing w:lineRule="auto" w:line="300" w:before="0" w:after="0"/>
              <w:jc w:val="center"/>
              <w:rPr>
                <w:b/>
              </w:rPr>
            </w:pPr>
            <w:r>
              <w:rPr>
                <w:b/>
              </w:rPr>
              <w:t>(in thousands, except percentages)</w:t>
            </w:r>
          </w:p>
        </w:tc>
        <w:tc>
          <w:tcPr>
            <w:tcW w:w="23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lineRule="auto" w:line="300" w:before="0" w:after="0"/>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680" w:type="dxa"/>
            <w:tcBorders/>
            <w:shd w:fill="CCEEFF" w:val="clear"/>
            <w:vAlign w:val="center"/>
          </w:tcPr>
          <w:p>
            <w:pPr>
              <w:pStyle w:val="TableContents"/>
              <w:bidi w:val="0"/>
              <w:spacing w:lineRule="auto" w:line="300" w:before="0" w:after="0"/>
              <w:jc w:val="right"/>
              <w:rPr/>
            </w:pPr>
            <w:r>
              <w:rPr/>
              <w:t>65,188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680" w:type="dxa"/>
            <w:tcBorders/>
            <w:shd w:fill="CCEEFF" w:val="clear"/>
            <w:vAlign w:val="center"/>
          </w:tcPr>
          <w:p>
            <w:pPr>
              <w:pStyle w:val="TableContents"/>
              <w:bidi w:val="0"/>
              <w:spacing w:lineRule="auto" w:line="300" w:before="0" w:after="0"/>
              <w:jc w:val="right"/>
              <w:rPr/>
            </w:pPr>
            <w:r>
              <w:rPr/>
              <w:t>70,983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lineRule="auto" w:line="300" w:before="0" w:after="0"/>
              <w:jc w:val="left"/>
              <w:rPr/>
            </w:pPr>
            <w:r>
              <w:rPr/>
              <w:t>$</w:t>
            </w:r>
          </w:p>
        </w:tc>
        <w:tc>
          <w:tcPr>
            <w:tcW w:w="1081" w:type="dxa"/>
            <w:tcBorders/>
            <w:shd w:fill="CCEEFF" w:val="clear"/>
            <w:vAlign w:val="center"/>
          </w:tcPr>
          <w:p>
            <w:pPr>
              <w:pStyle w:val="TableContents"/>
              <w:bidi w:val="0"/>
              <w:spacing w:lineRule="auto" w:line="300" w:before="0" w:after="0"/>
              <w:jc w:val="right"/>
              <w:rPr/>
            </w:pPr>
            <w:r>
              <w:rPr/>
              <w:t>5,795</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lineRule="auto" w:line="300" w:before="0" w:after="0"/>
              <w:jc w:val="right"/>
              <w:rPr/>
            </w:pPr>
            <w:r>
              <w:rPr/>
              <w:t>9</w:t>
            </w:r>
          </w:p>
        </w:tc>
        <w:tc>
          <w:tcPr>
            <w:tcW w:w="230" w:type="dxa"/>
            <w:tcBorders/>
            <w:shd w:fill="CCEEFF" w:val="clear"/>
            <w:vAlign w:val="center"/>
          </w:tcPr>
          <w:p>
            <w:pPr>
              <w:pStyle w:val="TableContents"/>
              <w:bidi w:val="0"/>
              <w:spacing w:lineRule="auto" w:line="300" w:before="0" w:after="0"/>
              <w:jc w:val="left"/>
              <w:rPr/>
            </w:pPr>
            <w:r>
              <w:rPr/>
              <w:t>%</w:t>
            </w:r>
          </w:p>
        </w:tc>
      </w:tr>
    </w:tbl>
    <w:p>
      <w:pPr>
        <w:pStyle w:val="TextBody"/>
        <w:bidi w:val="0"/>
        <w:spacing w:lineRule="auto" w:line="300" w:before="0" w:after="0"/>
        <w:jc w:val="left"/>
        <w:rPr/>
      </w:pPr>
      <w:r>
        <w:rPr/>
        <w:t> </w:t>
      </w:r>
    </w:p>
    <w:p>
      <w:pPr>
        <w:pStyle w:val="TextBody"/>
        <w:bidi w:val="0"/>
        <w:spacing w:lineRule="auto" w:line="300" w:before="0" w:after="0"/>
        <w:ind w:left="0" w:right="0" w:firstLine="490"/>
        <w:jc w:val="both"/>
        <w:rPr>
          <w:sz w:val="20"/>
        </w:rPr>
      </w:pPr>
      <w:r>
        <w:rPr>
          <w:sz w:val="20"/>
        </w:rPr>
        <w:t>General and administrative expenses increased by $5.8 million, or 9%, to $71.0 million for the year ended December 31, 2023 compared to $65.2 million for the year ended December 31, 2022. This increase was primarily attributable to an increase of $4.4 million in share-based compensation expense, $3.0 million in legal settlements expenses, $1.6 million in outsourcing and professional services mainly from legal services and $0.2 million in other general and administrative expenses. These increases were offset by $1.4 million decrease in insurance cost, $1.0 million decrease in overhead allocation expense and a one time $1.0 million expense related to intangible asset impairment recorded in 2022.</w:t>
      </w:r>
    </w:p>
    <w:p>
      <w:pPr>
        <w:pStyle w:val="TextBody"/>
        <w:bidi w:val="0"/>
        <w:spacing w:lineRule="auto" w:line="300" w:before="0" w:after="0"/>
        <w:jc w:val="left"/>
        <w:rPr/>
      </w:pPr>
      <w:r>
        <w:rPr/>
      </w:r>
    </w:p>
    <w:p>
      <w:pPr>
        <w:pStyle w:val="TextBody"/>
        <w:bidi w:val="0"/>
        <w:spacing w:lineRule="auto" w:line="300" w:before="0" w:after="0"/>
        <w:jc w:val="both"/>
        <w:rPr>
          <w:sz w:val="20"/>
        </w:rPr>
      </w:pPr>
      <w:r>
        <w:rPr>
          <w:i/>
          <w:sz w:val="20"/>
        </w:rPr>
        <w:t>Financial Income, Net</w:t>
      </w:r>
      <w:r>
        <w:rPr>
          <w:sz w:val="20"/>
        </w:rPr>
        <w:t> </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49" w:name="z36344a0c4a434d68926ec544f5601c05"/>
      <w:bookmarkStart w:id="150" w:name="z36344a0c4a434d68926ec544f5601c05"/>
      <w:bookmarkEnd w:id="150"/>
    </w:p>
    <w:tbl>
      <w:tblPr>
        <w:tblW w:w="6534" w:type="dxa"/>
        <w:jc w:val="left"/>
        <w:tblInd w:w="0" w:type="dxa"/>
        <w:tblLayout w:type="fixed"/>
        <w:tblCellMar>
          <w:top w:w="0" w:type="dxa"/>
          <w:left w:w="0" w:type="dxa"/>
          <w:bottom w:w="0" w:type="dxa"/>
          <w:right w:w="0" w:type="dxa"/>
        </w:tblCellMar>
      </w:tblPr>
      <w:tblGrid>
        <w:gridCol w:w="2060"/>
        <w:gridCol w:w="60"/>
        <w:gridCol w:w="140"/>
        <w:gridCol w:w="560"/>
        <w:gridCol w:w="60"/>
        <w:gridCol w:w="60"/>
        <w:gridCol w:w="140"/>
        <w:gridCol w:w="680"/>
        <w:gridCol w:w="60"/>
        <w:gridCol w:w="60"/>
        <w:gridCol w:w="218"/>
        <w:gridCol w:w="875"/>
        <w:gridCol w:w="93"/>
        <w:gridCol w:w="93"/>
        <w:gridCol w:w="154"/>
        <w:gridCol w:w="991"/>
        <w:gridCol w:w="230"/>
      </w:tblGrid>
      <w:tr>
        <w:trPr/>
        <w:tc>
          <w:tcPr>
            <w:tcW w:w="2060" w:type="dxa"/>
            <w:tcBorders/>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640"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w:t>
              <w:b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4"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Period-over-Period</w:t>
              <w:br/>
              <w:t>Change</w:t>
            </w:r>
          </w:p>
        </w:tc>
        <w:tc>
          <w:tcPr>
            <w:tcW w:w="23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3"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Dollar</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Percentage</w:t>
            </w:r>
          </w:p>
        </w:tc>
        <w:tc>
          <w:tcPr>
            <w:tcW w:w="23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4184" w:type="dxa"/>
            <w:gridSpan w:val="14"/>
            <w:tcBorders/>
            <w:vAlign w:val="center"/>
          </w:tcPr>
          <w:p>
            <w:pPr>
              <w:pStyle w:val="TableContents"/>
              <w:bidi w:val="0"/>
              <w:spacing w:lineRule="auto" w:line="300" w:before="0" w:after="0"/>
              <w:jc w:val="center"/>
              <w:rPr>
                <w:b/>
              </w:rPr>
            </w:pPr>
            <w:r>
              <w:rPr>
                <w:b/>
              </w:rPr>
              <w:t>(in thousands, except percentages)</w:t>
            </w:r>
          </w:p>
        </w:tc>
        <w:tc>
          <w:tcPr>
            <w:tcW w:w="230"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lineRule="auto" w:line="300" w:before="0" w:after="0"/>
              <w:jc w:val="left"/>
              <w:rPr/>
            </w:pPr>
            <w:r>
              <w:rPr/>
              <w:t>Financial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560" w:type="dxa"/>
            <w:tcBorders/>
            <w:shd w:fill="CCEEFF" w:val="clear"/>
            <w:vAlign w:val="center"/>
          </w:tcPr>
          <w:p>
            <w:pPr>
              <w:pStyle w:val="TableContents"/>
              <w:bidi w:val="0"/>
              <w:spacing w:lineRule="auto" w:line="300" w:before="0" w:after="0"/>
              <w:jc w:val="right"/>
              <w:rPr/>
            </w:pPr>
            <w:r>
              <w:rPr/>
              <w:t>5,322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680" w:type="dxa"/>
            <w:tcBorders/>
            <w:shd w:fill="CCEEFF" w:val="clear"/>
            <w:vAlign w:val="center"/>
          </w:tcPr>
          <w:p>
            <w:pPr>
              <w:pStyle w:val="TableContents"/>
              <w:bidi w:val="0"/>
              <w:spacing w:lineRule="auto" w:line="300" w:before="0" w:after="0"/>
              <w:jc w:val="right"/>
              <w:rPr/>
            </w:pPr>
            <w:r>
              <w:rPr/>
              <w:t>13,195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lineRule="auto" w:line="300" w:before="0" w:after="0"/>
              <w:jc w:val="left"/>
              <w:rPr/>
            </w:pPr>
            <w:r>
              <w:rPr/>
              <w:t>$</w:t>
            </w:r>
          </w:p>
        </w:tc>
        <w:tc>
          <w:tcPr>
            <w:tcW w:w="875" w:type="dxa"/>
            <w:tcBorders/>
            <w:shd w:fill="CCEEFF" w:val="clear"/>
            <w:vAlign w:val="center"/>
          </w:tcPr>
          <w:p>
            <w:pPr>
              <w:pStyle w:val="TableContents"/>
              <w:bidi w:val="0"/>
              <w:spacing w:lineRule="auto" w:line="300" w:before="0" w:after="0"/>
              <w:jc w:val="right"/>
              <w:rPr/>
            </w:pPr>
            <w:r>
              <w:rPr/>
              <w:t>7,873</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lineRule="auto" w:line="300" w:before="0" w:after="0"/>
              <w:jc w:val="right"/>
              <w:rPr/>
            </w:pPr>
            <w:r>
              <w:rPr/>
              <w:t>148</w:t>
            </w:r>
          </w:p>
        </w:tc>
        <w:tc>
          <w:tcPr>
            <w:tcW w:w="230" w:type="dxa"/>
            <w:tcBorders/>
            <w:shd w:fill="CCEEFF" w:val="clear"/>
            <w:vAlign w:val="center"/>
          </w:tcPr>
          <w:p>
            <w:pPr>
              <w:pStyle w:val="TableContents"/>
              <w:bidi w:val="0"/>
              <w:spacing w:lineRule="auto" w:line="300" w:before="0" w:after="0"/>
              <w:jc w:val="left"/>
              <w:rPr/>
            </w:pPr>
            <w:r>
              <w:rPr/>
              <w:t>%</w:t>
            </w:r>
          </w:p>
        </w:tc>
      </w:tr>
    </w:tbl>
    <w:p>
      <w:pPr>
        <w:pStyle w:val="TextBody"/>
        <w:bidi w:val="0"/>
        <w:spacing w:lineRule="auto" w:line="300" w:before="0" w:after="0"/>
        <w:jc w:val="left"/>
        <w:rPr/>
      </w:pPr>
      <w:r>
        <w:rPr/>
        <w:t> </w:t>
      </w:r>
    </w:p>
    <w:p>
      <w:pPr>
        <w:pStyle w:val="TextBody"/>
        <w:bidi w:val="0"/>
        <w:spacing w:lineRule="auto" w:line="300" w:before="0" w:after="0"/>
        <w:ind w:left="0" w:right="0" w:firstLine="490"/>
        <w:jc w:val="both"/>
        <w:rPr>
          <w:sz w:val="20"/>
        </w:rPr>
      </w:pPr>
      <w:r>
        <w:rPr>
          <w:sz w:val="20"/>
        </w:rPr>
        <w:t>Financial income, net increased by $7.9 million for the year ended December 31, 2023 as compared to prior year period. This increase was attributable to an increase of $7.9 million in interest income and accretion of marketable securities resulting from increase in global interest rates.</w:t>
      </w:r>
    </w:p>
    <w:p>
      <w:pPr>
        <w:pStyle w:val="TextBody"/>
        <w:bidi w:val="0"/>
        <w:spacing w:lineRule="auto" w:line="300" w:before="0" w:after="0"/>
        <w:ind w:left="0" w:right="0" w:firstLine="490"/>
        <w:jc w:val="both"/>
        <w:rPr/>
      </w:pPr>
      <w:r>
        <w:rPr/>
        <w:t> </w:t>
      </w:r>
    </w:p>
    <w:p>
      <w:pPr>
        <w:pStyle w:val="TextBody"/>
        <w:bidi w:val="0"/>
        <w:spacing w:lineRule="auto" w:line="300" w:before="0" w:after="0"/>
        <w:jc w:val="both"/>
        <w:rPr>
          <w:i/>
          <w:sz w:val="20"/>
        </w:rPr>
      </w:pPr>
      <w:r>
        <w:rPr>
          <w:i/>
          <w:sz w:val="20"/>
        </w:rPr>
        <w:t>Income Tax Expenses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51" w:name="zd71a2f7ec8a64ec8a685bf6155ff74d7"/>
      <w:bookmarkStart w:id="152" w:name="zd71a2f7ec8a64ec8a685bf6155ff74d7"/>
      <w:bookmarkEnd w:id="152"/>
    </w:p>
    <w:tbl>
      <w:tblPr>
        <w:tblW w:w="6489" w:type="dxa"/>
        <w:jc w:val="left"/>
        <w:tblInd w:w="0" w:type="dxa"/>
        <w:tblLayout w:type="fixed"/>
        <w:tblCellMar>
          <w:top w:w="0" w:type="dxa"/>
          <w:left w:w="0" w:type="dxa"/>
          <w:bottom w:w="0" w:type="dxa"/>
          <w:right w:w="0" w:type="dxa"/>
        </w:tblCellMar>
      </w:tblPr>
      <w:tblGrid>
        <w:gridCol w:w="2000"/>
        <w:gridCol w:w="60"/>
        <w:gridCol w:w="140"/>
        <w:gridCol w:w="560"/>
        <w:gridCol w:w="60"/>
        <w:gridCol w:w="60"/>
        <w:gridCol w:w="140"/>
        <w:gridCol w:w="560"/>
        <w:gridCol w:w="60"/>
        <w:gridCol w:w="60"/>
        <w:gridCol w:w="241"/>
        <w:gridCol w:w="967"/>
        <w:gridCol w:w="103"/>
        <w:gridCol w:w="103"/>
        <w:gridCol w:w="212"/>
        <w:gridCol w:w="933"/>
        <w:gridCol w:w="230"/>
      </w:tblGrid>
      <w:tr>
        <w:trPr/>
        <w:tc>
          <w:tcPr>
            <w:tcW w:w="2000" w:type="dxa"/>
            <w:tcBorders/>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w:t>
              <w:b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9"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Period-over-Period</w:t>
              <w:br/>
              <w:t>Change</w:t>
            </w:r>
          </w:p>
        </w:tc>
        <w:tc>
          <w:tcPr>
            <w:tcW w:w="23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8"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Dollar</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Percentage</w:t>
            </w:r>
          </w:p>
        </w:tc>
        <w:tc>
          <w:tcPr>
            <w:tcW w:w="23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4199" w:type="dxa"/>
            <w:gridSpan w:val="14"/>
            <w:tcBorders/>
            <w:vAlign w:val="center"/>
          </w:tcPr>
          <w:p>
            <w:pPr>
              <w:pStyle w:val="TableContents"/>
              <w:bidi w:val="0"/>
              <w:spacing w:lineRule="auto" w:line="300" w:before="0" w:after="0"/>
              <w:jc w:val="center"/>
              <w:rPr>
                <w:b/>
              </w:rPr>
            </w:pPr>
            <w:r>
              <w:rPr>
                <w:b/>
              </w:rPr>
              <w:t>(in thousands, except percentages)</w:t>
            </w:r>
          </w:p>
        </w:tc>
        <w:tc>
          <w:tcPr>
            <w:tcW w:w="23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lineRule="auto" w:line="300" w:before="0" w:after="0"/>
              <w:jc w:val="left"/>
              <w:rPr/>
            </w:pPr>
            <w:r>
              <w:rPr/>
              <w:t>Income tax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560" w:type="dxa"/>
            <w:tcBorders/>
            <w:shd w:fill="CCEEFF" w:val="clear"/>
            <w:vAlign w:val="center"/>
          </w:tcPr>
          <w:p>
            <w:pPr>
              <w:pStyle w:val="TableContents"/>
              <w:bidi w:val="0"/>
              <w:spacing w:lineRule="auto" w:line="300" w:before="0" w:after="0"/>
              <w:jc w:val="right"/>
              <w:rPr/>
            </w:pPr>
            <w:r>
              <w:rPr/>
              <w:t>3,831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560" w:type="dxa"/>
            <w:tcBorders/>
            <w:shd w:fill="CCEEFF" w:val="clear"/>
            <w:vAlign w:val="center"/>
          </w:tcPr>
          <w:p>
            <w:pPr>
              <w:pStyle w:val="TableContents"/>
              <w:bidi w:val="0"/>
              <w:spacing w:lineRule="auto" w:line="300" w:before="0" w:after="0"/>
              <w:jc w:val="right"/>
              <w:rPr/>
            </w:pPr>
            <w:r>
              <w:rPr/>
              <w:t>5,067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lineRule="auto" w:line="300" w:before="0" w:after="0"/>
              <w:jc w:val="left"/>
              <w:rPr/>
            </w:pPr>
            <w:r>
              <w:rPr/>
              <w:t>$</w:t>
            </w:r>
          </w:p>
        </w:tc>
        <w:tc>
          <w:tcPr>
            <w:tcW w:w="967" w:type="dxa"/>
            <w:tcBorders/>
            <w:shd w:fill="CCEEFF" w:val="clear"/>
            <w:vAlign w:val="center"/>
          </w:tcPr>
          <w:p>
            <w:pPr>
              <w:pStyle w:val="TableContents"/>
              <w:bidi w:val="0"/>
              <w:spacing w:lineRule="auto" w:line="300" w:before="0" w:after="0"/>
              <w:jc w:val="right"/>
              <w:rPr/>
            </w:pPr>
            <w:r>
              <w:rPr/>
              <w:t>1,236</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lineRule="auto" w:line="300" w:before="0" w:after="0"/>
              <w:jc w:val="right"/>
              <w:rPr/>
            </w:pPr>
            <w:r>
              <w:rPr/>
              <w:t>32</w:t>
            </w:r>
          </w:p>
        </w:tc>
        <w:tc>
          <w:tcPr>
            <w:tcW w:w="230" w:type="dxa"/>
            <w:tcBorders/>
            <w:shd w:fill="CCEEFF" w:val="clear"/>
            <w:vAlign w:val="center"/>
          </w:tcPr>
          <w:p>
            <w:pPr>
              <w:pStyle w:val="TableContents"/>
              <w:bidi w:val="0"/>
              <w:spacing w:lineRule="auto" w:line="300" w:before="0" w:after="0"/>
              <w:jc w:val="left"/>
              <w:rPr/>
            </w:pPr>
            <w:r>
              <w:rPr/>
              <w:t>%</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Income tax expenses increased by $1.2 million, or 32%, to $5.1 million for the year ended December 31, 2023 compared to $3.8 million for the year ended December 31, 2022. The increase in income tax expenses was primarily due to an increase in taxes on our operations in the United States.</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67</w:t>
      </w:r>
    </w:p>
    <w:p>
      <w:pPr>
        <w:pStyle w:val="HorizontalLine"/>
        <w:bidi w:val="0"/>
        <w:spacing w:before="200" w:after="200"/>
        <w:jc w:val="left"/>
        <w:rPr/>
      </w:pPr>
      <w:r>
        <w:rPr/>
      </w:r>
    </w:p>
    <w:p>
      <w:pPr>
        <w:pStyle w:val="TextBody"/>
        <w:bidi w:val="0"/>
        <w:spacing w:lineRule="auto" w:line="300" w:before="0" w:after="0"/>
        <w:jc w:val="both"/>
        <w:rPr>
          <w:b/>
          <w:sz w:val="20"/>
        </w:rPr>
      </w:pPr>
      <w:r>
        <w:rPr>
          <w:b/>
          <w:sz w:val="20"/>
        </w:rPr>
        <w:t>B.      Liquidity and Capital Resources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Overview</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Since inception, we have financed operations primarily through our operating cash flows and the net proceeds we have received from sales of equity securities. In June 2021, upon completion of our IPO, we received net proceeds of $263.9 million, after deducting underwriters’ discounts and commissions and offering expenses of $22.8 million.</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As of December 31, 2023, our principal sources of liquidity were cash and cash equivalents and short-term bank deposits of $205.2 million and investments in marketable securities of $116.6 million.</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In August 2021, we entered into a loan and security agreement with SVB to establish a Revolving Credit Facility to enable us to borrow, repay and re-borrow funds up to the amount of $50 million for a period of three years. As of December 31, 2023, this facility remained unutilized and will expire in August 2024.</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believe that our existing cash and cash equivalents, short-term bank deposits and investments in marketable securities, together with cash flow from operations, will be sufficient to support our liquidity and capital requirements for at least the next 12 months from the date of this Annual Report. Our future capital requirements will depend on many factors, including our revenue growth, the timing and extent of investments to support such growth, the expansion of sales and marketing activities, increases in general and administrative costs and many other factors, including those described elsewhere in this section under “Key Factors Affecting Our Performance” and elsewhere in this Annual Report under “Risk Factors.” We may, in the future, enter into arrangements to acquire or invest in complementary technologies, solutions or businesses. We may be required to seek additional equity or debt financing. In the event we require additional financing, we may not be able to raise such financing on terms acceptable to us or at all. In particular, the inflation and rising interest rates across the global economy, has resulted in, and may continue to result in, significant disruption of global financial markets, which may reduce our ability to access capital. If we are unable to raise additional capital or generate cash flows necessary to expand our operations and invest in continued innovation, we may not be able to compete successfully, which would adversely affect our business, financial condition and results of operations.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Cash Flows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The following table summarizes our cash flows for the periods presented: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53" w:name="z2b3f3f641b4d4d48a5418c3d98bf38ba"/>
      <w:bookmarkStart w:id="154" w:name="z2b3f3f641b4d4d48a5418c3d98bf38ba"/>
      <w:bookmarkEnd w:id="154"/>
    </w:p>
    <w:tbl>
      <w:tblPr>
        <w:tblW w:w="10205" w:type="dxa"/>
        <w:jc w:val="left"/>
        <w:tblInd w:w="0" w:type="dxa"/>
        <w:tblLayout w:type="fixed"/>
        <w:tblCellMar>
          <w:top w:w="0" w:type="dxa"/>
          <w:left w:w="0" w:type="dxa"/>
          <w:bottom w:w="0" w:type="dxa"/>
          <w:right w:w="0" w:type="dxa"/>
        </w:tblCellMar>
      </w:tblPr>
      <w:tblGrid>
        <w:gridCol w:w="7925"/>
        <w:gridCol w:w="60"/>
        <w:gridCol w:w="140"/>
        <w:gridCol w:w="875"/>
        <w:gridCol w:w="95"/>
        <w:gridCol w:w="60"/>
        <w:gridCol w:w="140"/>
        <w:gridCol w:w="800"/>
        <w:gridCol w:w="110"/>
      </w:tblGrid>
      <w:tr>
        <w:trPr/>
        <w:tc>
          <w:tcPr>
            <w:tcW w:w="7925" w:type="dxa"/>
            <w:tcBorders/>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110"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w:t>
              <w:br/>
              <w:t>December 31,</w:t>
            </w:r>
          </w:p>
        </w:tc>
        <w:tc>
          <w:tcPr>
            <w:tcW w:w="110"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0" w:type="dxa"/>
            <w:gridSpan w:val="6"/>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(in thousands)</w:t>
            </w:r>
          </w:p>
        </w:tc>
        <w:tc>
          <w:tcPr>
            <w:tcW w:w="110" w:type="dxa"/>
            <w:tcBorders/>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lineRule="auto" w:line="300" w:before="0" w:after="0"/>
              <w:jc w:val="left"/>
              <w:rPr/>
            </w:pPr>
            <w:r>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875" w:type="dxa"/>
            <w:tcBorders/>
            <w:shd w:fill="CCEEFF" w:val="clear"/>
            <w:vAlign w:val="center"/>
          </w:tcPr>
          <w:p>
            <w:pPr>
              <w:pStyle w:val="TableContents"/>
              <w:bidi w:val="0"/>
              <w:spacing w:lineRule="auto" w:line="300" w:before="0" w:after="0"/>
              <w:jc w:val="right"/>
              <w:rPr/>
            </w:pPr>
            <w:r>
              <w:rPr/>
              <w:t>(46,808</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800" w:type="dxa"/>
            <w:tcBorders/>
            <w:shd w:fill="CCEEFF" w:val="clear"/>
            <w:vAlign w:val="center"/>
          </w:tcPr>
          <w:p>
            <w:pPr>
              <w:pStyle w:val="TableContents"/>
              <w:bidi w:val="0"/>
              <w:spacing w:lineRule="auto" w:line="300" w:before="0" w:after="0"/>
              <w:jc w:val="right"/>
              <w:rPr/>
            </w:pPr>
            <w:r>
              <w:rPr/>
              <w:t>15,280</w:t>
            </w:r>
          </w:p>
        </w:tc>
        <w:tc>
          <w:tcPr>
            <w:tcW w:w="110" w:type="dxa"/>
            <w:tcBorders/>
            <w:shd w:fill="CCEEFF" w:val="clear"/>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lineRule="auto" w:line="300" w:before="0" w:after="0"/>
              <w:jc w:val="left"/>
              <w:rPr/>
            </w:pPr>
            <w:r>
              <w:rPr/>
              <w:t>Net cash provided by (used in) investing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(149,956</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62,109</w:t>
            </w:r>
          </w:p>
        </w:tc>
        <w:tc>
          <w:tcPr>
            <w:tcW w:w="110" w:type="dxa"/>
            <w:tcBorders/>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lineRule="auto" w:line="300" w:before="0" w:after="0"/>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14,791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5,966</w:t>
            </w:r>
          </w:p>
        </w:tc>
        <w:tc>
          <w:tcPr>
            <w:tcW w:w="110" w:type="dxa"/>
            <w:tcBorders/>
            <w:shd w:fill="CCEEFF" w:val="clear"/>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lineRule="auto" w:line="300" w:before="0" w:after="0"/>
              <w:jc w:val="left"/>
              <w:rPr/>
            </w:pPr>
            <w:r>
              <w:rPr/>
              <w:t>Effect of foreign currency exchange rate changes on cash, cash equivalents, and restricted cash</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pPr>
            <w:r>
              <w:rPr/>
              <w:t>(850</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pPr>
            <w:r>
              <w:rPr/>
              <w:t>(560</w:t>
            </w:r>
          </w:p>
        </w:tc>
        <w:tc>
          <w:tcPr>
            <w:tcW w:w="110" w:type="dxa"/>
            <w:tcBorders/>
            <w:vAlign w:val="center"/>
          </w:tcPr>
          <w:p>
            <w:pPr>
              <w:pStyle w:val="TableContents"/>
              <w:bidi w:val="0"/>
              <w:spacing w:lineRule="auto" w:line="300" w:before="0" w:after="0"/>
              <w:jc w:val="left"/>
              <w:rPr/>
            </w:pPr>
            <w:r>
              <w:rPr/>
              <w:t>)</w:t>
            </w:r>
          </w:p>
        </w:tc>
      </w:tr>
      <w:tr>
        <w:trPr/>
        <w:tc>
          <w:tcPr>
            <w:tcW w:w="7925" w:type="dxa"/>
            <w:tcBorders/>
            <w:shd w:fill="CCEEFF" w:val="clear"/>
            <w:vAlign w:val="center"/>
          </w:tcPr>
          <w:p>
            <w:pPr>
              <w:pStyle w:val="TableContents"/>
              <w:bidi w:val="0"/>
              <w:spacing w:lineRule="auto" w:line="300" w:before="0" w:after="0"/>
              <w:jc w:val="left"/>
              <w:rPr/>
            </w:pPr>
            <w:r>
              <w:rPr/>
              <w:t>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(182,823</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82,795</w:t>
            </w:r>
          </w:p>
        </w:tc>
        <w:tc>
          <w:tcPr>
            <w:tcW w:w="110" w:type="dxa"/>
            <w:tcBorders/>
            <w:shd w:fill="CCEEFF" w:val="clear"/>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lineRule="auto" w:line="300" w:before="0" w:after="0"/>
              <w:jc w:val="left"/>
              <w:rPr/>
            </w:pPr>
            <w:r>
              <w:rPr/>
              <w:t>Cash, cash equivalents and restricted cash at beginning of year</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pPr>
            <w:r>
              <w:rPr/>
              <w:t>277,251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pPr>
            <w:r>
              <w:rPr/>
              <w:t>94,428</w:t>
            </w:r>
          </w:p>
        </w:tc>
        <w:tc>
          <w:tcPr>
            <w:tcW w:w="110" w:type="dxa"/>
            <w:tcBorders/>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lineRule="auto" w:line="300" w:before="0" w:after="0"/>
              <w:jc w:val="left"/>
              <w:rPr/>
            </w:pPr>
            <w:r>
              <w:rPr/>
              <w:t>Cash, cash equivalents and restricted cash at end of the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94,428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177,223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TextBody"/>
        <w:bidi w:val="0"/>
        <w:spacing w:lineRule="auto" w:line="300" w:before="0" w:after="0"/>
        <w:jc w:val="both"/>
        <w:rPr>
          <w:i/>
          <w:sz w:val="20"/>
        </w:rPr>
      </w:pPr>
      <w:r>
        <w:rPr>
          <w:i/>
          <w:sz w:val="20"/>
        </w:rPr>
        <w:t>Operating Activities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largest source of operating cash is cash collection from sales of subscriptions to our customers. Our primary uses of cash from operating activities are for employee-related expenses, marketing expenses, hosting expenses and allocated overhead expenses. Starting 2023 we are generating positive cash flows and expect to continue generating positive cash flow in future years as well.</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Cash used in operating activities for the year ended December 31, 2022 of $46.8 million was primarily related to our net loss of $108.3 million, adjusted for non-cash charges of $58.0 million and net cash inflows of approximately $3.5 million provided by changes in our operating assets and liabilities. Non-cash charges primarily consisted of share-based compensation, depreciation, amortization and impairments of long-lived assets. The main drivers of the changes in operating assets and liabilities were related to a $22.9 million increase in deferred revenues, mainly due to increased billing, $3.2 million increase in accrued expenses and other liabilities and $2.5 million increase in deferred taxes, net.  These amounts were partially offset by a $8.9 million increase in prepaid expenses and other assets, $7.4 million increase in trade receivables, net, due to an increase in sales and $5.8 million decrease in employees and payroll accruals.</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68</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Cash provided by operating activities for the year ended December 31, 2023 of $15.3 million was primarily related to our net loss of $56.8 million, adjusted for non-cash charges of $61.6 million and net cash inflows of approximately $10.5 million provided by changes in our operating assets and liabilities. Non-cash charges primarily consisted of share-based compensation and depreciation, amortization and impairments of long-lived assets. The main drivers of the changes in operating assets and liabilities were related to a $7.9 million decrease in prepaid expenses and other assets, $6.1 million increase in accrued expenses and other long-term liabilities, $4.5 million decrease in trade receivables and $2.4 million increase in deferred revenues. These amounts were partially offset by $4.9 million decrease in employees and payroll accrual, $2.4 million decrease in trade payables, $1.8 million decrease in deferred tax, net and $1.3 million decrease in Operating lease right-of-use assets and liabilities, net.</w:t>
      </w:r>
    </w:p>
    <w:p>
      <w:pPr>
        <w:pStyle w:val="TextBody"/>
        <w:bidi w:val="0"/>
        <w:spacing w:lineRule="auto" w:line="300" w:before="0" w:after="0"/>
        <w:jc w:val="left"/>
        <w:rPr/>
      </w:pPr>
      <w:r>
        <w:rPr/>
      </w:r>
    </w:p>
    <w:p>
      <w:pPr>
        <w:pStyle w:val="TextBody"/>
        <w:bidi w:val="0"/>
        <w:spacing w:lineRule="auto" w:line="300" w:before="0" w:after="0"/>
        <w:jc w:val="both"/>
        <w:rPr>
          <w:i/>
          <w:sz w:val="20"/>
        </w:rPr>
      </w:pPr>
      <w:r>
        <w:rPr>
          <w:i/>
          <w:sz w:val="20"/>
        </w:rPr>
        <w:t>Investing Activities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Cash used in investing activities of $150.0 million for the year ended December 31, 2022 was related to investment in marketable securities of $84.9 and net investment in short-term and long-term bank deposits of $57.9 million, capitalization of software development costs of $4.3 million and capital expenditures of $2.9 million. </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Cash provided by investing activities of $62.1 million for the year ended December 31, 2023 was related net proceeds from short-term bank deposits of $95.5 million. This amount was offset by net investment in marketable securities of $29.6 million, capitalization of software development costs of $3.3 million and capital expenditures of $0.5 million. </w:t>
      </w:r>
    </w:p>
    <w:p>
      <w:pPr>
        <w:pStyle w:val="TextBody"/>
        <w:bidi w:val="0"/>
        <w:spacing w:lineRule="auto" w:line="300" w:before="0" w:after="0"/>
        <w:jc w:val="left"/>
        <w:rPr/>
      </w:pPr>
      <w:r>
        <w:rPr/>
      </w:r>
    </w:p>
    <w:p>
      <w:pPr>
        <w:pStyle w:val="TextBody"/>
        <w:bidi w:val="0"/>
        <w:spacing w:lineRule="auto" w:line="300" w:before="0" w:after="0"/>
        <w:jc w:val="both"/>
        <w:rPr>
          <w:i/>
          <w:sz w:val="20"/>
        </w:rPr>
      </w:pPr>
      <w:r>
        <w:rPr>
          <w:i/>
          <w:sz w:val="20"/>
        </w:rPr>
        <w:t>Financing Activities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Cash provided by financing activities of $14.8 million for the year ended December 31, 2022 was due to proceeds from employee share purchase plans of $9.7 million and proceeds from the exercise of share option of $5.1 million.</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Cash provided by financing activities of $6.0 million for the year ended December 31, 2023 was due to proceeds from employee share purchase plans of $4.1 million and proceeds from the exercise of share option of $1.9 million.</w:t>
      </w:r>
    </w:p>
    <w:p>
      <w:pPr>
        <w:pStyle w:val="TextBody"/>
        <w:bidi w:val="0"/>
        <w:spacing w:lineRule="auto" w:line="300" w:before="0" w:after="0"/>
        <w:jc w:val="left"/>
        <w:rPr/>
      </w:pPr>
      <w:r>
        <w:rPr/>
      </w:r>
    </w:p>
    <w:p>
      <w:pPr>
        <w:pStyle w:val="TextBody"/>
        <w:bidi w:val="0"/>
        <w:spacing w:lineRule="auto" w:line="300" w:before="0" w:after="0"/>
        <w:jc w:val="both"/>
        <w:rPr>
          <w:b/>
          <w:sz w:val="20"/>
        </w:rPr>
      </w:pPr>
      <w:r>
        <w:rPr>
          <w:b/>
          <w:sz w:val="20"/>
        </w:rPr>
        <w:t>Material Cash Requirements for Known Contractual and Other Obligations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are a party to many contractual obligations involving commitments to make payments to third parties. These obligations impact our short-term and long-term liquidity and capital resource needs. Certain contractual obligations are reflected on the consolidated balance sheet as of December 31, 2023, while others are considered future commitments. Our contractual obligations primarily consist of hosting services, software products and services and operating leases. For information regarding our other contractual obligations, refer to Note 7 “Commitments and Contingent Liabilities“ and Note 8, “Leases”.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In addition to the obligations described above, our subscription agreements contain standard indemnification obligations. Pursuant to these agreements, we will indemnify, defend, and hold the other party harmless with respect to a claim, suit, or proceeding brought against the other party by a third party alleging that our intellectual property infringes upon the intellectual property of the third party, or results from a breach of our representations and warranties or covenants, or that results from any acts of negligence or willful misconduct. The term of these indemnification agreements is generally perpetual any time after the execution of the agreement. Typically, these indemnification provisions do not provide for a maximum potential amount of future payments we could be required to make. However, in the past we have not been obligated to make significant payments for these obligations and no liabilities have been recorded for these obligations on our consolidated balance sheets as of December 31, 2022 or 2023.</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also indemnify our officers and directors for certain events or occurrences, subject to certain limits, while the officer is or was serving at our request in such capacity. The maximum amount of potential future indemnification is unlimited. However, our director and officer insurance policy limits our exposure and enables us to recover a portion of any future amounts paid. Historically, we have not been obligated to make any payments for these obligations and no liabilities have been recorded for these obligations on our consolidated balance sheet as of December 31, 2022 or 2023.</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69</w:t>
      </w:r>
    </w:p>
    <w:p>
      <w:pPr>
        <w:pStyle w:val="HorizontalLine"/>
        <w:bidi w:val="0"/>
        <w:spacing w:before="200" w:after="200"/>
        <w:jc w:val="left"/>
        <w:rPr/>
      </w:pPr>
      <w:r>
        <w:rPr/>
      </w:r>
    </w:p>
    <w:p>
      <w:pPr>
        <w:pStyle w:val="TextBody"/>
        <w:bidi w:val="0"/>
        <w:spacing w:lineRule="auto" w:line="300" w:before="0" w:after="0"/>
        <w:jc w:val="both"/>
        <w:rPr>
          <w:b/>
          <w:sz w:val="20"/>
        </w:rPr>
      </w:pPr>
      <w:r>
        <w:rPr>
          <w:b/>
          <w:sz w:val="20"/>
        </w:rPr>
        <w:t>WalkMe K.K.</w:t>
      </w:r>
    </w:p>
    <w:p>
      <w:pPr>
        <w:pStyle w:val="TextBody"/>
        <w:bidi w:val="0"/>
        <w:spacing w:lineRule="auto" w:line="300" w:before="0" w:after="0"/>
        <w:jc w:val="both"/>
        <w:rPr>
          <w:b/>
        </w:rPr>
      </w:pPr>
      <w:r>
        <w:rPr>
          <w:b/>
        </w:rPr>
      </w:r>
    </w:p>
    <w:p>
      <w:pPr>
        <w:pStyle w:val="TextBody"/>
        <w:bidi w:val="0"/>
        <w:spacing w:lineRule="auto" w:line="300" w:before="0" w:after="0"/>
        <w:ind w:left="0" w:right="0" w:firstLine="500"/>
        <w:jc w:val="both"/>
        <w:rPr/>
      </w:pPr>
      <w:r>
        <w:rPr/>
        <w:t> </w:t>
      </w:r>
      <w:r>
        <w:rPr>
          <w:sz w:val="20"/>
        </w:rPr>
        <w:t>During the year ended December 31, 2018, we established WalkMe K.K., a Japanese company in which we own a controlling interest, for purposes of facilitating our entry into the Japanese market. We have consolidated the results of operations and financial condition of WalkMe K.K. since its inception. Pursuant to an agreement with the holders of the non-controlling interest in WalkMe K.K., beginning in 2027 we may redeem the non-controlling interest, or be required to redeem such interest by the holders thereof, based on a prescribed formula derived from certain financial performance indicators of WalkMe K.K. and the Company. The balance of the redeemable non-controlling interest is reported on our balance sheet below total liabilities but above shareholders’ equity at the greater of the initial carrying amount adjusted for the redeemable non-controlling interest’s share of earnings or losses and other comprehensive income or loss, or its estimated redemption value. As of December 31, 2022 and 2023, the redeemable non-controlling interest of non-controlling interests in WalkMe K.K. amounted to $8.1 million and $10.4 million, respectively.</w:t>
      </w:r>
    </w:p>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C.      Research and Development, Patents and Licenses, Etc.</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For a discussion of our research and development policies for the last three years, see Item 4.B. “Research and Development” and “Our Intellectual Property” above.</w:t>
      </w:r>
    </w:p>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D.      Trend Information</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Other than as disclosed elsewhere in this Annual Report, we are not aware of any trends, uncertainties, demands, commitments or events since December 31, 2023 that are reasonably likely to have a material adverse effect on our revenues, income, profitability, liquidity or capital resources, or that would cause the disclosed financial information to be not necessarily indicative of our future operating results or financial conditions.</w:t>
      </w:r>
    </w:p>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E.      Critical Accounting Estimates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We have provided a summary of our significant accounting policies, estimates and judgments in Note 2 to our consolidated financial statements, which are included elsewhere in this Annual Report. The following critical accounting discussion pertains to accounting policies management believes are most critical to the portrayal of our historical financial condition and results of operations and that require significant, difficult, subjective or complex judgments. Other companies in similar businesses may use different estimation policies and methodologies, which may impact the comparability of our financial condition, results of operations and cash flows to those of other companies.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b/>
          <w:sz w:val="20"/>
        </w:rPr>
      </w:pPr>
      <w:r>
        <w:rPr>
          <w:b/>
          <w:sz w:val="20"/>
        </w:rPr>
        <w:t>Application of Critical Accounting Policies and Estimates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Our consolidated financial statements and the related notes thereto included elsewhere in this Annual Report are prepared in accordance with GAAP. The preparation of consolidated financial statements in accordance with GAAP requires us to make estimates, judgments and assumptions that affect the amounts reported in our consolidated financial statements and the related disclosures. Our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as of the dates set forth in the consolidated financial statements, and the reported amounts of revenue and expenses during the applicable reporting periods. Actual results could differ from those estimates.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We believe that the accounting policies described below require management’s most difficult, subjective or complex judgments. Judgments or uncertainties affecting the application of these policies may result in materially different amounts being reported under different conditions or using different assumptions. Accordingly, we believe these are the most critical to aid in fully understanding and evaluating our financial condition and results of operations. See note 2 to the consolidated financial statements included elsewhere in this Annual Report for a summary of significant accounting policies and the effect on our financial statements.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Revenue Recognition</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generate revenue primarily from sales of subscriptions to access our Digital Adoption Platform, together with related services to our customers. Arrangements with customers do not provide the customer with the right to take possession of the software operating our platform at any time. Instead, customers are granted continuous access to our platform over the contractual period. Revenue is recognized when control of these services is transferred to our customers, which is based on the customer’s usage of the product and reflects the consideration we expect to receive in exchange for those services. Revenue excludes sales and other indirect taxes.</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70</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We account for revenue contracts with customers through the following steps:</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155" w:name="z821aeef27b84492d837353900373d9e0"/>
      <w:bookmarkStart w:id="156" w:name="z821aeef27b84492d837353900373d9e0"/>
      <w:bookmarkEnd w:id="156"/>
    </w:p>
    <w:tbl>
      <w:tblPr>
        <w:tblW w:w="7615" w:type="dxa"/>
        <w:jc w:val="left"/>
        <w:tblInd w:w="0" w:type="dxa"/>
        <w:tblLayout w:type="fixed"/>
        <w:tblCellMar>
          <w:top w:w="0" w:type="dxa"/>
          <w:left w:w="0" w:type="dxa"/>
          <w:bottom w:w="0" w:type="dxa"/>
          <w:right w:w="0" w:type="dxa"/>
        </w:tblCellMar>
      </w:tblPr>
      <w:tblGrid>
        <w:gridCol w:w="125"/>
        <w:gridCol w:w="7490"/>
      </w:tblGrid>
      <w:tr>
        <w:trPr/>
        <w:tc>
          <w:tcPr>
            <w:tcW w:w="125" w:type="dxa"/>
            <w:tcBorders/>
            <w:vAlign w:val="center"/>
          </w:tcPr>
          <w:p>
            <w:pPr>
              <w:pStyle w:val="TableContents"/>
              <w:bidi w:val="0"/>
              <w:spacing w:lineRule="auto" w:line="300" w:before="0" w:after="0"/>
              <w:jc w:val="both"/>
              <w:rPr/>
            </w:pPr>
            <w:r>
              <w:rPr/>
              <w:t>•</w:t>
            </w:r>
          </w:p>
        </w:tc>
        <w:tc>
          <w:tcPr>
            <w:tcW w:w="7490" w:type="dxa"/>
            <w:tcBorders/>
            <w:vAlign w:val="center"/>
          </w:tcPr>
          <w:p>
            <w:pPr>
              <w:pStyle w:val="TableContents"/>
              <w:bidi w:val="0"/>
              <w:spacing w:lineRule="auto" w:line="300" w:before="0" w:after="0"/>
              <w:jc w:val="both"/>
              <w:rPr/>
            </w:pPr>
            <w:r>
              <w:rPr/>
              <w:t>identify the contract with a customer;</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7490" w:type="dxa"/>
            <w:tcBorders/>
            <w:vAlign w:val="center"/>
          </w:tcPr>
          <w:p>
            <w:pPr>
              <w:pStyle w:val="TableContents"/>
              <w:bidi w:val="0"/>
              <w:spacing w:lineRule="auto" w:line="300" w:before="0" w:after="0"/>
              <w:jc w:val="both"/>
              <w:rPr/>
            </w:pPr>
            <w:r>
              <w:rPr/>
              <w:t>identify the performance obligations in the contract;</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7490" w:type="dxa"/>
            <w:tcBorders/>
            <w:vAlign w:val="center"/>
          </w:tcPr>
          <w:p>
            <w:pPr>
              <w:pStyle w:val="TableContents"/>
              <w:bidi w:val="0"/>
              <w:spacing w:lineRule="auto" w:line="300" w:before="0" w:after="0"/>
              <w:jc w:val="both"/>
              <w:rPr/>
            </w:pPr>
            <w:r>
              <w:rPr/>
              <w:t>determine the transaction price;</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7490" w:type="dxa"/>
            <w:tcBorders/>
            <w:vAlign w:val="center"/>
          </w:tcPr>
          <w:p>
            <w:pPr>
              <w:pStyle w:val="TableContents"/>
              <w:bidi w:val="0"/>
              <w:spacing w:lineRule="auto" w:line="300" w:before="0" w:after="0"/>
              <w:jc w:val="both"/>
              <w:rPr/>
            </w:pPr>
            <w:r>
              <w:rPr/>
              <w:t>allocate the transaction price to the performance obligations in the contract; and</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7490" w:type="dxa"/>
            <w:tcBorders/>
            <w:vAlign w:val="center"/>
          </w:tcPr>
          <w:p>
            <w:pPr>
              <w:pStyle w:val="TableContents"/>
              <w:bidi w:val="0"/>
              <w:spacing w:lineRule="auto" w:line="300" w:before="0" w:after="0"/>
              <w:jc w:val="both"/>
              <w:rPr/>
            </w:pPr>
            <w:r>
              <w:rPr/>
              <w:t>recognize revenue when or as, we satisfy a performance obligation.</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Our contracts with customers often include promises to transfer multiple performance obligations. In these contracts, we identify each performance obligation and evaluate whether the performance obligations are distinct within the context of the contract at contract inception. Performance obligations that are not distinct at contract inception are combined.</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allocate the transaction price to each distinct performance obligation based on the stand-alone selling price for each performance obligation. Judgment is required to determine the stand-alone selling price for each distinct performance obligation. We generally estimate the stand-alone selling price of our subscription and professional services based on the actual renewal prices in stand-alone transactions. </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Cost to Obtain a Contract</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capitalize sales commissions and associated payroll taxes paid to sales force that are incremental to the acquisition of customer contracts and recoverable. These costs are recorded as deferred contract acquisition costs on the consolidated balance sheets. We determine whether costs should be deferred based on our sales compensation plans and if the commissions are incremental and would not have occurred absent the customer contract.</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Sales commissions for the renewal of a contract are not considered commensurate with the sales commissions paid for the acquisition of the initial contract given a substantive difference in commission rates in proportion to their respective contract values. Sales commissions paid for the renewal of a contract to sales force are amortized over the contractual term of the renewals. Sales commissions paid upon the initial acquisition of a customer contract for sales force are amortized over a period of four years. We determine the period of benefit for sales commissions paid for the acquisition of the initial customer contract by taking into consideration the length of terms in its customer contracts, life of the technology and other factors.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Amortization of sales commissions are included in sales and marketing expenses in the consolidated statements of operations. We have applied the practical expedient in ASC 340-40, Other assets and deferred costs, to expense costs as incurred for costs to obtain a contract with a customer when the amortization period would have been one year or less. We periodically review these deferred contract acquisition costs to determine whether events or changes in circumstances have occurred that could impact the period of benefit.</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As of December 31, 2023, we had $57 million of deferred contract acquisition costs, of which $26.8 million will be amortized over the next 12 months.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Share-Based Compensation</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Share-based compensation expense related to employees, consultants, and non-employee directors is measured based on the grant-date fair value of the awards. We establish fair value as the measurement objective in accounting for share-based payment transactions and recognize expenses on a straight-line basis over the requisite service period, which is generally the vesting term of four years. The fair value of each share option granted is estimated using the Black-Scholes option-pricing model and, for ESPP awards or awards with market condition, we used a Monte Carlo option-pricing model.</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fair value of each RSU is based on the fair value of our ordinary shares on the date of grant.</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71</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Determining the fair value of share-based awards at the grant date requires significant judgment. The determination of the grant date fair value of share-based awards using the option-pricing models was affected by our ordinary share fair value as well as other subjective assumptions including the expected term of the awards, the expected volatility over the expected term of the awards, expected dividend yield and risk-free interest rates. The assumptions used in our option-pricing model represent management’s best estimates. These assumptions and estimates are as follows:</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157" w:name="zed2fe745d8084e7282cde8c663c13850"/>
      <w:bookmarkStart w:id="158" w:name="zed2fe745d8084e7282cde8c663c13850"/>
      <w:bookmarkEnd w:id="158"/>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Fair Value of Ordinary Shares. The fair value of each ordinary share was based on the closing price of our publicly traded ordinary shares as reported on the date of the grant.</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Expected Term. The expected term of the share options reflects the period for which we believe the option will remain outstanding. To determine the expected term, we generally apply the simplified method approach. The simplified method deems the term to be the average of the time-to-vesting and the contractual life of the options.</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Expected Volatility. As we do not have sufficient trading history for our ordinary shares, the selected volatility used is representative of expected future volatility. We base expected future volatility on the historical and implied volatility of comparable publicly traded companies over a similar expected term.</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Expected Dividend Yield. We have never declared or paid any cash dividends and do not presently intend to pay cash dividends in the foreseeable future. As a result, we used an expected dividend yield of zero.</w:t>
            </w:r>
          </w:p>
          <w:p>
            <w:pPr>
              <w:pStyle w:val="TableContents"/>
              <w:bidi w:val="0"/>
              <w:spacing w:lineRule="auto" w:line="300" w:before="0" w:after="0"/>
              <w:jc w:val="both"/>
              <w:rPr/>
            </w:pPr>
            <w:r>
              <w:rPr/>
              <w:t>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Risk-Free Interest Rates. We use the U.S. Treasury yield for our risk-free interest rate that corresponds with the expected term.</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The following table reflects the weighted average assumptions used to estimate the fair value of share options and ESPP granted during the years ended December 31, 2022 and 2023: </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59" w:name="zf3fcc69658614e8191f0be07b9a0355e"/>
      <w:bookmarkStart w:id="160" w:name="zf3fcc69658614e8191f0be07b9a0355e"/>
      <w:bookmarkEnd w:id="160"/>
    </w:p>
    <w:tbl>
      <w:tblPr>
        <w:tblW w:w="5338" w:type="dxa"/>
        <w:jc w:val="left"/>
        <w:tblInd w:w="0" w:type="dxa"/>
        <w:tblLayout w:type="fixed"/>
        <w:tblCellMar>
          <w:top w:w="0" w:type="dxa"/>
          <w:left w:w="0" w:type="dxa"/>
          <w:bottom w:w="0" w:type="dxa"/>
          <w:right w:w="0" w:type="dxa"/>
        </w:tblCellMar>
      </w:tblPr>
      <w:tblGrid>
        <w:gridCol w:w="2330"/>
        <w:gridCol w:w="60"/>
        <w:gridCol w:w="72"/>
        <w:gridCol w:w="1122"/>
        <w:gridCol w:w="258"/>
        <w:gridCol w:w="72"/>
        <w:gridCol w:w="72"/>
        <w:gridCol w:w="1122"/>
        <w:gridCol w:w="230"/>
      </w:tblGrid>
      <w:tr>
        <w:trPr/>
        <w:tc>
          <w:tcPr>
            <w:tcW w:w="233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 December 31,</w:t>
            </w:r>
          </w:p>
        </w:tc>
        <w:tc>
          <w:tcPr>
            <w:tcW w:w="23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194"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258"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4"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230"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lineRule="auto" w:line="300" w:before="0" w:after="0"/>
              <w:jc w:val="left"/>
              <w:rPr/>
            </w:pPr>
            <w:r>
              <w:rPr/>
              <w:t>Expected dividend yield</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lineRule="auto" w:line="300" w:before="0" w:after="0"/>
              <w:jc w:val="right"/>
              <w:rPr/>
            </w:pPr>
            <w:r>
              <w:rPr/>
              <w:t>-</w:t>
            </w:r>
          </w:p>
        </w:tc>
        <w:tc>
          <w:tcPr>
            <w:tcW w:w="25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lineRule="auto" w:line="300" w:before="0" w:after="0"/>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lineRule="auto" w:line="300" w:before="0" w:after="0"/>
              <w:jc w:val="left"/>
              <w:rPr/>
            </w:pPr>
            <w:r>
              <w:rPr/>
              <w:t>Expected volatility</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lineRule="auto" w:line="300" w:before="0" w:after="0"/>
              <w:jc w:val="right"/>
              <w:rPr/>
            </w:pPr>
            <w:r>
              <w:rPr/>
              <w:t>60-91.9</w:t>
            </w:r>
          </w:p>
        </w:tc>
        <w:tc>
          <w:tcPr>
            <w:tcW w:w="258" w:type="dxa"/>
            <w:tcBorders/>
            <w:vAlign w:val="center"/>
          </w:tcPr>
          <w:p>
            <w:pPr>
              <w:pStyle w:val="TableContents"/>
              <w:bidi w:val="0"/>
              <w:spacing w:lineRule="auto" w:line="300" w:before="0" w:after="0"/>
              <w:jc w:val="left"/>
              <w:rPr/>
            </w:pPr>
            <w:r>
              <w:rPr/>
              <w:t>%</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lineRule="auto" w:line="300" w:before="0" w:after="0"/>
              <w:jc w:val="right"/>
              <w:rPr/>
            </w:pPr>
            <w:r>
              <w:rPr/>
              <w:t>49-76</w:t>
            </w:r>
          </w:p>
        </w:tc>
        <w:tc>
          <w:tcPr>
            <w:tcW w:w="230" w:type="dxa"/>
            <w:tcBorders/>
            <w:vAlign w:val="center"/>
          </w:tcPr>
          <w:p>
            <w:pPr>
              <w:pStyle w:val="TableContents"/>
              <w:bidi w:val="0"/>
              <w:spacing w:lineRule="auto" w:line="300" w:before="0" w:after="0"/>
              <w:jc w:val="left"/>
              <w:rPr/>
            </w:pPr>
            <w:r>
              <w:rPr/>
              <w:t>%</w:t>
            </w:r>
          </w:p>
        </w:tc>
      </w:tr>
      <w:tr>
        <w:trPr/>
        <w:tc>
          <w:tcPr>
            <w:tcW w:w="2330" w:type="dxa"/>
            <w:tcBorders/>
            <w:shd w:fill="CCEEFF" w:val="clear"/>
            <w:vAlign w:val="center"/>
          </w:tcPr>
          <w:p>
            <w:pPr>
              <w:pStyle w:val="TableContents"/>
              <w:bidi w:val="0"/>
              <w:spacing w:lineRule="auto" w:line="300" w:before="0" w:after="0"/>
              <w:jc w:val="left"/>
              <w:rPr/>
            </w:pPr>
            <w:r>
              <w:rPr/>
              <w:t>Expected term (years)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lineRule="auto" w:line="300" w:before="0" w:after="0"/>
              <w:jc w:val="right"/>
              <w:rPr/>
            </w:pPr>
            <w:r>
              <w:rPr/>
              <w:t>0.5-6.98</w:t>
            </w:r>
          </w:p>
        </w:tc>
        <w:tc>
          <w:tcPr>
            <w:tcW w:w="25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lineRule="auto" w:line="300" w:before="0" w:after="0"/>
              <w:jc w:val="right"/>
              <w:rPr/>
            </w:pPr>
            <w:r>
              <w:rPr/>
              <w:t>0.5-6.08</w:t>
            </w:r>
          </w:p>
        </w:tc>
        <w:tc>
          <w:tcPr>
            <w:tcW w:w="230" w:type="dxa"/>
            <w:tcBorders/>
            <w:shd w:fill="CCEEFF" w:val="clear"/>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lineRule="auto" w:line="300" w:before="0" w:after="0"/>
              <w:jc w:val="left"/>
              <w:rPr/>
            </w:pPr>
            <w:r>
              <w:rPr/>
              <w:t>Risk-free interest rate</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lineRule="auto" w:line="300" w:before="0" w:after="0"/>
              <w:jc w:val="right"/>
              <w:rPr/>
            </w:pPr>
            <w:r>
              <w:rPr/>
              <w:t>0.46-3.88</w:t>
            </w:r>
          </w:p>
        </w:tc>
        <w:tc>
          <w:tcPr>
            <w:tcW w:w="258" w:type="dxa"/>
            <w:tcBorders/>
            <w:vAlign w:val="center"/>
          </w:tcPr>
          <w:p>
            <w:pPr>
              <w:pStyle w:val="TableContents"/>
              <w:bidi w:val="0"/>
              <w:spacing w:lineRule="auto" w:line="300" w:before="0" w:after="0"/>
              <w:jc w:val="left"/>
              <w:rPr/>
            </w:pPr>
            <w:r>
              <w:rPr/>
              <w:t>%</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lineRule="auto" w:line="300" w:before="0" w:after="0"/>
              <w:jc w:val="right"/>
              <w:rPr/>
            </w:pPr>
            <w:r>
              <w:rPr/>
              <w:t>3.46-5.47</w:t>
            </w:r>
          </w:p>
        </w:tc>
        <w:tc>
          <w:tcPr>
            <w:tcW w:w="230" w:type="dxa"/>
            <w:tcBorders/>
            <w:vAlign w:val="center"/>
          </w:tcPr>
          <w:p>
            <w:pPr>
              <w:pStyle w:val="TableContents"/>
              <w:bidi w:val="0"/>
              <w:spacing w:lineRule="auto" w:line="300" w:before="0" w:after="0"/>
              <w:jc w:val="left"/>
              <w:rPr/>
            </w:pPr>
            <w:r>
              <w:rPr/>
              <w:t>%</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We will continue to use judgment in evaluating the assumptions related to our share-based compensation on a prospective basis. As we continue to accumulate additional data related to our ordinary shares, we may have refinements to our estimates, which could materially impact our future share-based compensation expense.</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Internal Use Software Development Costs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We capitalize certain costs related to the development of our platform and other software applications for internal use. In accordance with authoritative guidance, we begin to capitalize our costs to develop software when preliminary development efforts are successfully completed, management has authorized and committed project funding, and it is probable that the project will be completed and the software will be used as intended. We stop capitalizing these costs when the software is substantially complete and ready for its intended use, including the completion of all significant testing. These costs are amortized on a straight-line basis over the estimated useful life of the related asset, generally estimated to be three years. We also capitalize costs related to specific upgrades and enhancements when it is probable the expenditure will result in additional functionality and expense costs incurred for maintenance and minor upgrades and enhancements. Costs incurred prior to meeting these criteria together with costs incurred for training and maintenance are expensed as incurred and recorded within research and development expenses in our consolidated statements of operations.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exercise judgment in determining the point at which various projects may be capitalized, in assessing the ongoing value of the capitalized costs and in determining the estimated useful lives over which the costs are amortized. To the extent that we change the manner in which we develop and test new features and functionalities related to our platform, assess the ongoing value of capitalized assets or determine the estimated useful lives over which the costs are amortized, the amount of internal-use software development costs we capitalize and amortize could change in future periods.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During the years ended December 31, 2022 and 2023, we capitalized internal use software development costs in the amount of $5.0 million and $4.1 million, respectively.</w:t>
      </w:r>
    </w:p>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Recently Adopted Accounting Pronouncements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See the section titled “Summary of Significant Accounting Policies” in note 2 to our consolidated financial statements included elsewhere in this Annual Report for more information.</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72</w:t>
      </w:r>
    </w:p>
    <w:p>
      <w:pPr>
        <w:pStyle w:val="HorizontalLine"/>
        <w:bidi w:val="0"/>
        <w:spacing w:before="200" w:after="200"/>
        <w:jc w:val="left"/>
        <w:rPr/>
      </w:pPr>
      <w:r>
        <w:rPr/>
      </w:r>
    </w:p>
    <w:p>
      <w:pPr>
        <w:pStyle w:val="TextBody"/>
        <w:bidi w:val="0"/>
        <w:spacing w:lineRule="auto" w:line="300" w:before="0" w:after="0"/>
        <w:jc w:val="both"/>
        <w:rPr>
          <w:b/>
          <w:sz w:val="20"/>
        </w:rPr>
      </w:pPr>
      <w:r>
        <w:rPr>
          <w:b/>
          <w:sz w:val="20"/>
        </w:rPr>
        <w:t>JOBS Act Accounting Election</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certain accounting standards until those standards would otherwise apply to private companies. We have elected to take advantage of this extended transition period until the earlier of the date we (x) are no longer an emerging growth company, or (y) affirmatively and irrevocably opt out of the extended transition period. As a result, our operating results and financial statements may not be comparable to those of companies that comply with new or revised accounting pronouncements as of public company effective dates.</w:t>
      </w:r>
    </w:p>
    <w:p>
      <w:pPr>
        <w:pStyle w:val="TextBody"/>
        <w:bidi w:val="0"/>
        <w:spacing w:lineRule="auto" w:line="300" w:before="0" w:after="0"/>
        <w:jc w:val="both"/>
        <w:rPr/>
      </w:pPr>
      <w:r>
        <w:rPr/>
        <w:t> </w:t>
      </w:r>
    </w:p>
    <w:p>
      <w:pPr>
        <w:pStyle w:val="TextBody"/>
        <w:bidi w:val="0"/>
        <w:spacing w:lineRule="auto" w:line="300" w:before="0" w:after="0"/>
        <w:jc w:val="both"/>
        <w:rPr>
          <w:b/>
          <w:sz w:val="20"/>
        </w:rPr>
      </w:pPr>
      <w:bookmarkStart w:id="161" w:name="Item6"/>
      <w:bookmarkEnd w:id="161"/>
      <w:r>
        <w:rPr>
          <w:b/>
          <w:sz w:val="20"/>
        </w:rPr>
        <w:t>Item 6. Directors, Senior Management and Employees</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162" w:name="z5fb2328cc25f4f56a4ff80ff8e165812"/>
      <w:bookmarkStart w:id="163" w:name="z5fb2328cc25f4f56a4ff80ff8e165812"/>
      <w:bookmarkEnd w:id="163"/>
    </w:p>
    <w:tbl>
      <w:tblPr>
        <w:tblW w:w="3820" w:type="dxa"/>
        <w:jc w:val="left"/>
        <w:tblInd w:w="0" w:type="dxa"/>
        <w:tblLayout w:type="fixed"/>
        <w:tblCellMar>
          <w:top w:w="0" w:type="dxa"/>
          <w:left w:w="0" w:type="dxa"/>
          <w:bottom w:w="0" w:type="dxa"/>
          <w:right w:w="0" w:type="dxa"/>
        </w:tblCellMar>
      </w:tblPr>
      <w:tblGrid>
        <w:gridCol w:w="275"/>
        <w:gridCol w:w="3545"/>
      </w:tblGrid>
      <w:tr>
        <w:trPr/>
        <w:tc>
          <w:tcPr>
            <w:tcW w:w="275" w:type="dxa"/>
            <w:tcBorders/>
            <w:vAlign w:val="center"/>
          </w:tcPr>
          <w:p>
            <w:pPr>
              <w:pStyle w:val="TableContents"/>
              <w:bidi w:val="0"/>
              <w:spacing w:lineRule="auto" w:line="300" w:before="0" w:after="0"/>
              <w:jc w:val="both"/>
              <w:rPr>
                <w:b/>
              </w:rPr>
            </w:pPr>
            <w:r>
              <w:rPr>
                <w:b/>
              </w:rPr>
              <w:t>A.</w:t>
            </w:r>
          </w:p>
        </w:tc>
        <w:tc>
          <w:tcPr>
            <w:tcW w:w="3545" w:type="dxa"/>
            <w:tcBorders/>
            <w:vAlign w:val="center"/>
          </w:tcPr>
          <w:p>
            <w:pPr>
              <w:pStyle w:val="TableContents"/>
              <w:bidi w:val="0"/>
              <w:spacing w:lineRule="auto" w:line="300" w:before="0" w:after="0"/>
              <w:jc w:val="both"/>
              <w:rPr>
                <w:b/>
              </w:rPr>
            </w:pPr>
            <w:r>
              <w:rPr>
                <w:b/>
              </w:rPr>
              <w:t>Directors and Senior Management</w:t>
            </w:r>
          </w:p>
        </w:tc>
      </w:tr>
    </w:tbl>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following table sets forth the name and position of each of our executive officers and directors as of February 29, 2024:</w:t>
      </w:r>
    </w:p>
    <w:p>
      <w:pPr>
        <w:pStyle w:val="TextBody"/>
        <w:bidi w:val="0"/>
        <w:spacing w:lineRule="auto" w:line="300" w:before="0" w:after="0"/>
        <w:ind w:left="0" w:right="0" w:firstLine="490"/>
        <w:jc w:val="both"/>
        <w:rPr/>
      </w:pPr>
      <w:r>
        <w:rPr/>
      </w:r>
    </w:p>
    <w:p>
      <w:pPr>
        <w:pStyle w:val="Normal"/>
        <w:bidi w:val="0"/>
        <w:spacing w:before="0" w:after="0"/>
        <w:jc w:val="left"/>
        <w:rPr>
          <w:sz w:val="4"/>
          <w:szCs w:val="4"/>
        </w:rPr>
      </w:pPr>
      <w:r>
        <w:rPr>
          <w:sz w:val="4"/>
          <w:szCs w:val="4"/>
        </w:rPr>
      </w:r>
      <w:bookmarkStart w:id="164" w:name="zb60df1a312b048989969c787816f1cb2"/>
      <w:bookmarkStart w:id="165" w:name="zb60df1a312b048989969c787816f1cb2"/>
      <w:bookmarkEnd w:id="165"/>
    </w:p>
    <w:tbl>
      <w:tblPr>
        <w:tblW w:w="7470" w:type="dxa"/>
        <w:jc w:val="left"/>
        <w:tblInd w:w="0" w:type="dxa"/>
        <w:tblLayout w:type="fixed"/>
        <w:tblCellMar>
          <w:top w:w="0" w:type="dxa"/>
          <w:left w:w="0" w:type="dxa"/>
          <w:bottom w:w="28" w:type="dxa"/>
          <w:right w:w="0" w:type="dxa"/>
        </w:tblCellMar>
      </w:tblPr>
      <w:tblGrid>
        <w:gridCol w:w="2660"/>
        <w:gridCol w:w="180"/>
        <w:gridCol w:w="545"/>
        <w:gridCol w:w="143"/>
        <w:gridCol w:w="3942"/>
      </w:tblGrid>
      <w:tr>
        <w:trPr/>
        <w:tc>
          <w:tcPr>
            <w:tcW w:w="2660" w:type="dxa"/>
            <w:tcBorders>
              <w:bottom w:val="single" w:sz="12" w:space="0" w:color="000000"/>
            </w:tcBorders>
            <w:vAlign w:val="center"/>
          </w:tcPr>
          <w:p>
            <w:pPr>
              <w:pStyle w:val="TableContents"/>
              <w:bidi w:val="0"/>
              <w:spacing w:lineRule="auto" w:line="300" w:before="0" w:after="0"/>
              <w:jc w:val="both"/>
              <w:rPr>
                <w:b/>
              </w:rPr>
            </w:pPr>
            <w:r>
              <w:rPr>
                <w:b/>
              </w:rPr>
              <w:t>Name</w:t>
            </w:r>
          </w:p>
        </w:tc>
        <w:tc>
          <w:tcPr>
            <w:tcW w:w="180" w:type="dxa"/>
            <w:tcBorders/>
            <w:tcMar>
              <w:top w:w="60" w:type="dxa"/>
              <w:left w:w="60" w:type="dxa"/>
              <w:bottom w:w="60" w:type="dxa"/>
              <w:right w:w="60" w:type="dxa"/>
            </w:tcMar>
            <w:vAlign w:val="center"/>
          </w:tcPr>
          <w:p>
            <w:pPr>
              <w:pStyle w:val="TableContents"/>
              <w:bidi w:val="0"/>
              <w:spacing w:lineRule="auto" w:line="300" w:before="0" w:after="0"/>
              <w:jc w:val="both"/>
              <w:rPr/>
            </w:pPr>
            <w:r>
              <w:rPr/>
              <w:t> </w:t>
            </w:r>
          </w:p>
        </w:tc>
        <w:tc>
          <w:tcPr>
            <w:tcW w:w="545" w:type="dxa"/>
            <w:tcBorders>
              <w:bottom w:val="single" w:sz="12" w:space="0" w:color="000000"/>
            </w:tcBorders>
            <w:vAlign w:val="center"/>
          </w:tcPr>
          <w:p>
            <w:pPr>
              <w:pStyle w:val="TableContents"/>
              <w:bidi w:val="0"/>
              <w:spacing w:lineRule="auto" w:line="300" w:before="0" w:after="0"/>
              <w:jc w:val="center"/>
              <w:rPr>
                <w:b/>
              </w:rPr>
            </w:pPr>
            <w:r>
              <w:rPr>
                <w:b/>
              </w:rPr>
              <w:t>Age</w:t>
            </w:r>
          </w:p>
        </w:tc>
        <w:tc>
          <w:tcPr>
            <w:tcW w:w="143" w:type="dxa"/>
            <w:tcBorders/>
            <w:tcMar>
              <w:top w:w="60" w:type="dxa"/>
              <w:left w:w="60" w:type="dxa"/>
              <w:bottom w:w="60" w:type="dxa"/>
              <w:right w:w="60" w:type="dxa"/>
            </w:tcMar>
            <w:vAlign w:val="center"/>
          </w:tcPr>
          <w:p>
            <w:pPr>
              <w:pStyle w:val="TableContents"/>
              <w:bidi w:val="0"/>
              <w:spacing w:before="0" w:after="283"/>
              <w:jc w:val="left"/>
              <w:rPr/>
            </w:pPr>
            <w:r>
              <w:rPr/>
            </w:r>
          </w:p>
        </w:tc>
        <w:tc>
          <w:tcPr>
            <w:tcW w:w="3942" w:type="dxa"/>
            <w:tcBorders>
              <w:bottom w:val="single" w:sz="12" w:space="0" w:color="000000"/>
            </w:tcBorders>
            <w:vAlign w:val="center"/>
          </w:tcPr>
          <w:p>
            <w:pPr>
              <w:pStyle w:val="TableContents"/>
              <w:bidi w:val="0"/>
              <w:spacing w:lineRule="auto" w:line="300" w:before="0" w:after="0"/>
              <w:jc w:val="both"/>
              <w:rPr>
                <w:b/>
              </w:rPr>
            </w:pPr>
            <w:r>
              <w:rPr>
                <w:b/>
              </w:rPr>
              <w:t>Position</w:t>
            </w:r>
          </w:p>
        </w:tc>
      </w:tr>
      <w:tr>
        <w:trPr/>
        <w:tc>
          <w:tcPr>
            <w:tcW w:w="2660" w:type="dxa"/>
            <w:tcBorders/>
            <w:tcMar>
              <w:top w:w="60" w:type="dxa"/>
              <w:left w:w="60" w:type="dxa"/>
              <w:bottom w:w="60" w:type="dxa"/>
              <w:right w:w="60" w:type="dxa"/>
            </w:tcMar>
            <w:vAlign w:val="center"/>
          </w:tcPr>
          <w:p>
            <w:pPr>
              <w:pStyle w:val="TableContents"/>
              <w:bidi w:val="0"/>
              <w:spacing w:lineRule="auto" w:line="300" w:before="0" w:after="0"/>
              <w:jc w:val="both"/>
              <w:rPr/>
            </w:pPr>
            <w:r>
              <w:rPr/>
              <w:t> </w:t>
            </w:r>
          </w:p>
        </w:tc>
        <w:tc>
          <w:tcPr>
            <w:tcW w:w="868" w:type="dxa"/>
            <w:gridSpan w:val="3"/>
            <w:tcBorders/>
            <w:tcMar>
              <w:top w:w="60" w:type="dxa"/>
              <w:left w:w="60" w:type="dxa"/>
              <w:bottom w:w="60" w:type="dxa"/>
              <w:right w:w="60" w:type="dxa"/>
            </w:tcMar>
            <w:vAlign w:val="center"/>
          </w:tcPr>
          <w:p>
            <w:pPr>
              <w:pStyle w:val="TableContents"/>
              <w:bidi w:val="0"/>
              <w:spacing w:lineRule="auto" w:line="300" w:before="0" w:after="0"/>
              <w:jc w:val="both"/>
              <w:rPr/>
            </w:pPr>
            <w:r>
              <w:rPr/>
              <w:t> </w:t>
            </w:r>
          </w:p>
        </w:tc>
        <w:tc>
          <w:tcPr>
            <w:tcW w:w="3942" w:type="dxa"/>
            <w:tcBorders/>
            <w:tcMar>
              <w:top w:w="60" w:type="dxa"/>
              <w:left w:w="60" w:type="dxa"/>
              <w:bottom w:w="60" w:type="dxa"/>
              <w:right w:w="60" w:type="dxa"/>
            </w:tcMar>
            <w:vAlign w:val="center"/>
          </w:tcPr>
          <w:p>
            <w:pPr>
              <w:pStyle w:val="TableContents"/>
              <w:bidi w:val="0"/>
              <w:spacing w:lineRule="auto" w:line="300" w:before="0" w:after="0"/>
              <w:jc w:val="both"/>
              <w:rPr/>
            </w:pPr>
            <w:r>
              <w:rPr/>
              <w:t> </w:t>
            </w:r>
          </w:p>
        </w:tc>
      </w:tr>
      <w:tr>
        <w:trPr/>
        <w:tc>
          <w:tcPr>
            <w:tcW w:w="2660" w:type="dxa"/>
            <w:tcBorders/>
            <w:shd w:fill="CCEEFF" w:val="clear"/>
            <w:tcMar>
              <w:top w:w="60" w:type="dxa"/>
              <w:left w:w="60" w:type="dxa"/>
              <w:bottom w:w="60" w:type="dxa"/>
              <w:right w:w="60" w:type="dxa"/>
            </w:tcMar>
            <w:vAlign w:val="center"/>
          </w:tcPr>
          <w:p>
            <w:pPr>
              <w:pStyle w:val="TableContents"/>
              <w:bidi w:val="0"/>
              <w:spacing w:lineRule="auto" w:line="300" w:before="0" w:after="0"/>
              <w:jc w:val="both"/>
              <w:rPr>
                <w:i/>
              </w:rPr>
            </w:pPr>
            <w:r>
              <w:rPr>
                <w:i/>
              </w:rPr>
              <w:t>Executive Officers</w:t>
            </w:r>
          </w:p>
        </w:tc>
        <w:tc>
          <w:tcPr>
            <w:tcW w:w="180" w:type="dxa"/>
            <w:tcBorders/>
            <w:shd w:fill="CCEEFF" w:val="clear"/>
            <w:tcMar>
              <w:top w:w="60" w:type="dxa"/>
              <w:left w:w="60" w:type="dxa"/>
              <w:bottom w:w="60" w:type="dxa"/>
              <w:right w:w="60" w:type="dxa"/>
            </w:tcMar>
            <w:vAlign w:val="center"/>
          </w:tcPr>
          <w:p>
            <w:pPr>
              <w:pStyle w:val="TableContents"/>
              <w:bidi w:val="0"/>
              <w:spacing w:before="0" w:after="283"/>
              <w:jc w:val="left"/>
              <w:rPr/>
            </w:pPr>
            <w:r>
              <w:rPr/>
            </w:r>
          </w:p>
        </w:tc>
        <w:tc>
          <w:tcPr>
            <w:tcW w:w="545" w:type="dxa"/>
            <w:tcBorders/>
            <w:shd w:fill="CCEEFF" w:val="clear"/>
            <w:tcMar>
              <w:top w:w="60" w:type="dxa"/>
              <w:left w:w="60" w:type="dxa"/>
              <w:bottom w:w="60" w:type="dxa"/>
              <w:right w:w="60" w:type="dxa"/>
            </w:tcMar>
            <w:vAlign w:val="center"/>
          </w:tcPr>
          <w:p>
            <w:pPr>
              <w:pStyle w:val="TableContents"/>
              <w:bidi w:val="0"/>
              <w:spacing w:lineRule="auto" w:line="300" w:before="0" w:after="0"/>
              <w:jc w:val="center"/>
              <w:rPr/>
            </w:pPr>
            <w:r>
              <w:rPr/>
              <w:t> </w:t>
            </w:r>
          </w:p>
        </w:tc>
        <w:tc>
          <w:tcPr>
            <w:tcW w:w="143" w:type="dxa"/>
            <w:tcBorders/>
            <w:shd w:fill="CCEEFF" w:val="clear"/>
            <w:tcMar>
              <w:top w:w="60" w:type="dxa"/>
              <w:left w:w="60" w:type="dxa"/>
              <w:bottom w:w="60" w:type="dxa"/>
              <w:right w:w="60" w:type="dxa"/>
            </w:tcMar>
            <w:vAlign w:val="center"/>
          </w:tcPr>
          <w:p>
            <w:pPr>
              <w:pStyle w:val="TableContents"/>
              <w:bidi w:val="0"/>
              <w:spacing w:before="0" w:after="283"/>
              <w:jc w:val="left"/>
              <w:rPr/>
            </w:pPr>
            <w:r>
              <w:rPr/>
            </w:r>
          </w:p>
        </w:tc>
        <w:tc>
          <w:tcPr>
            <w:tcW w:w="3942" w:type="dxa"/>
            <w:tcBorders/>
            <w:shd w:fill="CCEEFF" w:val="clear"/>
            <w:tcMar>
              <w:top w:w="60" w:type="dxa"/>
              <w:left w:w="60" w:type="dxa"/>
              <w:bottom w:w="60" w:type="dxa"/>
              <w:right w:w="60" w:type="dxa"/>
            </w:tcMar>
            <w:vAlign w:val="center"/>
          </w:tcPr>
          <w:p>
            <w:pPr>
              <w:pStyle w:val="TableContents"/>
              <w:bidi w:val="0"/>
              <w:spacing w:lineRule="auto" w:line="300" w:before="0" w:after="0"/>
              <w:ind w:left="0" w:right="0" w:firstLine="292"/>
              <w:jc w:val="both"/>
              <w:rPr/>
            </w:pPr>
            <w:r>
              <w:rPr/>
              <w:t> </w:t>
            </w:r>
          </w:p>
        </w:tc>
      </w:tr>
      <w:tr>
        <w:trPr/>
        <w:tc>
          <w:tcPr>
            <w:tcW w:w="2660" w:type="dxa"/>
            <w:tcBorders/>
            <w:tcMar>
              <w:top w:w="60" w:type="dxa"/>
              <w:left w:w="60" w:type="dxa"/>
              <w:bottom w:w="60" w:type="dxa"/>
              <w:right w:w="60" w:type="dxa"/>
            </w:tcMar>
            <w:vAlign w:val="center"/>
          </w:tcPr>
          <w:p>
            <w:pPr>
              <w:pStyle w:val="TableContents"/>
              <w:bidi w:val="0"/>
              <w:spacing w:lineRule="auto" w:line="300" w:before="0" w:after="0"/>
              <w:jc w:val="both"/>
              <w:rPr/>
            </w:pPr>
            <w:r>
              <w:rPr/>
              <w:t>Dan Adika</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r>
          </w:p>
        </w:tc>
        <w:tc>
          <w:tcPr>
            <w:tcW w:w="545" w:type="dxa"/>
            <w:tcBorders/>
            <w:tcMar>
              <w:top w:w="60" w:type="dxa"/>
              <w:left w:w="60" w:type="dxa"/>
              <w:bottom w:w="60" w:type="dxa"/>
              <w:right w:w="60" w:type="dxa"/>
            </w:tcMar>
            <w:vAlign w:val="center"/>
          </w:tcPr>
          <w:p>
            <w:pPr>
              <w:pStyle w:val="TableContents"/>
              <w:bidi w:val="0"/>
              <w:spacing w:lineRule="auto" w:line="300" w:before="0" w:after="0"/>
              <w:jc w:val="center"/>
              <w:rPr/>
            </w:pPr>
            <w:r>
              <w:rPr/>
              <w:t>38</w:t>
            </w:r>
          </w:p>
        </w:tc>
        <w:tc>
          <w:tcPr>
            <w:tcW w:w="143" w:type="dxa"/>
            <w:tcBorders/>
            <w:tcMar>
              <w:top w:w="60" w:type="dxa"/>
              <w:left w:w="60" w:type="dxa"/>
              <w:bottom w:w="60" w:type="dxa"/>
              <w:right w:w="60" w:type="dxa"/>
            </w:tcMar>
            <w:vAlign w:val="center"/>
          </w:tcPr>
          <w:p>
            <w:pPr>
              <w:pStyle w:val="TableContents"/>
              <w:bidi w:val="0"/>
              <w:spacing w:before="0" w:after="283"/>
              <w:jc w:val="left"/>
              <w:rPr/>
            </w:pPr>
            <w:r>
              <w:rPr/>
            </w:r>
          </w:p>
        </w:tc>
        <w:tc>
          <w:tcPr>
            <w:tcW w:w="3942" w:type="dxa"/>
            <w:tcBorders/>
            <w:tcMar>
              <w:top w:w="60" w:type="dxa"/>
              <w:left w:w="60" w:type="dxa"/>
              <w:bottom w:w="60" w:type="dxa"/>
              <w:right w:w="60" w:type="dxa"/>
            </w:tcMar>
            <w:vAlign w:val="center"/>
          </w:tcPr>
          <w:p>
            <w:pPr>
              <w:pStyle w:val="TableContents"/>
              <w:bidi w:val="0"/>
              <w:spacing w:lineRule="auto" w:line="300" w:before="0" w:after="0"/>
              <w:ind w:left="0" w:right="0" w:firstLine="292"/>
              <w:jc w:val="both"/>
              <w:rPr/>
            </w:pPr>
            <w:r>
              <w:rPr/>
              <w:t>Chief Executive Officer and Director</w:t>
            </w:r>
          </w:p>
        </w:tc>
      </w:tr>
      <w:tr>
        <w:trPr/>
        <w:tc>
          <w:tcPr>
            <w:tcW w:w="2660" w:type="dxa"/>
            <w:tcBorders/>
            <w:shd w:fill="CCEEFF" w:val="clear"/>
            <w:tcMar>
              <w:top w:w="60" w:type="dxa"/>
              <w:left w:w="60" w:type="dxa"/>
              <w:bottom w:w="60" w:type="dxa"/>
              <w:right w:w="60" w:type="dxa"/>
            </w:tcMar>
            <w:vAlign w:val="center"/>
          </w:tcPr>
          <w:p>
            <w:pPr>
              <w:pStyle w:val="TableContents"/>
              <w:bidi w:val="0"/>
              <w:spacing w:lineRule="auto" w:line="300" w:before="0" w:after="0"/>
              <w:jc w:val="both"/>
              <w:rPr/>
            </w:pPr>
            <w:r>
              <w:rPr/>
              <w:t>Hagit Ynon</w:t>
            </w:r>
          </w:p>
        </w:tc>
        <w:tc>
          <w:tcPr>
            <w:tcW w:w="180" w:type="dxa"/>
            <w:tcBorders/>
            <w:shd w:fill="CCEEFF" w:val="clear"/>
            <w:tcMar>
              <w:top w:w="60" w:type="dxa"/>
              <w:left w:w="60" w:type="dxa"/>
              <w:bottom w:w="60" w:type="dxa"/>
              <w:right w:w="60" w:type="dxa"/>
            </w:tcMar>
            <w:vAlign w:val="center"/>
          </w:tcPr>
          <w:p>
            <w:pPr>
              <w:pStyle w:val="TableContents"/>
              <w:bidi w:val="0"/>
              <w:spacing w:before="0" w:after="283"/>
              <w:jc w:val="left"/>
              <w:rPr/>
            </w:pPr>
            <w:r>
              <w:rPr/>
            </w:r>
          </w:p>
        </w:tc>
        <w:tc>
          <w:tcPr>
            <w:tcW w:w="545" w:type="dxa"/>
            <w:tcBorders/>
            <w:shd w:fill="CCEEFF" w:val="clear"/>
            <w:tcMar>
              <w:top w:w="60" w:type="dxa"/>
              <w:left w:w="60" w:type="dxa"/>
              <w:bottom w:w="60" w:type="dxa"/>
              <w:right w:w="60" w:type="dxa"/>
            </w:tcMar>
            <w:vAlign w:val="center"/>
          </w:tcPr>
          <w:p>
            <w:pPr>
              <w:pStyle w:val="TableContents"/>
              <w:bidi w:val="0"/>
              <w:spacing w:lineRule="auto" w:line="300" w:before="0" w:after="0"/>
              <w:jc w:val="center"/>
              <w:rPr/>
            </w:pPr>
            <w:r>
              <w:rPr/>
              <w:t>52</w:t>
            </w:r>
          </w:p>
        </w:tc>
        <w:tc>
          <w:tcPr>
            <w:tcW w:w="143" w:type="dxa"/>
            <w:tcBorders/>
            <w:shd w:fill="CCEEFF" w:val="clear"/>
            <w:tcMar>
              <w:top w:w="60" w:type="dxa"/>
              <w:left w:w="60" w:type="dxa"/>
              <w:bottom w:w="60" w:type="dxa"/>
              <w:right w:w="60" w:type="dxa"/>
            </w:tcMar>
            <w:vAlign w:val="center"/>
          </w:tcPr>
          <w:p>
            <w:pPr>
              <w:pStyle w:val="TableContents"/>
              <w:bidi w:val="0"/>
              <w:spacing w:before="0" w:after="283"/>
              <w:jc w:val="left"/>
              <w:rPr/>
            </w:pPr>
            <w:r>
              <w:rPr/>
            </w:r>
          </w:p>
        </w:tc>
        <w:tc>
          <w:tcPr>
            <w:tcW w:w="3942" w:type="dxa"/>
            <w:tcBorders/>
            <w:shd w:fill="CCEEFF" w:val="clear"/>
            <w:tcMar>
              <w:top w:w="60" w:type="dxa"/>
              <w:left w:w="60" w:type="dxa"/>
              <w:bottom w:w="60" w:type="dxa"/>
              <w:right w:w="60" w:type="dxa"/>
            </w:tcMar>
            <w:vAlign w:val="center"/>
          </w:tcPr>
          <w:p>
            <w:pPr>
              <w:pStyle w:val="TableContents"/>
              <w:bidi w:val="0"/>
              <w:spacing w:lineRule="auto" w:line="300" w:before="0" w:after="0"/>
              <w:ind w:left="0" w:right="0" w:firstLine="292"/>
              <w:jc w:val="both"/>
              <w:rPr/>
            </w:pPr>
            <w:r>
              <w:rPr/>
              <w:t>Chief Financial Officer</w:t>
            </w:r>
          </w:p>
        </w:tc>
      </w:tr>
      <w:tr>
        <w:trPr/>
        <w:tc>
          <w:tcPr>
            <w:tcW w:w="2660" w:type="dxa"/>
            <w:tcBorders/>
            <w:tcMar>
              <w:top w:w="60" w:type="dxa"/>
              <w:left w:w="60" w:type="dxa"/>
              <w:bottom w:w="60" w:type="dxa"/>
              <w:right w:w="60" w:type="dxa"/>
            </w:tcMar>
            <w:vAlign w:val="center"/>
          </w:tcPr>
          <w:p>
            <w:pPr>
              <w:pStyle w:val="TableContents"/>
              <w:bidi w:val="0"/>
              <w:spacing w:lineRule="auto" w:line="300" w:before="0" w:after="0"/>
              <w:jc w:val="both"/>
              <w:rPr/>
            </w:pPr>
            <w:r>
              <w:rPr/>
              <w:t>Scott Little</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r>
          </w:p>
        </w:tc>
        <w:tc>
          <w:tcPr>
            <w:tcW w:w="545" w:type="dxa"/>
            <w:tcBorders/>
            <w:tcMar>
              <w:top w:w="60" w:type="dxa"/>
              <w:left w:w="60" w:type="dxa"/>
              <w:bottom w:w="60" w:type="dxa"/>
              <w:right w:w="60" w:type="dxa"/>
            </w:tcMar>
            <w:vAlign w:val="center"/>
          </w:tcPr>
          <w:p>
            <w:pPr>
              <w:pStyle w:val="TableContents"/>
              <w:bidi w:val="0"/>
              <w:spacing w:lineRule="auto" w:line="300" w:before="0" w:after="0"/>
              <w:jc w:val="center"/>
              <w:rPr/>
            </w:pPr>
            <w:r>
              <w:rPr/>
              <w:t>56</w:t>
            </w:r>
          </w:p>
        </w:tc>
        <w:tc>
          <w:tcPr>
            <w:tcW w:w="143" w:type="dxa"/>
            <w:tcBorders/>
            <w:tcMar>
              <w:top w:w="60" w:type="dxa"/>
              <w:left w:w="60" w:type="dxa"/>
              <w:bottom w:w="60" w:type="dxa"/>
              <w:right w:w="60" w:type="dxa"/>
            </w:tcMar>
            <w:vAlign w:val="center"/>
          </w:tcPr>
          <w:p>
            <w:pPr>
              <w:pStyle w:val="TableContents"/>
              <w:bidi w:val="0"/>
              <w:spacing w:before="0" w:after="283"/>
              <w:jc w:val="left"/>
              <w:rPr/>
            </w:pPr>
            <w:r>
              <w:rPr/>
            </w:r>
          </w:p>
        </w:tc>
        <w:tc>
          <w:tcPr>
            <w:tcW w:w="3942" w:type="dxa"/>
            <w:tcBorders/>
            <w:tcMar>
              <w:top w:w="60" w:type="dxa"/>
              <w:left w:w="60" w:type="dxa"/>
              <w:bottom w:w="60" w:type="dxa"/>
              <w:right w:w="60" w:type="dxa"/>
            </w:tcMar>
            <w:vAlign w:val="center"/>
          </w:tcPr>
          <w:p>
            <w:pPr>
              <w:pStyle w:val="TableContents"/>
              <w:bidi w:val="0"/>
              <w:spacing w:lineRule="auto" w:line="300" w:before="0" w:after="0"/>
              <w:ind w:left="0" w:right="0" w:firstLine="292"/>
              <w:jc w:val="both"/>
              <w:rPr/>
            </w:pPr>
            <w:r>
              <w:rPr/>
              <w:t>Chief Revenue Officer</w:t>
            </w:r>
          </w:p>
        </w:tc>
      </w:tr>
      <w:tr>
        <w:trPr/>
        <w:tc>
          <w:tcPr>
            <w:tcW w:w="2660" w:type="dxa"/>
            <w:tcBorders/>
            <w:shd w:fill="CCEEFF" w:val="clear"/>
            <w:tcMar>
              <w:top w:w="60" w:type="dxa"/>
              <w:left w:w="60" w:type="dxa"/>
              <w:bottom w:w="60" w:type="dxa"/>
              <w:right w:w="60" w:type="dxa"/>
            </w:tcMar>
            <w:vAlign w:val="center"/>
          </w:tcPr>
          <w:p>
            <w:pPr>
              <w:pStyle w:val="TableContents"/>
              <w:bidi w:val="0"/>
              <w:spacing w:lineRule="auto" w:line="300" w:before="0" w:after="0"/>
              <w:jc w:val="both"/>
              <w:rPr>
                <w:i/>
              </w:rPr>
            </w:pPr>
            <w:r>
              <w:rPr>
                <w:i/>
              </w:rPr>
              <w:t>Non-Employee Directors</w:t>
            </w:r>
          </w:p>
        </w:tc>
        <w:tc>
          <w:tcPr>
            <w:tcW w:w="180" w:type="dxa"/>
            <w:tcBorders/>
            <w:shd w:fill="CCEEFF" w:val="clear"/>
            <w:tcMar>
              <w:top w:w="60" w:type="dxa"/>
              <w:left w:w="60" w:type="dxa"/>
              <w:bottom w:w="60" w:type="dxa"/>
              <w:right w:w="60" w:type="dxa"/>
            </w:tcMar>
            <w:vAlign w:val="center"/>
          </w:tcPr>
          <w:p>
            <w:pPr>
              <w:pStyle w:val="TableContents"/>
              <w:bidi w:val="0"/>
              <w:spacing w:before="0" w:after="283"/>
              <w:jc w:val="left"/>
              <w:rPr/>
            </w:pPr>
            <w:r>
              <w:rPr/>
            </w:r>
          </w:p>
        </w:tc>
        <w:tc>
          <w:tcPr>
            <w:tcW w:w="545" w:type="dxa"/>
            <w:tcBorders/>
            <w:shd w:fill="CCEEFF" w:val="clear"/>
            <w:tcMar>
              <w:top w:w="60" w:type="dxa"/>
              <w:left w:w="60" w:type="dxa"/>
              <w:bottom w:w="60" w:type="dxa"/>
              <w:right w:w="60" w:type="dxa"/>
            </w:tcMar>
            <w:vAlign w:val="center"/>
          </w:tcPr>
          <w:p>
            <w:pPr>
              <w:pStyle w:val="TableContents"/>
              <w:bidi w:val="0"/>
              <w:spacing w:lineRule="auto" w:line="300" w:before="0" w:after="0"/>
              <w:jc w:val="center"/>
              <w:rPr/>
            </w:pPr>
            <w:r>
              <w:rPr/>
              <w:t> </w:t>
            </w:r>
          </w:p>
        </w:tc>
        <w:tc>
          <w:tcPr>
            <w:tcW w:w="143" w:type="dxa"/>
            <w:tcBorders/>
            <w:shd w:fill="CCEEFF" w:val="clear"/>
            <w:tcMar>
              <w:top w:w="60" w:type="dxa"/>
              <w:left w:w="60" w:type="dxa"/>
              <w:bottom w:w="60" w:type="dxa"/>
              <w:right w:w="60" w:type="dxa"/>
            </w:tcMar>
            <w:vAlign w:val="center"/>
          </w:tcPr>
          <w:p>
            <w:pPr>
              <w:pStyle w:val="TableContents"/>
              <w:bidi w:val="0"/>
              <w:spacing w:before="0" w:after="283"/>
              <w:jc w:val="left"/>
              <w:rPr/>
            </w:pPr>
            <w:r>
              <w:rPr/>
            </w:r>
          </w:p>
        </w:tc>
        <w:tc>
          <w:tcPr>
            <w:tcW w:w="3942" w:type="dxa"/>
            <w:tcBorders/>
            <w:shd w:fill="CCEEFF" w:val="clear"/>
            <w:tcMar>
              <w:top w:w="60" w:type="dxa"/>
              <w:left w:w="60" w:type="dxa"/>
              <w:bottom w:w="60" w:type="dxa"/>
              <w:right w:w="60" w:type="dxa"/>
            </w:tcMar>
            <w:vAlign w:val="center"/>
          </w:tcPr>
          <w:p>
            <w:pPr>
              <w:pStyle w:val="TableContents"/>
              <w:bidi w:val="0"/>
              <w:spacing w:lineRule="auto" w:line="300" w:before="0" w:after="0"/>
              <w:ind w:left="0" w:right="0" w:firstLine="292"/>
              <w:jc w:val="both"/>
              <w:rPr/>
            </w:pPr>
            <w:r>
              <w:rPr/>
              <w:t> </w:t>
            </w:r>
          </w:p>
        </w:tc>
      </w:tr>
      <w:tr>
        <w:trPr/>
        <w:tc>
          <w:tcPr>
            <w:tcW w:w="2660" w:type="dxa"/>
            <w:tcBorders/>
            <w:tcMar>
              <w:top w:w="60" w:type="dxa"/>
              <w:left w:w="60" w:type="dxa"/>
              <w:bottom w:w="60" w:type="dxa"/>
              <w:right w:w="60" w:type="dxa"/>
            </w:tcMar>
            <w:vAlign w:val="center"/>
          </w:tcPr>
          <w:p>
            <w:pPr>
              <w:pStyle w:val="TableContents"/>
              <w:bidi w:val="0"/>
              <w:spacing w:lineRule="auto" w:line="300" w:before="0" w:after="0"/>
              <w:jc w:val="both"/>
              <w:rPr/>
            </w:pPr>
            <w:r>
              <w:rPr/>
              <w:t>Michele Bettencourt (1)(2)</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r>
          </w:p>
        </w:tc>
        <w:tc>
          <w:tcPr>
            <w:tcW w:w="545" w:type="dxa"/>
            <w:tcBorders/>
            <w:tcMar>
              <w:top w:w="60" w:type="dxa"/>
              <w:left w:w="60" w:type="dxa"/>
              <w:bottom w:w="60" w:type="dxa"/>
              <w:right w:w="60" w:type="dxa"/>
            </w:tcMar>
            <w:vAlign w:val="center"/>
          </w:tcPr>
          <w:p>
            <w:pPr>
              <w:pStyle w:val="TableContents"/>
              <w:bidi w:val="0"/>
              <w:spacing w:lineRule="auto" w:line="300" w:before="0" w:after="0"/>
              <w:jc w:val="center"/>
              <w:rPr/>
            </w:pPr>
            <w:r>
              <w:rPr/>
              <w:t>63</w:t>
            </w:r>
          </w:p>
        </w:tc>
        <w:tc>
          <w:tcPr>
            <w:tcW w:w="143" w:type="dxa"/>
            <w:tcBorders/>
            <w:tcMar>
              <w:top w:w="60" w:type="dxa"/>
              <w:left w:w="60" w:type="dxa"/>
              <w:bottom w:w="60" w:type="dxa"/>
              <w:right w:w="60" w:type="dxa"/>
            </w:tcMar>
            <w:vAlign w:val="center"/>
          </w:tcPr>
          <w:p>
            <w:pPr>
              <w:pStyle w:val="TableContents"/>
              <w:bidi w:val="0"/>
              <w:spacing w:before="0" w:after="283"/>
              <w:jc w:val="left"/>
              <w:rPr/>
            </w:pPr>
            <w:r>
              <w:rPr/>
            </w:r>
          </w:p>
        </w:tc>
        <w:tc>
          <w:tcPr>
            <w:tcW w:w="3942" w:type="dxa"/>
            <w:tcBorders/>
            <w:tcMar>
              <w:top w:w="60" w:type="dxa"/>
              <w:left w:w="60" w:type="dxa"/>
              <w:bottom w:w="60" w:type="dxa"/>
              <w:right w:w="60" w:type="dxa"/>
            </w:tcMar>
            <w:vAlign w:val="center"/>
          </w:tcPr>
          <w:p>
            <w:pPr>
              <w:pStyle w:val="TableContents"/>
              <w:bidi w:val="0"/>
              <w:spacing w:lineRule="auto" w:line="300" w:before="0" w:after="0"/>
              <w:ind w:left="0" w:right="0" w:firstLine="292"/>
              <w:jc w:val="both"/>
              <w:rPr/>
            </w:pPr>
            <w:r>
              <w:rPr/>
              <w:t>Chairperson of the Board</w:t>
            </w:r>
          </w:p>
        </w:tc>
      </w:tr>
      <w:tr>
        <w:trPr/>
        <w:tc>
          <w:tcPr>
            <w:tcW w:w="2660" w:type="dxa"/>
            <w:tcBorders/>
            <w:shd w:fill="CCEEFF" w:val="clear"/>
            <w:tcMar>
              <w:top w:w="60" w:type="dxa"/>
              <w:left w:w="60" w:type="dxa"/>
              <w:bottom w:w="60" w:type="dxa"/>
              <w:right w:w="60" w:type="dxa"/>
            </w:tcMar>
            <w:vAlign w:val="center"/>
          </w:tcPr>
          <w:p>
            <w:pPr>
              <w:pStyle w:val="TableContents"/>
              <w:bidi w:val="0"/>
              <w:spacing w:lineRule="auto" w:line="300" w:before="0" w:after="0"/>
              <w:jc w:val="both"/>
              <w:rPr/>
            </w:pPr>
            <w:r>
              <w:rPr/>
              <w:t>Haleli Barath</w:t>
            </w:r>
          </w:p>
        </w:tc>
        <w:tc>
          <w:tcPr>
            <w:tcW w:w="180" w:type="dxa"/>
            <w:tcBorders/>
            <w:shd w:fill="CCEEFF" w:val="clear"/>
            <w:tcMar>
              <w:top w:w="60" w:type="dxa"/>
              <w:left w:w="60" w:type="dxa"/>
              <w:bottom w:w="60" w:type="dxa"/>
              <w:right w:w="60" w:type="dxa"/>
            </w:tcMar>
            <w:vAlign w:val="center"/>
          </w:tcPr>
          <w:p>
            <w:pPr>
              <w:pStyle w:val="TableContents"/>
              <w:bidi w:val="0"/>
              <w:spacing w:before="0" w:after="283"/>
              <w:jc w:val="left"/>
              <w:rPr/>
            </w:pPr>
            <w:r>
              <w:rPr/>
            </w:r>
          </w:p>
        </w:tc>
        <w:tc>
          <w:tcPr>
            <w:tcW w:w="545" w:type="dxa"/>
            <w:tcBorders/>
            <w:shd w:fill="CCEEFF" w:val="clear"/>
            <w:tcMar>
              <w:top w:w="60" w:type="dxa"/>
              <w:left w:w="60" w:type="dxa"/>
              <w:bottom w:w="60" w:type="dxa"/>
              <w:right w:w="60" w:type="dxa"/>
            </w:tcMar>
            <w:vAlign w:val="center"/>
          </w:tcPr>
          <w:p>
            <w:pPr>
              <w:pStyle w:val="TableContents"/>
              <w:bidi w:val="0"/>
              <w:spacing w:lineRule="auto" w:line="300" w:before="0" w:after="0"/>
              <w:jc w:val="center"/>
              <w:rPr/>
            </w:pPr>
            <w:r>
              <w:rPr/>
              <w:t>49</w:t>
            </w:r>
          </w:p>
        </w:tc>
        <w:tc>
          <w:tcPr>
            <w:tcW w:w="143" w:type="dxa"/>
            <w:tcBorders/>
            <w:shd w:fill="CCEEFF" w:val="clear"/>
            <w:tcMar>
              <w:top w:w="60" w:type="dxa"/>
              <w:left w:w="60" w:type="dxa"/>
              <w:bottom w:w="60" w:type="dxa"/>
              <w:right w:w="60" w:type="dxa"/>
            </w:tcMar>
            <w:vAlign w:val="center"/>
          </w:tcPr>
          <w:p>
            <w:pPr>
              <w:pStyle w:val="TableContents"/>
              <w:bidi w:val="0"/>
              <w:spacing w:before="0" w:after="283"/>
              <w:jc w:val="left"/>
              <w:rPr/>
            </w:pPr>
            <w:r>
              <w:rPr/>
            </w:r>
          </w:p>
        </w:tc>
        <w:tc>
          <w:tcPr>
            <w:tcW w:w="3942" w:type="dxa"/>
            <w:tcBorders/>
            <w:shd w:fill="CCEEFF" w:val="clear"/>
            <w:tcMar>
              <w:top w:w="60" w:type="dxa"/>
              <w:left w:w="60" w:type="dxa"/>
              <w:bottom w:w="60" w:type="dxa"/>
              <w:right w:w="60" w:type="dxa"/>
            </w:tcMar>
            <w:vAlign w:val="center"/>
          </w:tcPr>
          <w:p>
            <w:pPr>
              <w:pStyle w:val="TableContents"/>
              <w:bidi w:val="0"/>
              <w:spacing w:lineRule="auto" w:line="300" w:before="0" w:after="0"/>
              <w:ind w:left="0" w:right="0" w:firstLine="292"/>
              <w:jc w:val="both"/>
              <w:rPr/>
            </w:pPr>
            <w:r>
              <w:rPr/>
              <w:t>Director</w:t>
            </w:r>
          </w:p>
        </w:tc>
      </w:tr>
      <w:tr>
        <w:trPr/>
        <w:tc>
          <w:tcPr>
            <w:tcW w:w="2660" w:type="dxa"/>
            <w:tcBorders/>
            <w:tcMar>
              <w:top w:w="60" w:type="dxa"/>
              <w:left w:w="60" w:type="dxa"/>
              <w:bottom w:w="60" w:type="dxa"/>
              <w:right w:w="60" w:type="dxa"/>
            </w:tcMar>
            <w:vAlign w:val="center"/>
          </w:tcPr>
          <w:p>
            <w:pPr>
              <w:pStyle w:val="TableContents"/>
              <w:bidi w:val="0"/>
              <w:spacing w:lineRule="auto" w:line="300" w:before="0" w:after="0"/>
              <w:jc w:val="both"/>
              <w:rPr/>
            </w:pPr>
            <w:r>
              <w:rPr/>
              <w:t>Menashe Ezra (1)(4)</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r>
          </w:p>
        </w:tc>
        <w:tc>
          <w:tcPr>
            <w:tcW w:w="545" w:type="dxa"/>
            <w:tcBorders/>
            <w:tcMar>
              <w:top w:w="60" w:type="dxa"/>
              <w:left w:w="60" w:type="dxa"/>
              <w:bottom w:w="60" w:type="dxa"/>
              <w:right w:w="60" w:type="dxa"/>
            </w:tcMar>
            <w:vAlign w:val="center"/>
          </w:tcPr>
          <w:p>
            <w:pPr>
              <w:pStyle w:val="TableContents"/>
              <w:bidi w:val="0"/>
              <w:spacing w:lineRule="auto" w:line="300" w:before="0" w:after="0"/>
              <w:jc w:val="center"/>
              <w:rPr/>
            </w:pPr>
            <w:r>
              <w:rPr/>
              <w:t>71</w:t>
            </w:r>
          </w:p>
        </w:tc>
        <w:tc>
          <w:tcPr>
            <w:tcW w:w="143" w:type="dxa"/>
            <w:tcBorders/>
            <w:tcMar>
              <w:top w:w="60" w:type="dxa"/>
              <w:left w:w="60" w:type="dxa"/>
              <w:bottom w:w="60" w:type="dxa"/>
              <w:right w:w="60" w:type="dxa"/>
            </w:tcMar>
            <w:vAlign w:val="center"/>
          </w:tcPr>
          <w:p>
            <w:pPr>
              <w:pStyle w:val="TableContents"/>
              <w:bidi w:val="0"/>
              <w:spacing w:before="0" w:after="283"/>
              <w:jc w:val="left"/>
              <w:rPr/>
            </w:pPr>
            <w:r>
              <w:rPr/>
            </w:r>
          </w:p>
        </w:tc>
        <w:tc>
          <w:tcPr>
            <w:tcW w:w="3942" w:type="dxa"/>
            <w:tcBorders/>
            <w:tcMar>
              <w:top w:w="60" w:type="dxa"/>
              <w:left w:w="60" w:type="dxa"/>
              <w:bottom w:w="60" w:type="dxa"/>
              <w:right w:w="60" w:type="dxa"/>
            </w:tcMar>
            <w:vAlign w:val="center"/>
          </w:tcPr>
          <w:p>
            <w:pPr>
              <w:pStyle w:val="TableContents"/>
              <w:bidi w:val="0"/>
              <w:spacing w:lineRule="auto" w:line="300" w:before="0" w:after="0"/>
              <w:ind w:left="0" w:right="0" w:firstLine="292"/>
              <w:jc w:val="both"/>
              <w:rPr/>
            </w:pPr>
            <w:r>
              <w:rPr/>
              <w:t>Director</w:t>
            </w:r>
          </w:p>
        </w:tc>
      </w:tr>
      <w:tr>
        <w:trPr/>
        <w:tc>
          <w:tcPr>
            <w:tcW w:w="2660" w:type="dxa"/>
            <w:tcBorders/>
            <w:shd w:fill="CCEEFF" w:val="clear"/>
            <w:tcMar>
              <w:top w:w="60" w:type="dxa"/>
              <w:left w:w="60" w:type="dxa"/>
              <w:bottom w:w="60" w:type="dxa"/>
              <w:right w:w="60" w:type="dxa"/>
            </w:tcMar>
            <w:vAlign w:val="center"/>
          </w:tcPr>
          <w:p>
            <w:pPr>
              <w:pStyle w:val="TableContents"/>
              <w:bidi w:val="0"/>
              <w:spacing w:lineRule="auto" w:line="300" w:before="0" w:after="0"/>
              <w:jc w:val="both"/>
              <w:rPr/>
            </w:pPr>
            <w:r>
              <w:rPr/>
              <w:t>Ron Gutler (1)(2)(3)(4)</w:t>
            </w:r>
          </w:p>
        </w:tc>
        <w:tc>
          <w:tcPr>
            <w:tcW w:w="180" w:type="dxa"/>
            <w:tcBorders/>
            <w:shd w:fill="CCEEFF" w:val="clear"/>
            <w:tcMar>
              <w:top w:w="60" w:type="dxa"/>
              <w:left w:w="60" w:type="dxa"/>
              <w:bottom w:w="60" w:type="dxa"/>
              <w:right w:w="60" w:type="dxa"/>
            </w:tcMar>
            <w:vAlign w:val="center"/>
          </w:tcPr>
          <w:p>
            <w:pPr>
              <w:pStyle w:val="TableContents"/>
              <w:bidi w:val="0"/>
              <w:spacing w:before="0" w:after="283"/>
              <w:jc w:val="left"/>
              <w:rPr/>
            </w:pPr>
            <w:r>
              <w:rPr/>
            </w:r>
          </w:p>
        </w:tc>
        <w:tc>
          <w:tcPr>
            <w:tcW w:w="545" w:type="dxa"/>
            <w:tcBorders/>
            <w:shd w:fill="CCEEFF" w:val="clear"/>
            <w:tcMar>
              <w:top w:w="60" w:type="dxa"/>
              <w:left w:w="60" w:type="dxa"/>
              <w:bottom w:w="60" w:type="dxa"/>
              <w:right w:w="60" w:type="dxa"/>
            </w:tcMar>
            <w:vAlign w:val="center"/>
          </w:tcPr>
          <w:p>
            <w:pPr>
              <w:pStyle w:val="TableContents"/>
              <w:bidi w:val="0"/>
              <w:spacing w:lineRule="auto" w:line="300" w:before="0" w:after="0"/>
              <w:jc w:val="center"/>
              <w:rPr/>
            </w:pPr>
            <w:r>
              <w:rPr/>
              <w:t>66</w:t>
            </w:r>
          </w:p>
        </w:tc>
        <w:tc>
          <w:tcPr>
            <w:tcW w:w="143" w:type="dxa"/>
            <w:tcBorders/>
            <w:shd w:fill="CCEEFF" w:val="clear"/>
            <w:tcMar>
              <w:top w:w="60" w:type="dxa"/>
              <w:left w:w="60" w:type="dxa"/>
              <w:bottom w:w="60" w:type="dxa"/>
              <w:right w:w="60" w:type="dxa"/>
            </w:tcMar>
            <w:vAlign w:val="center"/>
          </w:tcPr>
          <w:p>
            <w:pPr>
              <w:pStyle w:val="TableContents"/>
              <w:bidi w:val="0"/>
              <w:spacing w:before="0" w:after="283"/>
              <w:jc w:val="left"/>
              <w:rPr/>
            </w:pPr>
            <w:r>
              <w:rPr/>
            </w:r>
          </w:p>
        </w:tc>
        <w:tc>
          <w:tcPr>
            <w:tcW w:w="3942" w:type="dxa"/>
            <w:tcBorders/>
            <w:shd w:fill="CCEEFF" w:val="clear"/>
            <w:tcMar>
              <w:top w:w="60" w:type="dxa"/>
              <w:left w:w="60" w:type="dxa"/>
              <w:bottom w:w="60" w:type="dxa"/>
              <w:right w:w="60" w:type="dxa"/>
            </w:tcMar>
            <w:vAlign w:val="center"/>
          </w:tcPr>
          <w:p>
            <w:pPr>
              <w:pStyle w:val="TableContents"/>
              <w:bidi w:val="0"/>
              <w:spacing w:lineRule="auto" w:line="300" w:before="0" w:after="0"/>
              <w:ind w:left="0" w:right="0" w:firstLine="292"/>
              <w:jc w:val="both"/>
              <w:rPr/>
            </w:pPr>
            <w:r>
              <w:rPr/>
              <w:t>Director</w:t>
            </w:r>
          </w:p>
        </w:tc>
      </w:tr>
      <w:tr>
        <w:trPr/>
        <w:tc>
          <w:tcPr>
            <w:tcW w:w="2660" w:type="dxa"/>
            <w:tcBorders/>
            <w:tcMar>
              <w:top w:w="60" w:type="dxa"/>
              <w:left w:w="60" w:type="dxa"/>
              <w:bottom w:w="60" w:type="dxa"/>
              <w:right w:w="60" w:type="dxa"/>
            </w:tcMar>
            <w:vAlign w:val="center"/>
          </w:tcPr>
          <w:p>
            <w:pPr>
              <w:pStyle w:val="TableContents"/>
              <w:bidi w:val="0"/>
              <w:spacing w:lineRule="auto" w:line="300" w:before="0" w:after="0"/>
              <w:jc w:val="both"/>
              <w:rPr/>
            </w:pPr>
            <w:r>
              <w:rPr/>
              <w:t>Jeff Horing (1)(4)</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r>
          </w:p>
        </w:tc>
        <w:tc>
          <w:tcPr>
            <w:tcW w:w="545" w:type="dxa"/>
            <w:tcBorders/>
            <w:tcMar>
              <w:top w:w="60" w:type="dxa"/>
              <w:left w:w="60" w:type="dxa"/>
              <w:bottom w:w="60" w:type="dxa"/>
              <w:right w:w="60" w:type="dxa"/>
            </w:tcMar>
            <w:vAlign w:val="center"/>
          </w:tcPr>
          <w:p>
            <w:pPr>
              <w:pStyle w:val="TableContents"/>
              <w:bidi w:val="0"/>
              <w:spacing w:lineRule="auto" w:line="300" w:before="0" w:after="0"/>
              <w:jc w:val="center"/>
              <w:rPr/>
            </w:pPr>
            <w:r>
              <w:rPr/>
              <w:t>59</w:t>
            </w:r>
          </w:p>
        </w:tc>
        <w:tc>
          <w:tcPr>
            <w:tcW w:w="143" w:type="dxa"/>
            <w:tcBorders/>
            <w:tcMar>
              <w:top w:w="60" w:type="dxa"/>
              <w:left w:w="60" w:type="dxa"/>
              <w:bottom w:w="60" w:type="dxa"/>
              <w:right w:w="60" w:type="dxa"/>
            </w:tcMar>
            <w:vAlign w:val="center"/>
          </w:tcPr>
          <w:p>
            <w:pPr>
              <w:pStyle w:val="TableContents"/>
              <w:bidi w:val="0"/>
              <w:spacing w:before="0" w:after="283"/>
              <w:jc w:val="left"/>
              <w:rPr/>
            </w:pPr>
            <w:r>
              <w:rPr/>
            </w:r>
          </w:p>
        </w:tc>
        <w:tc>
          <w:tcPr>
            <w:tcW w:w="3942" w:type="dxa"/>
            <w:tcBorders/>
            <w:tcMar>
              <w:top w:w="60" w:type="dxa"/>
              <w:left w:w="60" w:type="dxa"/>
              <w:bottom w:w="60" w:type="dxa"/>
              <w:right w:w="60" w:type="dxa"/>
            </w:tcMar>
            <w:vAlign w:val="center"/>
          </w:tcPr>
          <w:p>
            <w:pPr>
              <w:pStyle w:val="TableContents"/>
              <w:bidi w:val="0"/>
              <w:spacing w:lineRule="auto" w:line="300" w:before="0" w:after="0"/>
              <w:ind w:left="0" w:right="0" w:firstLine="292"/>
              <w:jc w:val="both"/>
              <w:rPr/>
            </w:pPr>
            <w:r>
              <w:rPr/>
              <w:t>Director</w:t>
            </w:r>
          </w:p>
        </w:tc>
      </w:tr>
      <w:tr>
        <w:trPr/>
        <w:tc>
          <w:tcPr>
            <w:tcW w:w="2660" w:type="dxa"/>
            <w:tcBorders/>
            <w:shd w:fill="CCEEFF" w:val="clear"/>
            <w:tcMar>
              <w:top w:w="60" w:type="dxa"/>
              <w:left w:w="60" w:type="dxa"/>
              <w:bottom w:w="60" w:type="dxa"/>
              <w:right w:w="60" w:type="dxa"/>
            </w:tcMar>
            <w:vAlign w:val="center"/>
          </w:tcPr>
          <w:p>
            <w:pPr>
              <w:pStyle w:val="TableContents"/>
              <w:bidi w:val="0"/>
              <w:spacing w:lineRule="auto" w:line="300" w:before="0" w:after="0"/>
              <w:jc w:val="both"/>
              <w:rPr/>
            </w:pPr>
            <w:r>
              <w:rPr/>
              <w:t>Rory O’Driscoll (1)(3)</w:t>
            </w:r>
          </w:p>
        </w:tc>
        <w:tc>
          <w:tcPr>
            <w:tcW w:w="180" w:type="dxa"/>
            <w:tcBorders/>
            <w:shd w:fill="CCEEFF" w:val="clear"/>
            <w:tcMar>
              <w:top w:w="60" w:type="dxa"/>
              <w:left w:w="60" w:type="dxa"/>
              <w:bottom w:w="60" w:type="dxa"/>
              <w:right w:w="60" w:type="dxa"/>
            </w:tcMar>
            <w:vAlign w:val="center"/>
          </w:tcPr>
          <w:p>
            <w:pPr>
              <w:pStyle w:val="TableContents"/>
              <w:bidi w:val="0"/>
              <w:spacing w:before="0" w:after="283"/>
              <w:jc w:val="left"/>
              <w:rPr/>
            </w:pPr>
            <w:r>
              <w:rPr/>
            </w:r>
          </w:p>
        </w:tc>
        <w:tc>
          <w:tcPr>
            <w:tcW w:w="545" w:type="dxa"/>
            <w:tcBorders/>
            <w:shd w:fill="CCEEFF" w:val="clear"/>
            <w:tcMar>
              <w:top w:w="60" w:type="dxa"/>
              <w:left w:w="60" w:type="dxa"/>
              <w:bottom w:w="60" w:type="dxa"/>
              <w:right w:w="60" w:type="dxa"/>
            </w:tcMar>
            <w:vAlign w:val="center"/>
          </w:tcPr>
          <w:p>
            <w:pPr>
              <w:pStyle w:val="TableContents"/>
              <w:bidi w:val="0"/>
              <w:spacing w:lineRule="auto" w:line="300" w:before="0" w:after="0"/>
              <w:jc w:val="center"/>
              <w:rPr/>
            </w:pPr>
            <w:r>
              <w:rPr/>
              <w:t>59</w:t>
            </w:r>
          </w:p>
        </w:tc>
        <w:tc>
          <w:tcPr>
            <w:tcW w:w="143" w:type="dxa"/>
            <w:tcBorders/>
            <w:shd w:fill="CCEEFF" w:val="clear"/>
            <w:tcMar>
              <w:top w:w="60" w:type="dxa"/>
              <w:left w:w="60" w:type="dxa"/>
              <w:bottom w:w="60" w:type="dxa"/>
              <w:right w:w="60" w:type="dxa"/>
            </w:tcMar>
            <w:vAlign w:val="center"/>
          </w:tcPr>
          <w:p>
            <w:pPr>
              <w:pStyle w:val="TableContents"/>
              <w:bidi w:val="0"/>
              <w:spacing w:before="0" w:after="283"/>
              <w:jc w:val="left"/>
              <w:rPr/>
            </w:pPr>
            <w:r>
              <w:rPr/>
            </w:r>
          </w:p>
        </w:tc>
        <w:tc>
          <w:tcPr>
            <w:tcW w:w="3942" w:type="dxa"/>
            <w:tcBorders/>
            <w:shd w:fill="CCEEFF" w:val="clear"/>
            <w:tcMar>
              <w:top w:w="60" w:type="dxa"/>
              <w:left w:w="60" w:type="dxa"/>
              <w:bottom w:w="60" w:type="dxa"/>
              <w:right w:w="60" w:type="dxa"/>
            </w:tcMar>
            <w:vAlign w:val="center"/>
          </w:tcPr>
          <w:p>
            <w:pPr>
              <w:pStyle w:val="TableContents"/>
              <w:bidi w:val="0"/>
              <w:spacing w:lineRule="auto" w:line="300" w:before="0" w:after="0"/>
              <w:ind w:left="0" w:right="0" w:firstLine="292"/>
              <w:jc w:val="both"/>
              <w:rPr/>
            </w:pPr>
            <w:r>
              <w:rPr/>
              <w:t>Director</w:t>
            </w:r>
          </w:p>
        </w:tc>
      </w:tr>
      <w:tr>
        <w:trPr/>
        <w:tc>
          <w:tcPr>
            <w:tcW w:w="2660" w:type="dxa"/>
            <w:tcBorders/>
            <w:tcMar>
              <w:top w:w="60" w:type="dxa"/>
              <w:left w:w="60" w:type="dxa"/>
              <w:bottom w:w="60" w:type="dxa"/>
              <w:right w:w="60" w:type="dxa"/>
            </w:tcMar>
            <w:vAlign w:val="center"/>
          </w:tcPr>
          <w:p>
            <w:pPr>
              <w:pStyle w:val="TableContents"/>
              <w:bidi w:val="0"/>
              <w:spacing w:lineRule="auto" w:line="300" w:before="0" w:after="0"/>
              <w:jc w:val="both"/>
              <w:rPr/>
            </w:pPr>
            <w:r>
              <w:rPr/>
              <w:t>Michael Risman (1)(4)</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r>
          </w:p>
        </w:tc>
        <w:tc>
          <w:tcPr>
            <w:tcW w:w="545" w:type="dxa"/>
            <w:tcBorders/>
            <w:tcMar>
              <w:top w:w="60" w:type="dxa"/>
              <w:left w:w="60" w:type="dxa"/>
              <w:bottom w:w="60" w:type="dxa"/>
              <w:right w:w="60" w:type="dxa"/>
            </w:tcMar>
            <w:vAlign w:val="center"/>
          </w:tcPr>
          <w:p>
            <w:pPr>
              <w:pStyle w:val="TableContents"/>
              <w:bidi w:val="0"/>
              <w:spacing w:lineRule="auto" w:line="300" w:before="0" w:after="0"/>
              <w:jc w:val="center"/>
              <w:rPr/>
            </w:pPr>
            <w:r>
              <w:rPr/>
              <w:t>55</w:t>
            </w:r>
          </w:p>
        </w:tc>
        <w:tc>
          <w:tcPr>
            <w:tcW w:w="143" w:type="dxa"/>
            <w:tcBorders/>
            <w:tcMar>
              <w:top w:w="60" w:type="dxa"/>
              <w:left w:w="60" w:type="dxa"/>
              <w:bottom w:w="60" w:type="dxa"/>
              <w:right w:w="60" w:type="dxa"/>
            </w:tcMar>
            <w:vAlign w:val="center"/>
          </w:tcPr>
          <w:p>
            <w:pPr>
              <w:pStyle w:val="TableContents"/>
              <w:bidi w:val="0"/>
              <w:spacing w:before="0" w:after="283"/>
              <w:jc w:val="left"/>
              <w:rPr/>
            </w:pPr>
            <w:r>
              <w:rPr/>
            </w:r>
          </w:p>
        </w:tc>
        <w:tc>
          <w:tcPr>
            <w:tcW w:w="3942" w:type="dxa"/>
            <w:tcBorders/>
            <w:tcMar>
              <w:top w:w="60" w:type="dxa"/>
              <w:left w:w="60" w:type="dxa"/>
              <w:bottom w:w="60" w:type="dxa"/>
              <w:right w:w="60" w:type="dxa"/>
            </w:tcMar>
            <w:vAlign w:val="center"/>
          </w:tcPr>
          <w:p>
            <w:pPr>
              <w:pStyle w:val="TableContents"/>
              <w:bidi w:val="0"/>
              <w:spacing w:lineRule="auto" w:line="300" w:before="0" w:after="0"/>
              <w:ind w:left="0" w:right="0" w:firstLine="292"/>
              <w:jc w:val="both"/>
              <w:rPr/>
            </w:pPr>
            <w:r>
              <w:rPr/>
              <w:t>Director</w:t>
            </w:r>
          </w:p>
        </w:tc>
      </w:tr>
      <w:tr>
        <w:trPr/>
        <w:tc>
          <w:tcPr>
            <w:tcW w:w="2660" w:type="dxa"/>
            <w:tcBorders/>
            <w:shd w:fill="CCEEFF" w:val="clear"/>
            <w:tcMar>
              <w:top w:w="60" w:type="dxa"/>
              <w:left w:w="60" w:type="dxa"/>
              <w:bottom w:w="60" w:type="dxa"/>
              <w:right w:w="60" w:type="dxa"/>
            </w:tcMar>
            <w:vAlign w:val="center"/>
          </w:tcPr>
          <w:p>
            <w:pPr>
              <w:pStyle w:val="TableContents"/>
              <w:bidi w:val="0"/>
              <w:spacing w:lineRule="auto" w:line="300" w:before="0" w:after="0"/>
              <w:jc w:val="both"/>
              <w:rPr/>
            </w:pPr>
            <w:r>
              <w:rPr/>
              <w:t>Roy Saar (1)(2)(3)</w:t>
            </w:r>
          </w:p>
        </w:tc>
        <w:tc>
          <w:tcPr>
            <w:tcW w:w="180" w:type="dxa"/>
            <w:tcBorders/>
            <w:shd w:fill="CCEEFF" w:val="clear"/>
            <w:tcMar>
              <w:top w:w="60" w:type="dxa"/>
              <w:left w:w="60" w:type="dxa"/>
              <w:bottom w:w="60" w:type="dxa"/>
              <w:right w:w="60" w:type="dxa"/>
            </w:tcMar>
            <w:vAlign w:val="center"/>
          </w:tcPr>
          <w:p>
            <w:pPr>
              <w:pStyle w:val="TableContents"/>
              <w:bidi w:val="0"/>
              <w:spacing w:before="0" w:after="283"/>
              <w:jc w:val="left"/>
              <w:rPr/>
            </w:pPr>
            <w:r>
              <w:rPr/>
            </w:r>
          </w:p>
        </w:tc>
        <w:tc>
          <w:tcPr>
            <w:tcW w:w="545" w:type="dxa"/>
            <w:tcBorders/>
            <w:shd w:fill="CCEEFF" w:val="clear"/>
            <w:tcMar>
              <w:top w:w="60" w:type="dxa"/>
              <w:left w:w="60" w:type="dxa"/>
              <w:bottom w:w="60" w:type="dxa"/>
              <w:right w:w="60" w:type="dxa"/>
            </w:tcMar>
            <w:vAlign w:val="center"/>
          </w:tcPr>
          <w:p>
            <w:pPr>
              <w:pStyle w:val="TableContents"/>
              <w:bidi w:val="0"/>
              <w:spacing w:lineRule="auto" w:line="300" w:before="0" w:after="0"/>
              <w:jc w:val="center"/>
              <w:rPr/>
            </w:pPr>
            <w:r>
              <w:rPr/>
              <w:t>53</w:t>
            </w:r>
          </w:p>
        </w:tc>
        <w:tc>
          <w:tcPr>
            <w:tcW w:w="143" w:type="dxa"/>
            <w:tcBorders/>
            <w:shd w:fill="CCEEFF" w:val="clear"/>
            <w:tcMar>
              <w:top w:w="60" w:type="dxa"/>
              <w:left w:w="60" w:type="dxa"/>
              <w:bottom w:w="60" w:type="dxa"/>
              <w:right w:w="60" w:type="dxa"/>
            </w:tcMar>
            <w:vAlign w:val="center"/>
          </w:tcPr>
          <w:p>
            <w:pPr>
              <w:pStyle w:val="TableContents"/>
              <w:bidi w:val="0"/>
              <w:spacing w:before="0" w:after="283"/>
              <w:jc w:val="left"/>
              <w:rPr/>
            </w:pPr>
            <w:r>
              <w:rPr/>
            </w:r>
          </w:p>
        </w:tc>
        <w:tc>
          <w:tcPr>
            <w:tcW w:w="3942" w:type="dxa"/>
            <w:tcBorders/>
            <w:shd w:fill="CCEEFF" w:val="clear"/>
            <w:tcMar>
              <w:top w:w="60" w:type="dxa"/>
              <w:left w:w="60" w:type="dxa"/>
              <w:bottom w:w="60" w:type="dxa"/>
              <w:right w:w="60" w:type="dxa"/>
            </w:tcMar>
            <w:vAlign w:val="center"/>
          </w:tcPr>
          <w:p>
            <w:pPr>
              <w:pStyle w:val="TableContents"/>
              <w:bidi w:val="0"/>
              <w:spacing w:lineRule="auto" w:line="300" w:before="0" w:after="0"/>
              <w:ind w:left="0" w:right="0" w:firstLine="292"/>
              <w:jc w:val="both"/>
              <w:rPr/>
            </w:pPr>
            <w:r>
              <w:rPr/>
              <w:t>Director</w:t>
            </w:r>
          </w:p>
        </w:tc>
      </w:tr>
    </w:tbl>
    <w:p>
      <w:pPr>
        <w:pStyle w:val="TextBody"/>
        <w:bidi w:val="0"/>
        <w:spacing w:before="0" w:after="0"/>
        <w:jc w:val="left"/>
        <w:rPr/>
      </w:pPr>
      <w:r>
        <w:rPr/>
      </w:r>
    </w:p>
    <w:p>
      <w:pPr>
        <w:pStyle w:val="TextBody"/>
        <w:bidi w:val="0"/>
        <w:spacing w:lineRule="auto" w:line="300" w:before="0" w:after="0"/>
        <w:jc w:val="both"/>
        <w:rPr>
          <w:u w:val="single"/>
        </w:rPr>
      </w:pPr>
      <w:r>
        <w:rPr>
          <w:u w:val="single"/>
        </w:rPr>
        <w:t>                                      </w:t>
      </w:r>
    </w:p>
    <w:p>
      <w:pPr>
        <w:pStyle w:val="Normal"/>
        <w:bidi w:val="0"/>
        <w:spacing w:before="0" w:after="0"/>
        <w:jc w:val="left"/>
        <w:rPr>
          <w:sz w:val="4"/>
          <w:szCs w:val="4"/>
        </w:rPr>
      </w:pPr>
      <w:r>
        <w:rPr>
          <w:sz w:val="4"/>
          <w:szCs w:val="4"/>
        </w:rPr>
      </w:r>
      <w:bookmarkStart w:id="166" w:name="z82dff256c3fa43c389d764ace895583a"/>
      <w:bookmarkStart w:id="167" w:name="z82dff256c3fa43c389d764ace895583a"/>
      <w:bookmarkEnd w:id="167"/>
    </w:p>
    <w:tbl>
      <w:tblPr>
        <w:tblW w:w="6805" w:type="dxa"/>
        <w:jc w:val="left"/>
        <w:tblInd w:w="0" w:type="dxa"/>
        <w:tblLayout w:type="fixed"/>
        <w:tblCellMar>
          <w:top w:w="0" w:type="dxa"/>
          <w:left w:w="0" w:type="dxa"/>
          <w:bottom w:w="0" w:type="dxa"/>
          <w:right w:w="0" w:type="dxa"/>
        </w:tblCellMar>
      </w:tblPr>
      <w:tblGrid>
        <w:gridCol w:w="305"/>
        <w:gridCol w:w="6500"/>
      </w:tblGrid>
      <w:tr>
        <w:trPr/>
        <w:tc>
          <w:tcPr>
            <w:tcW w:w="305" w:type="dxa"/>
            <w:tcBorders/>
            <w:vAlign w:val="center"/>
          </w:tcPr>
          <w:p>
            <w:pPr>
              <w:pStyle w:val="TableContents"/>
              <w:bidi w:val="0"/>
              <w:spacing w:lineRule="auto" w:line="300" w:before="0" w:after="0"/>
              <w:jc w:val="both"/>
              <w:rPr/>
            </w:pPr>
            <w:r>
              <w:rPr/>
              <w:t>(1)</w:t>
            </w:r>
          </w:p>
          <w:p>
            <w:pPr>
              <w:pStyle w:val="TableContents"/>
              <w:bidi w:val="0"/>
              <w:spacing w:lineRule="auto" w:line="300" w:before="0" w:after="0"/>
              <w:jc w:val="both"/>
              <w:rPr/>
            </w:pPr>
            <w:r>
              <w:rPr/>
              <w:t> </w:t>
            </w:r>
          </w:p>
        </w:tc>
        <w:tc>
          <w:tcPr>
            <w:tcW w:w="6500" w:type="dxa"/>
            <w:tcBorders/>
            <w:vAlign w:val="center"/>
          </w:tcPr>
          <w:p>
            <w:pPr>
              <w:pStyle w:val="TableContents"/>
              <w:bidi w:val="0"/>
              <w:spacing w:lineRule="auto" w:line="300" w:before="0" w:after="0"/>
              <w:jc w:val="both"/>
              <w:rPr/>
            </w:pPr>
            <w:r>
              <w:rPr/>
              <w:t>Independent under the rules of Nasdaq </w:t>
            </w:r>
          </w:p>
        </w:tc>
      </w:tr>
      <w:tr>
        <w:trPr/>
        <w:tc>
          <w:tcPr>
            <w:tcW w:w="305" w:type="dxa"/>
            <w:tcBorders/>
            <w:vAlign w:val="center"/>
          </w:tcPr>
          <w:p>
            <w:pPr>
              <w:pStyle w:val="TableContents"/>
              <w:bidi w:val="0"/>
              <w:spacing w:lineRule="auto" w:line="300" w:before="0" w:after="0"/>
              <w:jc w:val="both"/>
              <w:rPr/>
            </w:pPr>
            <w:r>
              <w:rPr/>
              <w:t>(2)</w:t>
            </w:r>
          </w:p>
          <w:p>
            <w:pPr>
              <w:pStyle w:val="TableContents"/>
              <w:bidi w:val="0"/>
              <w:spacing w:lineRule="auto" w:line="300" w:before="0" w:after="0"/>
              <w:jc w:val="both"/>
              <w:rPr/>
            </w:pPr>
            <w:r>
              <w:rPr/>
              <w:t> </w:t>
            </w:r>
          </w:p>
        </w:tc>
        <w:tc>
          <w:tcPr>
            <w:tcW w:w="6500" w:type="dxa"/>
            <w:tcBorders/>
            <w:vAlign w:val="center"/>
          </w:tcPr>
          <w:p>
            <w:pPr>
              <w:pStyle w:val="TableContents"/>
              <w:bidi w:val="0"/>
              <w:spacing w:lineRule="auto" w:line="300" w:before="0" w:after="0"/>
              <w:jc w:val="both"/>
              <w:rPr/>
            </w:pPr>
            <w:r>
              <w:rPr/>
              <w:t>Member of the audit committee</w:t>
            </w:r>
          </w:p>
          <w:p>
            <w:pPr>
              <w:pStyle w:val="TableContents"/>
              <w:bidi w:val="0"/>
              <w:spacing w:lineRule="auto" w:line="300" w:before="0" w:after="0"/>
              <w:jc w:val="both"/>
              <w:rPr/>
            </w:pPr>
            <w:r>
              <w:rPr/>
              <w:t> </w:t>
            </w:r>
          </w:p>
        </w:tc>
      </w:tr>
      <w:tr>
        <w:trPr/>
        <w:tc>
          <w:tcPr>
            <w:tcW w:w="305" w:type="dxa"/>
            <w:tcBorders/>
            <w:vAlign w:val="center"/>
          </w:tcPr>
          <w:p>
            <w:pPr>
              <w:pStyle w:val="TableContents"/>
              <w:bidi w:val="0"/>
              <w:spacing w:lineRule="auto" w:line="300" w:before="0" w:after="0"/>
              <w:jc w:val="both"/>
              <w:rPr/>
            </w:pPr>
            <w:r>
              <w:rPr/>
              <w:t>(3)</w:t>
            </w:r>
          </w:p>
          <w:p>
            <w:pPr>
              <w:pStyle w:val="TableContents"/>
              <w:bidi w:val="0"/>
              <w:spacing w:lineRule="auto" w:line="300" w:before="0" w:after="0"/>
              <w:jc w:val="both"/>
              <w:rPr/>
            </w:pPr>
            <w:r>
              <w:rPr/>
              <w:t> </w:t>
            </w:r>
          </w:p>
        </w:tc>
        <w:tc>
          <w:tcPr>
            <w:tcW w:w="6500" w:type="dxa"/>
            <w:tcBorders/>
            <w:vAlign w:val="center"/>
          </w:tcPr>
          <w:p>
            <w:pPr>
              <w:pStyle w:val="TableContents"/>
              <w:bidi w:val="0"/>
              <w:spacing w:lineRule="auto" w:line="300" w:before="0" w:after="0"/>
              <w:jc w:val="both"/>
              <w:rPr/>
            </w:pPr>
            <w:r>
              <w:rPr/>
              <w:t>Member of the compensation committee</w:t>
            </w:r>
          </w:p>
          <w:p>
            <w:pPr>
              <w:pStyle w:val="TableContents"/>
              <w:bidi w:val="0"/>
              <w:spacing w:lineRule="auto" w:line="300" w:before="0" w:after="0"/>
              <w:jc w:val="both"/>
              <w:rPr/>
            </w:pPr>
            <w:r>
              <w:rPr/>
              <w:t> </w:t>
            </w:r>
          </w:p>
        </w:tc>
      </w:tr>
      <w:tr>
        <w:trPr/>
        <w:tc>
          <w:tcPr>
            <w:tcW w:w="305" w:type="dxa"/>
            <w:tcBorders/>
            <w:vAlign w:val="center"/>
          </w:tcPr>
          <w:p>
            <w:pPr>
              <w:pStyle w:val="TableContents"/>
              <w:bidi w:val="0"/>
              <w:spacing w:lineRule="auto" w:line="300" w:before="0" w:after="0"/>
              <w:jc w:val="both"/>
              <w:rPr/>
            </w:pPr>
            <w:r>
              <w:rPr/>
              <w:t>(4)</w:t>
            </w:r>
          </w:p>
        </w:tc>
        <w:tc>
          <w:tcPr>
            <w:tcW w:w="6500" w:type="dxa"/>
            <w:tcBorders/>
            <w:vAlign w:val="center"/>
          </w:tcPr>
          <w:p>
            <w:pPr>
              <w:pStyle w:val="TableContents"/>
              <w:bidi w:val="0"/>
              <w:spacing w:lineRule="auto" w:line="300" w:before="0" w:after="0"/>
              <w:jc w:val="both"/>
              <w:rPr/>
            </w:pPr>
            <w:r>
              <w:rPr/>
              <w:t>Member of the nominating, governance and sustainability committee</w:t>
            </w:r>
          </w:p>
        </w:tc>
      </w:tr>
    </w:tbl>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Executive Officers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i/>
          <w:sz w:val="20"/>
        </w:rPr>
        <w:t xml:space="preserve">Dan Adika </w:t>
      </w:r>
      <w:r>
        <w:rPr>
          <w:sz w:val="20"/>
        </w:rPr>
        <w:t>is our Co-Founder and has served as our Chief Executive Officer and a member of our board of directors since March 2012. Prior to co-founding our Company, Mr. Adika served as a software engineer at Hewlett-Packard Company, a computer and information technology company, from May 2010 to May 2011. Before that, from January 2005 to March 2010, Mr. Adika served as a computer programmer in the Israel Defense Forces. We believe that Mr. Adika’s technical experience and knowledge of our Company qualify him to serve on our board of directors.</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73</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i/>
          <w:sz w:val="20"/>
        </w:rPr>
        <w:t>Hagit Ynon</w:t>
      </w:r>
      <w:r>
        <w:rPr>
          <w:sz w:val="20"/>
        </w:rPr>
        <w:t xml:space="preserve"> has served as our Chief Financial Officer since February 2023. Prior to that, Ms. Ynon served as our interim Chief Financial Officer since September 2022 and as our Executive Vice President, Finance and Operations since September 2019.  Prior to joining WalkMe, Ms. Ynon spent 19 years in various positions in the finance department at NICE Ltd., a public company that provides cloud and on-premises platforms for AI-driven digital business solutions, most recently as Vice President, Corporate Finance.  Before joining NICE Ltd., Ms. Ynon served as an Audit Manager at PricewaterhouseCoopers.  Ms. Ynon holds a B.A. in Management and Accounting and an M.B.A. from the College of Management Academic Studies in Israel and is a registered CPA in Israel.</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i/>
          <w:sz w:val="20"/>
        </w:rPr>
        <w:t>Scott Little </w:t>
      </w:r>
      <w:r>
        <w:rPr>
          <w:sz w:val="20"/>
        </w:rPr>
        <w:t>has served as our Chief Revenue Officer since July 2022. Prior to joining our Company, Mr. Little served as Chief Revenue Officer of Software AG, an enterprise SaaS software company, from January 2021 to July 2022 and as Regional President of Sales at Software AG from November 2019 to January 2021. Before that, Mr. Little served in senior sales roles in several technology companies, including interim Head of Sales at Sigga Workforce Technologies, a maintenance optimization software company, from July 2019 to November 2019, Vice President of Sales, North America at Aveva, an IT technology consulting company, from September 2018 to April 2019 and Vice President of Sales, Americas for Commvault, a data protection and management software company, from March 2015 to August 2018.  Mr. Little previously spent 18 years in the sales organization at Oracle Corporation, serving most recently as Group Vice President from June 2008 to March 2015.  Mr. Little holds a B.S. in electrical engineering from Texas A&amp;M University. </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Non-Employee Directors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i/>
          <w:sz w:val="20"/>
        </w:rPr>
        <w:t xml:space="preserve">Michele Bettencourt </w:t>
      </w:r>
      <w:r>
        <w:rPr>
          <w:sz w:val="20"/>
        </w:rPr>
        <w:t>has served as chairperson of our board of directors since December 2022 and as a member of our board of directors since March 2021. From February 2017 to February 2020, Ms. Bettencourt served as Co-Chief Executive Officer of He Said She Said Productions NYC, a film production company which she founded. From August 2014 to February 2018, Ms. Bettencourt also served as chairperson of the board of directors of Imperva, Inc., a cybersecurity company, where she also served as Chief Executive Officer from August 2014 to July 2017. Before that, from November 2010 to March 2014, Ms. Bettencourt served as Chief Executive Officer of Coverity Inc., a software company, through its acquisition by Synopsys, Inc. From January 2006 to October 2009, Ms. Bettencourt served as Senior Vice President of Special Projects at Autonomy Corporation plc. Before that, from 2003 to 2005, Ms. Bettencourt served as Chief Executive Officer of Verity Inc., an enterprise search company, and led the company through its acquisition by Autonomy in 2005. Ms. Bettencourt served on the board of directors of Proofpoint, Inc., an enterprise security company, from April 2012 until January 2017, and on the board of directors of Versant Corporation from January 2012 to December 2012 through its acquisition by Actian Corporation. We believe that Ms. Bettencourt’s extensive management experience and service on the board of directors of technology companies qualifies her to serve as chairperson of our board of directors.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i/>
          <w:sz w:val="20"/>
        </w:rPr>
        <w:t>Haleli Barath</w:t>
      </w:r>
      <w:r>
        <w:rPr>
          <w:sz w:val="20"/>
        </w:rPr>
        <w:t xml:space="preserve"> has served as a member of our board of directors since February 2021. Since 2009, Ms. Barath has served as Managing Partner at BFP &amp; Co. law firm which she co-founded. Since 2014, Ms. Barath has served as a General Partner at Cerca Partners, a venture capital firm which she co-founded and she has served as a Managing Partner since 2020. Ms. Barath also served on the board of IM Cannabis Corp., a publicly traded company, from February 2021 until September 2022. Ms. Barath currently serves on the boards of directors of several privately-held companies. Ms. Barath holds a Bachelor of Laws (LL.B.) from Hebrew University in Jerusalem, Israel. We believe that Ms. Barath’s corporate law and business expertise gained from her experience in the legal profession and in the venture capital industry, including her time spent serving on boards of directors of various companies and familiarity with Israeli companies, qualifies her to serve on our board of directors.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i/>
          <w:sz w:val="20"/>
        </w:rPr>
        <w:t>Menashe Ezra</w:t>
      </w:r>
      <w:r>
        <w:rPr>
          <w:sz w:val="20"/>
        </w:rPr>
        <w:t xml:space="preserve"> has served as a member of our board of directors since December 2014. Since 2008, Mr. Ezra has served as Managing Partner at Gemini Israel Ventures, a venture capital firm. Before joining Gemini Israel Ventures, from October 2001 to October 2007, Mr. Ezra served as Managing Partner at BRM Capital, a venture capital firm. Before that, from 1993 to 1998, Mr. Ezra served as Chief Executive Officer at WaveAccess, a wireless communications company which he founded and which was sold to Lucent Technologies Inc., a telecommunications company, or Lucent, in 1998. From December 1998 to April 2001, Mr. Ezra served as VP Wireless Network Solutions at Lucent. Mr. Ezra also serves on the boards of directors of several privately-held companies. Mr. Ezra holds a B.Sc. in electrical engineering from Tel Aviv University. We believe that Mr. Ezra’s experience in the venture capital industry, including his time spent serving on the boards of directors of various companies and familiarity with Israeli companies, qualifies him to serve on our board of directors.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i/>
          <w:sz w:val="20"/>
        </w:rPr>
        <w:t xml:space="preserve">Ron Gutler </w:t>
      </w:r>
      <w:r>
        <w:rPr>
          <w:sz w:val="20"/>
        </w:rPr>
        <w:t>has served as a member of our board of directors since October 2020. Mr. Gutler has served on the boards of directors of Fiverr International Ltd. since 2019, Wix.com Ltd. since 2013, and CyberArk Software Ltd. since 2014. From May 2002 through February 2013, Mr. Gutler served as the Chairman of the board of directors of NICE Systems Ltd., a public company specializing in voice recognition, data security and surveillance. Between 2002 and 2011, Mr. Gutler served as the Chairman of G.J.E. 121 Promoting Investments Ltd., a real estate company. Mr. Gutler is a former Managing Director and Partner of Bankers Trust Company, which is currently part of Deutsche Bank. Mr. Gutler holds a B.A. and an M.B.A. from the Hebrew University of Jerusalem. We believe that Mr. Gutler’s extensive management experience serving on the board of directors of technology companies qualifies him to serve on our board of directors.</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74</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i/>
          <w:sz w:val="20"/>
        </w:rPr>
        <w:t>Jeff Horing</w:t>
      </w:r>
      <w:r>
        <w:rPr>
          <w:sz w:val="20"/>
        </w:rPr>
        <w:t xml:space="preserve"> has served as a member of our board of directors since December 2015. Since January 1995, Mr. Horing has served as Managing Director at Insight Venture Partners, a private equity firm which he co-founded. Mr. Horing has served on the boards of directors of monday.com Ltd., a software company, since 2017;nCino, Inc., a financial technology company, since March 2018; and Alteryx, Inc., a software company, since December 2021. Mr. Horing also currently serves on the boards of directors of several privately-held companies and has previously served on the boards of directors of numerous publicly-held companies, including the board of directors of JFrog Ltd., a software company, from June 2018 to December 2023, and Tintri, Inc., a software company, from February 2014 to June 2017. Mr. Horing holds a B.S. and B.A. from the University of Pennsylvania’s Moore School of Engineering and the Wharton School, respectively, and an M.B.A. from the M.I.T. Sloan School of Management. We believe that Mr. Horing’s corporate finance and business expertise gained from his experience in the venture capital industry, including his time spent serving on boards of directors of various companies and familiarity with Israeli companies, qualifies him to serve on our board of directors.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i/>
          <w:sz w:val="20"/>
        </w:rPr>
        <w:t>Rory O’Driscoll</w:t>
      </w:r>
      <w:r>
        <w:rPr>
          <w:sz w:val="20"/>
        </w:rPr>
        <w:t xml:space="preserve"> has served as a member of our board of directors since February 2014. Since 2007, Mr. O’Driscoll has served as a Managing Partner at Scale Venture Partners, a venture capital firm. Mr. O’Driscoll previously served as a member of the board of directors of Bill.com Holdings, Inc., a software company, from July 2013 to January 2023. He also previously served on the board of directors of Box, Inc., a data storage and file management software company, from March 2010 to July 2020, and DocuSign, Inc., an eSignature and digital transaction management company, from December 2010 to August 2018. Mr. O’Driscoll currently serves on the boards of directors of several privately held companies. Mr. O’Driscoll holds a B.Sc. in Economics from the London School of Economics. We believe that Mr. O’Driscoll’s extensive experience in the venture capital industry and his knowledge of technology companies qualify him to serve on our board of directors.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i/>
          <w:sz w:val="20"/>
        </w:rPr>
        <w:t>Michael Risman</w:t>
      </w:r>
      <w:r>
        <w:rPr>
          <w:sz w:val="20"/>
        </w:rPr>
        <w:t xml:space="preserve"> has served as a member of our board of directors since June 2021. Prior to then and since December 2019, he also served as the representative of the former corporate director, Vitruvian Directors I Limited. Since May 2006, Mr. Risman has served as Managing Partner of Vitruvian Partners, a private equity firm which he co-founded. Prior to that, from September 1995 to May 2006, Mr. Risman served as a Global Equity Partner at Apax Partners, a private equity firm, where he led their Information Technology Investment Team in Europe. Mr. Risman has previously served on the boards of directors of Farfetch, a fashion technology company, from November 2014 to August 2020; Just Eat, an online food ordering company from April 2012 to March 2016; and Dialog Semiconductor, a semiconductor solutions manufacturer, from August 1999 to July 2006. Mr. Risman also currently serves on the board of directors of several privately-held companies in which funds managed by Vitruvian Partners have invested. Mr. Risman holds an M.A. in electrical engineering from Cambridge University and an M.B.A. from the Harvard Business School. We believe that Mr. Risman’s extensive experience in the venture capital industry and his knowledge of technology companies qualify him to serve on our board of directors.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i/>
          <w:sz w:val="20"/>
        </w:rPr>
        <w:t>Roy Saar</w:t>
      </w:r>
      <w:r>
        <w:rPr>
          <w:sz w:val="20"/>
        </w:rPr>
        <w:t xml:space="preserve"> has served as a member of our board of directors since March 2012. Since 2008, Mr. Saar has served in positions of increasing responsibility at Mangrove Capital Partners, an investment firm, most recently serving as Partner. In 2002, Mr. Saar co-founded RFcell Technologies Ltd., a wireless product and service provider. Before that, in 1999, he co-founded Sphera Corporation, a virtual server technology vendor for SaaS providers, which was acquired by Parallels in 2007. From 2007 to 2023, Mr. Saar served as a member of the board of directors of Wix.com Ltd. Mr. Saar also currently serves on the boards of directors of several privately-held companies. Mr. Saar holds a B.A. in Business Administration and Economics from Tel Aviv University. We believe that Mr. Saar’s extensive experience in the venture capital industry and with technology companies qualify him to serve on our board of directors.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There are no family relationships among any of our executive officers or directors.</w:t>
      </w:r>
    </w:p>
    <w:p>
      <w:pPr>
        <w:pStyle w:val="TextBody"/>
        <w:bidi w:val="0"/>
        <w:spacing w:lineRule="auto" w:line="300" w:before="0" w:after="0"/>
        <w:ind w:left="0" w:right="0" w:firstLine="490"/>
        <w:jc w:val="both"/>
        <w:rPr/>
      </w:pPr>
      <w:r>
        <w:rPr/>
      </w:r>
    </w:p>
    <w:p>
      <w:pPr>
        <w:pStyle w:val="TextBody"/>
        <w:bidi w:val="0"/>
        <w:spacing w:lineRule="auto" w:line="300" w:before="0" w:after="0"/>
        <w:ind w:left="0" w:right="0" w:firstLine="490"/>
        <w:jc w:val="both"/>
        <w:rPr>
          <w:sz w:val="20"/>
        </w:rPr>
      </w:pPr>
      <w:r>
        <w:rPr>
          <w:sz w:val="20"/>
        </w:rPr>
        <w:t>There are no arrangements or understandings with major shareholders, customers, suppliers or others, pursuant to which any person referred to above was selected as a director or member of senior management.</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75</w:t>
      </w:r>
    </w:p>
    <w:p>
      <w:pPr>
        <w:pStyle w:val="HorizontalLine"/>
        <w:bidi w:val="0"/>
        <w:spacing w:before="200" w:after="200"/>
        <w:jc w:val="left"/>
        <w:rPr/>
      </w:pPr>
      <w:r>
        <w:rPr/>
      </w:r>
    </w:p>
    <w:p>
      <w:pPr>
        <w:pStyle w:val="TextBody"/>
        <w:bidi w:val="0"/>
        <w:spacing w:lineRule="auto" w:line="300" w:before="0" w:after="0"/>
        <w:ind w:left="0" w:right="0" w:firstLine="490"/>
        <w:jc w:val="both"/>
        <w:rPr>
          <w:b/>
          <w:sz w:val="20"/>
        </w:rPr>
      </w:pPr>
      <w:r>
        <w:rPr>
          <w:b/>
          <w:sz w:val="20"/>
        </w:rPr>
        <w:t>Board Diversity Matrix</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table below provides certain information regarding the diversity of our board of directors as of the date of this Annual Report. </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168" w:name="zeafe11cdbaa04baeb2aadba38e349e97"/>
      <w:bookmarkStart w:id="169" w:name="zeafe11cdbaa04baeb2aadba38e349e97"/>
      <w:bookmarkEnd w:id="169"/>
    </w:p>
    <w:tbl>
      <w:tblPr>
        <w:tblW w:w="10205" w:type="dxa"/>
        <w:jc w:val="left"/>
        <w:tblInd w:w="0" w:type="dxa"/>
        <w:tblLayout w:type="fixed"/>
        <w:tblCellMar>
          <w:top w:w="28" w:type="dxa"/>
          <w:left w:w="28" w:type="dxa"/>
          <w:bottom w:w="0" w:type="dxa"/>
          <w:right w:w="28" w:type="dxa"/>
        </w:tblCellMar>
      </w:tblPr>
      <w:tblGrid>
        <w:gridCol w:w="5537"/>
        <w:gridCol w:w="875"/>
        <w:gridCol w:w="650"/>
        <w:gridCol w:w="2192"/>
        <w:gridCol w:w="951"/>
      </w:tblGrid>
      <w:tr>
        <w:trPr/>
        <w:tc>
          <w:tcPr>
            <w:tcW w:w="10205" w:type="dxa"/>
            <w:gridSpan w:val="5"/>
            <w:tcBorders>
              <w:top w:val="single" w:sz="2" w:space="0" w:color="000000"/>
              <w:left w:val="single" w:sz="2" w:space="0" w:color="000000"/>
              <w:right w:val="single" w:sz="2" w:space="0" w:color="000000"/>
            </w:tcBorders>
            <w:vAlign w:val="center"/>
          </w:tcPr>
          <w:p>
            <w:pPr>
              <w:pStyle w:val="TableContents"/>
              <w:bidi w:val="0"/>
              <w:spacing w:lineRule="auto" w:line="300" w:before="0" w:after="0"/>
              <w:jc w:val="both"/>
              <w:rPr>
                <w:rFonts w:ascii="Times New Roman;Times;serif" w:hAnsi="Times New Roman;Times;serif"/>
                <w:b/>
              </w:rPr>
            </w:pPr>
            <w:r>
              <w:rPr>
                <w:rFonts w:ascii="Times New Roman;Times;serif" w:hAnsi="Times New Roman;Times;serif"/>
                <w:b/>
              </w:rPr>
              <w:t>Board Diversity Matrix</w:t>
            </w:r>
          </w:p>
          <w:p>
            <w:pPr>
              <w:pStyle w:val="TableContents"/>
              <w:bidi w:val="0"/>
              <w:spacing w:lineRule="auto" w:line="300" w:before="0" w:after="0"/>
              <w:jc w:val="both"/>
              <w:rPr>
                <w:rFonts w:ascii="Times New Roman;Times;serif" w:hAnsi="Times New Roman;Times;serif"/>
                <w:b/>
              </w:rPr>
            </w:pPr>
            <w:r>
              <w:rPr>
                <w:rFonts w:ascii="Times New Roman;Times;serif" w:hAnsi="Times New Roman;Times;serif"/>
                <w:b/>
              </w:rPr>
              <w:t>As of the date of this Annual Report</w:t>
            </w:r>
          </w:p>
        </w:tc>
      </w:tr>
      <w:tr>
        <w:trPr/>
        <w:tc>
          <w:tcPr>
            <w:tcW w:w="5537" w:type="dxa"/>
            <w:tcBorders>
              <w:top w:val="single" w:sz="2" w:space="0" w:color="000000"/>
              <w:left w:val="single" w:sz="2" w:space="0" w:color="000000"/>
            </w:tcBorders>
            <w:tcMar>
              <w:right w:w="0" w:type="dxa"/>
            </w:tcMar>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Country of Principal Executive Offices:</w:t>
            </w:r>
          </w:p>
        </w:tc>
        <w:tc>
          <w:tcPr>
            <w:tcW w:w="4668" w:type="dxa"/>
            <w:gridSpan w:val="4"/>
            <w:tcBorders>
              <w:top w:val="single" w:sz="2" w:space="0" w:color="000000"/>
              <w:left w:val="single" w:sz="2" w:space="0" w:color="000000"/>
              <w:right w:val="single" w:sz="2" w:space="0" w:color="000000"/>
            </w:tcBorders>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Israel</w:t>
            </w:r>
          </w:p>
        </w:tc>
      </w:tr>
      <w:tr>
        <w:trPr/>
        <w:tc>
          <w:tcPr>
            <w:tcW w:w="5537" w:type="dxa"/>
            <w:tcBorders>
              <w:top w:val="single" w:sz="2" w:space="0" w:color="000000"/>
              <w:left w:val="single" w:sz="2" w:space="0" w:color="000000"/>
            </w:tcBorders>
            <w:tcMar>
              <w:right w:w="0" w:type="dxa"/>
            </w:tcMar>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Foreign Private Issuer</w:t>
            </w:r>
          </w:p>
        </w:tc>
        <w:tc>
          <w:tcPr>
            <w:tcW w:w="4668" w:type="dxa"/>
            <w:gridSpan w:val="4"/>
            <w:tcBorders>
              <w:top w:val="single" w:sz="2" w:space="0" w:color="000000"/>
              <w:left w:val="single" w:sz="2" w:space="0" w:color="000000"/>
              <w:right w:val="single" w:sz="2" w:space="0" w:color="000000"/>
            </w:tcBorders>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Yes</w:t>
            </w:r>
          </w:p>
        </w:tc>
      </w:tr>
      <w:tr>
        <w:trPr/>
        <w:tc>
          <w:tcPr>
            <w:tcW w:w="5537" w:type="dxa"/>
            <w:tcBorders>
              <w:top w:val="single" w:sz="2" w:space="0" w:color="000000"/>
              <w:left w:val="single" w:sz="2" w:space="0" w:color="000000"/>
            </w:tcBorders>
            <w:tcMar>
              <w:right w:w="0" w:type="dxa"/>
            </w:tcMar>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Disclosure Prohibited under Home Country Law</w:t>
            </w:r>
          </w:p>
        </w:tc>
        <w:tc>
          <w:tcPr>
            <w:tcW w:w="4668" w:type="dxa"/>
            <w:gridSpan w:val="4"/>
            <w:tcBorders>
              <w:top w:val="single" w:sz="2" w:space="0" w:color="000000"/>
              <w:left w:val="single" w:sz="2" w:space="0" w:color="000000"/>
              <w:right w:val="single" w:sz="2" w:space="0" w:color="000000"/>
            </w:tcBorders>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No</w:t>
            </w:r>
          </w:p>
        </w:tc>
      </w:tr>
      <w:tr>
        <w:trPr/>
        <w:tc>
          <w:tcPr>
            <w:tcW w:w="5537" w:type="dxa"/>
            <w:tcBorders>
              <w:top w:val="single" w:sz="2" w:space="0" w:color="000000"/>
              <w:left w:val="single" w:sz="2" w:space="0" w:color="000000"/>
            </w:tcBorders>
            <w:tcMar>
              <w:right w:w="0" w:type="dxa"/>
            </w:tcMar>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Total Number of Directors</w:t>
            </w:r>
          </w:p>
        </w:tc>
        <w:tc>
          <w:tcPr>
            <w:tcW w:w="4668" w:type="dxa"/>
            <w:gridSpan w:val="4"/>
            <w:tcBorders>
              <w:top w:val="single" w:sz="2" w:space="0" w:color="000000"/>
              <w:left w:val="single" w:sz="2" w:space="0" w:color="000000"/>
              <w:right w:val="single" w:sz="2" w:space="0" w:color="000000"/>
            </w:tcBorders>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9</w:t>
            </w:r>
          </w:p>
        </w:tc>
      </w:tr>
      <w:tr>
        <w:trPr/>
        <w:tc>
          <w:tcPr>
            <w:tcW w:w="5537" w:type="dxa"/>
            <w:tcBorders>
              <w:top w:val="single" w:sz="2" w:space="0" w:color="000000"/>
              <w:left w:val="single" w:sz="2" w:space="0" w:color="000000"/>
            </w:tcBorders>
            <w:shd w:fill="D9D9D9" w:val="clear"/>
            <w:tcMar>
              <w:right w:w="0" w:type="dxa"/>
            </w:tcMar>
            <w:vAlign w:val="center"/>
          </w:tcPr>
          <w:p>
            <w:pPr>
              <w:pStyle w:val="TableContents"/>
              <w:bidi w:val="0"/>
              <w:spacing w:lineRule="auto" w:line="300" w:before="0" w:after="0"/>
              <w:jc w:val="both"/>
              <w:rPr/>
            </w:pPr>
            <w:r>
              <w:rPr/>
              <w:t> </w:t>
            </w:r>
          </w:p>
        </w:tc>
        <w:tc>
          <w:tcPr>
            <w:tcW w:w="875" w:type="dxa"/>
            <w:tcBorders>
              <w:top w:val="single" w:sz="2" w:space="0" w:color="000000"/>
              <w:left w:val="single" w:sz="2" w:space="0" w:color="000000"/>
            </w:tcBorders>
            <w:shd w:fill="D9D9D9" w:val="clear"/>
            <w:tcMar>
              <w:right w:w="0" w:type="dxa"/>
            </w:tcMar>
            <w:vAlign w:val="center"/>
          </w:tcPr>
          <w:p>
            <w:pPr>
              <w:pStyle w:val="TableContents"/>
              <w:bidi w:val="0"/>
              <w:spacing w:lineRule="auto" w:line="300" w:before="0" w:after="0"/>
              <w:jc w:val="both"/>
              <w:rPr>
                <w:rFonts w:ascii="Times New Roman;Times;serif" w:hAnsi="Times New Roman;Times;serif"/>
                <w:b/>
              </w:rPr>
            </w:pPr>
            <w:r>
              <w:rPr>
                <w:rFonts w:ascii="Times New Roman;Times;serif" w:hAnsi="Times New Roman;Times;serif"/>
                <w:b/>
              </w:rPr>
              <w:t>Female</w:t>
            </w:r>
          </w:p>
          <w:p>
            <w:pPr>
              <w:pStyle w:val="TableContents"/>
              <w:bidi w:val="0"/>
              <w:spacing w:lineRule="auto" w:line="300" w:before="0" w:after="0"/>
              <w:jc w:val="both"/>
              <w:rPr/>
            </w:pPr>
            <w:r>
              <w:rPr/>
              <w:t> </w:t>
            </w:r>
          </w:p>
        </w:tc>
        <w:tc>
          <w:tcPr>
            <w:tcW w:w="650" w:type="dxa"/>
            <w:tcBorders>
              <w:top w:val="single" w:sz="2" w:space="0" w:color="000000"/>
              <w:left w:val="single" w:sz="2" w:space="0" w:color="000000"/>
            </w:tcBorders>
            <w:shd w:fill="D9D9D9" w:val="clear"/>
            <w:tcMar>
              <w:right w:w="0" w:type="dxa"/>
            </w:tcMar>
            <w:vAlign w:val="center"/>
          </w:tcPr>
          <w:p>
            <w:pPr>
              <w:pStyle w:val="TableContents"/>
              <w:bidi w:val="0"/>
              <w:spacing w:lineRule="auto" w:line="300" w:before="0" w:after="0"/>
              <w:jc w:val="both"/>
              <w:rPr>
                <w:rFonts w:ascii="Times New Roman;Times;serif" w:hAnsi="Times New Roman;Times;serif"/>
                <w:b/>
              </w:rPr>
            </w:pPr>
            <w:r>
              <w:rPr>
                <w:rFonts w:ascii="Times New Roman;Times;serif" w:hAnsi="Times New Roman;Times;serif"/>
                <w:b/>
              </w:rPr>
              <w:t>Male</w:t>
            </w:r>
          </w:p>
          <w:p>
            <w:pPr>
              <w:pStyle w:val="TableContents"/>
              <w:bidi w:val="0"/>
              <w:spacing w:lineRule="auto" w:line="300" w:before="0" w:after="0"/>
              <w:jc w:val="both"/>
              <w:rPr/>
            </w:pPr>
            <w:r>
              <w:rPr/>
              <w:t> </w:t>
            </w:r>
          </w:p>
        </w:tc>
        <w:tc>
          <w:tcPr>
            <w:tcW w:w="2192" w:type="dxa"/>
            <w:tcBorders>
              <w:top w:val="single" w:sz="2" w:space="0" w:color="000000"/>
              <w:left w:val="single" w:sz="2" w:space="0" w:color="000000"/>
            </w:tcBorders>
            <w:shd w:fill="D9D9D9" w:val="clear"/>
            <w:tcMar>
              <w:right w:w="0" w:type="dxa"/>
            </w:tcMar>
            <w:vAlign w:val="center"/>
          </w:tcPr>
          <w:p>
            <w:pPr>
              <w:pStyle w:val="TableContents"/>
              <w:bidi w:val="0"/>
              <w:spacing w:lineRule="auto" w:line="300" w:before="0" w:after="0"/>
              <w:jc w:val="both"/>
              <w:rPr>
                <w:rFonts w:ascii="Times New Roman;Times;serif" w:hAnsi="Times New Roman;Times;serif"/>
                <w:b/>
              </w:rPr>
            </w:pPr>
            <w:r>
              <w:rPr>
                <w:rFonts w:ascii="Times New Roman;Times;serif" w:hAnsi="Times New Roman;Times;serif"/>
                <w:b/>
              </w:rPr>
              <w:t>Non-</w:t>
            </w:r>
          </w:p>
          <w:p>
            <w:pPr>
              <w:pStyle w:val="TableContents"/>
              <w:bidi w:val="0"/>
              <w:spacing w:lineRule="auto" w:line="300" w:before="0" w:after="0"/>
              <w:jc w:val="both"/>
              <w:rPr>
                <w:rFonts w:ascii="Times New Roman;Times;serif" w:hAnsi="Times New Roman;Times;serif"/>
                <w:b/>
              </w:rPr>
            </w:pPr>
            <w:r>
              <w:rPr>
                <w:rFonts w:ascii="Times New Roman;Times;serif" w:hAnsi="Times New Roman;Times;serif"/>
                <w:b/>
              </w:rPr>
              <w:t>Binary/Transgender</w:t>
            </w:r>
          </w:p>
        </w:tc>
        <w:tc>
          <w:tcPr>
            <w:tcW w:w="951" w:type="dxa"/>
            <w:tcBorders>
              <w:top w:val="single" w:sz="2" w:space="0" w:color="000000"/>
              <w:left w:val="single" w:sz="2" w:space="0" w:color="000000"/>
              <w:right w:val="single" w:sz="2" w:space="0" w:color="000000"/>
            </w:tcBorders>
            <w:shd w:fill="D9D9D9" w:val="clear"/>
            <w:vAlign w:val="center"/>
          </w:tcPr>
          <w:p>
            <w:pPr>
              <w:pStyle w:val="TableContents"/>
              <w:bidi w:val="0"/>
              <w:spacing w:lineRule="auto" w:line="300" w:before="0" w:after="0"/>
              <w:jc w:val="both"/>
              <w:rPr>
                <w:rFonts w:ascii="Times New Roman;Times;serif" w:hAnsi="Times New Roman;Times;serif"/>
                <w:b/>
              </w:rPr>
            </w:pPr>
            <w:r>
              <w:rPr>
                <w:rFonts w:ascii="Times New Roman;Times;serif" w:hAnsi="Times New Roman;Times;serif"/>
                <w:b/>
              </w:rPr>
              <w:t>Did Not</w:t>
              <w:br/>
              <w:t>Disclose</w:t>
              <w:br/>
              <w:t>Gender</w:t>
            </w:r>
          </w:p>
        </w:tc>
      </w:tr>
      <w:tr>
        <w:trPr/>
        <w:tc>
          <w:tcPr>
            <w:tcW w:w="5537" w:type="dxa"/>
            <w:tcBorders>
              <w:top w:val="single" w:sz="2" w:space="0" w:color="000000"/>
              <w:left w:val="single" w:sz="2" w:space="0" w:color="000000"/>
            </w:tcBorders>
            <w:shd w:fill="D9D9D9" w:val="clear"/>
            <w:tcMar>
              <w:right w:w="0" w:type="dxa"/>
            </w:tcMar>
            <w:vAlign w:val="center"/>
          </w:tcPr>
          <w:p>
            <w:pPr>
              <w:pStyle w:val="TableContents"/>
              <w:bidi w:val="0"/>
              <w:spacing w:lineRule="auto" w:line="300" w:before="0" w:after="0"/>
              <w:jc w:val="both"/>
              <w:rPr>
                <w:rFonts w:ascii="Times New Roman;Times;serif" w:hAnsi="Times New Roman;Times;serif"/>
                <w:b/>
              </w:rPr>
            </w:pPr>
            <w:r>
              <w:rPr>
                <w:rFonts w:ascii="Times New Roman;Times;serif" w:hAnsi="Times New Roman;Times;serif"/>
                <w:b/>
              </w:rPr>
              <w:t>Part I: Gender Identity</w:t>
            </w:r>
          </w:p>
        </w:tc>
        <w:tc>
          <w:tcPr>
            <w:tcW w:w="4668" w:type="dxa"/>
            <w:gridSpan w:val="4"/>
            <w:tcBorders>
              <w:top w:val="single" w:sz="2" w:space="0" w:color="000000"/>
              <w:left w:val="single" w:sz="2" w:space="0" w:color="000000"/>
              <w:right w:val="single" w:sz="2" w:space="0" w:color="000000"/>
            </w:tcBorders>
            <w:shd w:fill="D9D9D9" w:val="clear"/>
            <w:vAlign w:val="center"/>
          </w:tcPr>
          <w:p>
            <w:pPr>
              <w:pStyle w:val="TableContents"/>
              <w:bidi w:val="0"/>
              <w:spacing w:lineRule="auto" w:line="300" w:before="0" w:after="0"/>
              <w:jc w:val="both"/>
              <w:rPr/>
            </w:pPr>
            <w:r>
              <w:rPr/>
              <w:t> </w:t>
            </w:r>
          </w:p>
        </w:tc>
      </w:tr>
      <w:tr>
        <w:trPr/>
        <w:tc>
          <w:tcPr>
            <w:tcW w:w="5537" w:type="dxa"/>
            <w:tcBorders>
              <w:top w:val="single" w:sz="2" w:space="0" w:color="000000"/>
              <w:left w:val="single" w:sz="2" w:space="0" w:color="000000"/>
            </w:tcBorders>
            <w:tcMar>
              <w:right w:w="0" w:type="dxa"/>
            </w:tcMar>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 xml:space="preserve">Directors </w:t>
            </w:r>
          </w:p>
        </w:tc>
        <w:tc>
          <w:tcPr>
            <w:tcW w:w="875" w:type="dxa"/>
            <w:tcBorders>
              <w:top w:val="single" w:sz="2" w:space="0" w:color="000000"/>
              <w:left w:val="single" w:sz="2" w:space="0" w:color="000000"/>
            </w:tcBorders>
            <w:tcMar>
              <w:right w:w="0" w:type="dxa"/>
            </w:tcMar>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1</w:t>
            </w:r>
          </w:p>
        </w:tc>
        <w:tc>
          <w:tcPr>
            <w:tcW w:w="650" w:type="dxa"/>
            <w:tcBorders>
              <w:top w:val="single" w:sz="2" w:space="0" w:color="000000"/>
              <w:left w:val="single" w:sz="2" w:space="0" w:color="000000"/>
            </w:tcBorders>
            <w:tcMar>
              <w:right w:w="0" w:type="dxa"/>
            </w:tcMar>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7</w:t>
            </w:r>
          </w:p>
        </w:tc>
        <w:tc>
          <w:tcPr>
            <w:tcW w:w="2192" w:type="dxa"/>
            <w:tcBorders>
              <w:top w:val="single" w:sz="2" w:space="0" w:color="000000"/>
              <w:left w:val="single" w:sz="2" w:space="0" w:color="000000"/>
            </w:tcBorders>
            <w:tcMar>
              <w:right w:w="0" w:type="dxa"/>
            </w:tcMar>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1</w:t>
            </w:r>
          </w:p>
        </w:tc>
        <w:tc>
          <w:tcPr>
            <w:tcW w:w="951" w:type="dxa"/>
            <w:tcBorders>
              <w:top w:val="single" w:sz="2" w:space="0" w:color="000000"/>
              <w:left w:val="single" w:sz="2" w:space="0" w:color="000000"/>
              <w:right w:val="single" w:sz="2" w:space="0" w:color="000000"/>
            </w:tcBorders>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0</w:t>
            </w:r>
          </w:p>
        </w:tc>
      </w:tr>
      <w:tr>
        <w:trPr/>
        <w:tc>
          <w:tcPr>
            <w:tcW w:w="5537" w:type="dxa"/>
            <w:tcBorders>
              <w:top w:val="single" w:sz="2" w:space="0" w:color="000000"/>
              <w:left w:val="single" w:sz="2" w:space="0" w:color="000000"/>
            </w:tcBorders>
            <w:shd w:fill="D9D9D9" w:val="clear"/>
            <w:tcMar>
              <w:right w:w="0" w:type="dxa"/>
            </w:tcMar>
            <w:vAlign w:val="center"/>
          </w:tcPr>
          <w:p>
            <w:pPr>
              <w:pStyle w:val="TableContents"/>
              <w:bidi w:val="0"/>
              <w:spacing w:lineRule="auto" w:line="300" w:before="0" w:after="0"/>
              <w:jc w:val="both"/>
              <w:rPr>
                <w:rFonts w:ascii="Times New Roman;Times;serif" w:hAnsi="Times New Roman;Times;serif"/>
                <w:b/>
              </w:rPr>
            </w:pPr>
            <w:r>
              <w:rPr>
                <w:rFonts w:ascii="Times New Roman;Times;serif" w:hAnsi="Times New Roman;Times;serif"/>
                <w:b/>
              </w:rPr>
              <w:t>Part II: Demographic Background</w:t>
            </w:r>
          </w:p>
        </w:tc>
        <w:tc>
          <w:tcPr>
            <w:tcW w:w="4668" w:type="dxa"/>
            <w:gridSpan w:val="4"/>
            <w:tcBorders>
              <w:top w:val="single" w:sz="2" w:space="0" w:color="000000"/>
              <w:left w:val="single" w:sz="2" w:space="0" w:color="000000"/>
              <w:right w:val="single" w:sz="2" w:space="0" w:color="000000"/>
            </w:tcBorders>
            <w:shd w:fill="D9D9D9" w:val="clear"/>
            <w:vAlign w:val="center"/>
          </w:tcPr>
          <w:p>
            <w:pPr>
              <w:pStyle w:val="TableContents"/>
              <w:bidi w:val="0"/>
              <w:spacing w:lineRule="auto" w:line="300" w:before="0" w:after="0"/>
              <w:jc w:val="both"/>
              <w:rPr/>
            </w:pPr>
            <w:r>
              <w:rPr/>
              <w:t> </w:t>
            </w:r>
          </w:p>
        </w:tc>
      </w:tr>
      <w:tr>
        <w:trPr/>
        <w:tc>
          <w:tcPr>
            <w:tcW w:w="5537" w:type="dxa"/>
            <w:tcBorders>
              <w:top w:val="single" w:sz="2" w:space="0" w:color="000000"/>
              <w:left w:val="single" w:sz="2" w:space="0" w:color="000000"/>
            </w:tcBorders>
            <w:tcMar>
              <w:right w:w="0" w:type="dxa"/>
            </w:tcMar>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Underrepresented Individual in Home Country Jurisdiction</w:t>
            </w:r>
          </w:p>
        </w:tc>
        <w:tc>
          <w:tcPr>
            <w:tcW w:w="4668" w:type="dxa"/>
            <w:gridSpan w:val="4"/>
            <w:tcBorders>
              <w:top w:val="single" w:sz="2" w:space="0" w:color="000000"/>
              <w:left w:val="single" w:sz="2" w:space="0" w:color="000000"/>
              <w:right w:val="single" w:sz="2" w:space="0" w:color="000000"/>
            </w:tcBorders>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0</w:t>
            </w:r>
          </w:p>
        </w:tc>
      </w:tr>
      <w:tr>
        <w:trPr/>
        <w:tc>
          <w:tcPr>
            <w:tcW w:w="5537" w:type="dxa"/>
            <w:tcBorders>
              <w:top w:val="single" w:sz="2" w:space="0" w:color="000000"/>
              <w:left w:val="single" w:sz="2" w:space="0" w:color="000000"/>
            </w:tcBorders>
            <w:tcMar>
              <w:right w:w="0" w:type="dxa"/>
            </w:tcMar>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LGBTQ+</w:t>
            </w:r>
          </w:p>
        </w:tc>
        <w:tc>
          <w:tcPr>
            <w:tcW w:w="4668" w:type="dxa"/>
            <w:gridSpan w:val="4"/>
            <w:tcBorders>
              <w:top w:val="single" w:sz="2" w:space="0" w:color="000000"/>
              <w:left w:val="single" w:sz="2" w:space="0" w:color="000000"/>
              <w:right w:val="single" w:sz="2" w:space="0" w:color="000000"/>
            </w:tcBorders>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1</w:t>
            </w:r>
          </w:p>
        </w:tc>
      </w:tr>
      <w:tr>
        <w:trPr/>
        <w:tc>
          <w:tcPr>
            <w:tcW w:w="5537" w:type="dxa"/>
            <w:tcBorders>
              <w:top w:val="single" w:sz="2" w:space="0" w:color="000000"/>
              <w:left w:val="single" w:sz="2" w:space="0" w:color="000000"/>
              <w:bottom w:val="single" w:sz="2" w:space="0" w:color="000000"/>
            </w:tcBorders>
            <w:tcMar>
              <w:bottom w:w="28" w:type="dxa"/>
              <w:right w:w="0" w:type="dxa"/>
            </w:tcMar>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Did Not Disclose Demographic Background</w:t>
            </w:r>
          </w:p>
        </w:tc>
        <w:tc>
          <w:tcPr>
            <w:tcW w:w="4668" w:type="dxa"/>
            <w:gridSpan w:val="4"/>
            <w:tcBorders>
              <w:top w:val="single" w:sz="2" w:space="0" w:color="000000"/>
              <w:left w:val="single" w:sz="2" w:space="0" w:color="000000"/>
              <w:bottom w:val="single" w:sz="2" w:space="0" w:color="000000"/>
              <w:right w:val="single" w:sz="2" w:space="0" w:color="000000"/>
            </w:tcBorders>
            <w:tcMar>
              <w:bottom w:w="28" w:type="dxa"/>
            </w:tcMar>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3</w:t>
            </w:r>
          </w:p>
        </w:tc>
      </w:tr>
    </w:tbl>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170" w:name="zf3cbf40e700a4adb9ebcce54327e6050"/>
      <w:bookmarkStart w:id="171" w:name="zf3cbf40e700a4adb9ebcce54327e6050"/>
      <w:bookmarkEnd w:id="171"/>
    </w:p>
    <w:tbl>
      <w:tblPr>
        <w:tblW w:w="1765" w:type="dxa"/>
        <w:jc w:val="left"/>
        <w:tblInd w:w="0" w:type="dxa"/>
        <w:tblLayout w:type="fixed"/>
        <w:tblCellMar>
          <w:top w:w="0" w:type="dxa"/>
          <w:left w:w="0" w:type="dxa"/>
          <w:bottom w:w="0" w:type="dxa"/>
          <w:right w:w="0" w:type="dxa"/>
        </w:tblCellMar>
      </w:tblPr>
      <w:tblGrid>
        <w:gridCol w:w="260"/>
        <w:gridCol w:w="1505"/>
      </w:tblGrid>
      <w:tr>
        <w:trPr/>
        <w:tc>
          <w:tcPr>
            <w:tcW w:w="260" w:type="dxa"/>
            <w:tcBorders/>
            <w:vAlign w:val="center"/>
          </w:tcPr>
          <w:p>
            <w:pPr>
              <w:pStyle w:val="TableContents"/>
              <w:bidi w:val="0"/>
              <w:spacing w:lineRule="auto" w:line="300" w:before="0" w:after="0"/>
              <w:jc w:val="both"/>
              <w:rPr>
                <w:b/>
              </w:rPr>
            </w:pPr>
            <w:r>
              <w:rPr>
                <w:b/>
              </w:rPr>
              <w:t>B.</w:t>
            </w:r>
          </w:p>
        </w:tc>
        <w:tc>
          <w:tcPr>
            <w:tcW w:w="1505" w:type="dxa"/>
            <w:tcBorders/>
            <w:vAlign w:val="center"/>
          </w:tcPr>
          <w:p>
            <w:pPr>
              <w:pStyle w:val="TableContents"/>
              <w:bidi w:val="0"/>
              <w:spacing w:lineRule="auto" w:line="300" w:before="0" w:after="0"/>
              <w:jc w:val="both"/>
              <w:rPr>
                <w:b/>
              </w:rPr>
            </w:pPr>
            <w:r>
              <w:rPr>
                <w:b/>
              </w:rPr>
              <w:t>Compensation</w:t>
            </w:r>
          </w:p>
        </w:tc>
      </w:tr>
    </w:tbl>
    <w:p>
      <w:pPr>
        <w:pStyle w:val="TextBody"/>
        <w:bidi w:val="0"/>
        <w:spacing w:lineRule="auto" w:line="300" w:before="0" w:after="0"/>
        <w:jc w:val="both"/>
        <w:rPr/>
      </w:pPr>
      <w:r>
        <w:rPr/>
        <w:t> </w:t>
      </w:r>
    </w:p>
    <w:p>
      <w:pPr>
        <w:pStyle w:val="TextBody"/>
        <w:bidi w:val="0"/>
        <w:spacing w:lineRule="auto" w:line="300" w:before="0" w:after="0"/>
        <w:ind w:left="0" w:right="0" w:firstLine="540"/>
        <w:jc w:val="both"/>
        <w:rPr>
          <w:sz w:val="20"/>
        </w:rPr>
      </w:pPr>
      <w:r>
        <w:rPr>
          <w:i/>
          <w:sz w:val="20"/>
        </w:rPr>
        <w:t>Directors.</w:t>
      </w:r>
      <w:r>
        <w:rPr>
          <w:sz w:val="20"/>
        </w:rPr>
        <w:t xml:space="preserve"> Under the Companies Law, the compensation of our directors requires the approval of our compensation committee, the subsequent approval of the board of directors and, unless exempted under regulations promulgated under the Companies Law, the approval of the shareholders at a general meeting. If the compensation of our directors is inconsistent with our stated compensation policy, then, those provisions that must be included in the compensation policy according to the Companies Law must have been considered by the compensation committee and board of directors, and shareholder approval by a simple majority will also be required, provided that:</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172" w:name="z131ae75a80a648479ba0ca2f43dccbcd"/>
      <w:bookmarkStart w:id="173" w:name="z131ae75a80a648479ba0ca2f43dccbcd"/>
      <w:bookmarkEnd w:id="17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at least a majority of the shares held by all shareholders who are not controlling shareholders and do not have a personal interest in such matter, present and voting at such meeting, are voted in favor of the compensation package, excluding abstentions; or</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the total number of shares of non-controlling shareholders and shareholders who do not have a personal interest in such matter voting against the compensation package does not exceed two percent (2%) of the aggregate voting rights in the Company.</w:t>
            </w:r>
          </w:p>
        </w:tc>
      </w:tr>
    </w:tbl>
    <w:p>
      <w:pPr>
        <w:pStyle w:val="TextBody"/>
        <w:bidi w:val="0"/>
        <w:spacing w:lineRule="auto" w:line="300" w:before="0" w:after="0"/>
        <w:jc w:val="both"/>
        <w:rPr/>
      </w:pPr>
      <w:r>
        <w:rPr/>
        <w:t> </w:t>
      </w:r>
    </w:p>
    <w:p>
      <w:pPr>
        <w:pStyle w:val="TextBody"/>
        <w:bidi w:val="0"/>
        <w:spacing w:lineRule="auto" w:line="300" w:before="0" w:after="0"/>
        <w:ind w:left="0" w:right="0" w:firstLine="540"/>
        <w:jc w:val="both"/>
        <w:rPr>
          <w:sz w:val="20"/>
        </w:rPr>
      </w:pPr>
      <w:r>
        <w:rPr>
          <w:i/>
          <w:sz w:val="20"/>
        </w:rPr>
        <w:t>Executive Officers other than the Chief Executive Officer</w:t>
      </w:r>
      <w:r>
        <w:rPr>
          <w:sz w:val="20"/>
        </w:rPr>
        <w:t>. The Companies Law requires the approval of the compensation of a public company’s executive officers (other than the chief executive officer) in the following order: (1) the compensation committee, (2) the company’s board of directors, and (3) if such compensation arrangement is inconsistent with the company’s stated compensation policy, the company’s shareholders (by a special majority vote as discussed above with respect to the approval of director compensation). However, if the shareholders of the company do not approve a compensation arrangement with such executive officer that is inconsistent with the company’s stated compensation policy, the compensation committee and board of directors may override the shareholders’ decision if each of the compensation committee and the board of directors provide detailed reasons for their decision.</w:t>
      </w:r>
    </w:p>
    <w:p>
      <w:pPr>
        <w:pStyle w:val="TextBody"/>
        <w:bidi w:val="0"/>
        <w:spacing w:lineRule="auto" w:line="300" w:before="0" w:after="0"/>
        <w:jc w:val="both"/>
        <w:rPr/>
      </w:pPr>
      <w:r>
        <w:rPr/>
        <w:t> </w:t>
      </w:r>
    </w:p>
    <w:p>
      <w:pPr>
        <w:pStyle w:val="TextBody"/>
        <w:bidi w:val="0"/>
        <w:spacing w:lineRule="auto" w:line="300" w:before="0" w:after="0"/>
        <w:ind w:left="0" w:right="0" w:firstLine="540"/>
        <w:jc w:val="both"/>
        <w:rPr>
          <w:sz w:val="20"/>
        </w:rPr>
      </w:pPr>
      <w:r>
        <w:rPr>
          <w:sz w:val="20"/>
        </w:rPr>
        <w:t>An amendment to an existing arrangement with an office holder (who is not a director) requires only the approval of the compensation committee, if the compensation committee determines that the amendment is not material in comparison to the existing arrangement. However, under the Companies Law, an amendment to an existing arrangement with an office holder (who is not a director) who is subordinate to the chief executive officer will not require the approval of the compensation committee, if (1) the amendment is approved by the chief executive officer, (2) the company’s compensation policy provides that a non-material amendment to the terms of service of an office holder (other than the chief executive officer) may be approved by the chief executive officer and (3) the engagement terms are consistent with the company’s compensation policy.</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76</w:t>
      </w:r>
    </w:p>
    <w:p>
      <w:pPr>
        <w:pStyle w:val="HorizontalLine"/>
        <w:bidi w:val="0"/>
        <w:spacing w:before="200" w:after="200"/>
        <w:jc w:val="left"/>
        <w:rPr/>
      </w:pPr>
      <w:r>
        <w:rPr/>
      </w:r>
    </w:p>
    <w:p>
      <w:pPr>
        <w:pStyle w:val="TextBody"/>
        <w:bidi w:val="0"/>
        <w:spacing w:lineRule="auto" w:line="300" w:before="0" w:after="0"/>
        <w:ind w:left="0" w:right="0" w:firstLine="540"/>
        <w:jc w:val="both"/>
        <w:rPr>
          <w:sz w:val="20"/>
        </w:rPr>
      </w:pPr>
      <w:r>
        <w:rPr>
          <w:i/>
          <w:sz w:val="20"/>
        </w:rPr>
        <w:t>Chief Executive Officer</w:t>
      </w:r>
      <w:r>
        <w:rPr>
          <w:sz w:val="20"/>
        </w:rPr>
        <w:t>. Under the Companies Law, the compensation of a public company’s chief executive officer is required to be approved by: (1) the company’s compensation committee; (2) the company’s board of directors, and (3) the company’s shareholders (by a special majority vote as discussed above with respect to the approval of director compensation). However, if the shareholders of the company do not approve the compensation arrangement with the chief executive officer, the compensation committee and board of directors may override the shareholders’ decision if each of the compensation committee and the board of directors provide detailed reasons for their decision. The approval of each of the compensation committee and the board of directors should be in accordance with the company’s stated compensation policy; however, in special circumstances, they may approve compensation terms of a chief executive officer that are inconsistent with such policy provided that they have considered those provisions that must be included in the compensation policy according to the Companies Law and that shareholder approval is obtained (by a special majority vote as discussed above with respect to the approval of director compensation). In addition, the compensation committee may waive the shareholder approval requirement with regards to the approval of the engagement terms of a candidate for the chief executive officer position, if they determine that the compensation arrangement is consistent with the company’s compensation policy and that the chief executive officer candidate did not have a prior business relationship with the company or a controlling shareholder of the company and that subjecting the approval of the engagement to a shareholder vote would impede the company’s ability to employ the chief executive officer candidate.</w:t>
      </w:r>
    </w:p>
    <w:p>
      <w:pPr>
        <w:pStyle w:val="TextBody"/>
        <w:bidi w:val="0"/>
        <w:spacing w:lineRule="auto" w:line="300" w:before="0" w:after="0"/>
        <w:jc w:val="left"/>
        <w:rPr/>
      </w:pPr>
      <w:r>
        <w:rPr/>
      </w:r>
    </w:p>
    <w:p>
      <w:pPr>
        <w:pStyle w:val="TextBody"/>
        <w:bidi w:val="0"/>
        <w:spacing w:lineRule="auto" w:line="300" w:before="0" w:after="0"/>
        <w:jc w:val="both"/>
        <w:rPr>
          <w:b/>
          <w:sz w:val="20"/>
        </w:rPr>
      </w:pPr>
      <w:r>
        <w:rPr>
          <w:b/>
          <w:sz w:val="20"/>
        </w:rPr>
        <w:t>Compensation of Directors and Executive Officers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aggregate compensation paid by us and our subsidiaries to our directors and executive officers, including share-based compensation expenses recorded in our financial statements, for the year ended December 31, 2023, was approximately $14 million. This amount includes deferred or contingent compensation accrued for such year (and excludes deferred or contingent amounts accrued for during the year ended December 31, 2022 and paid during the year ended December 31, 2023). This amount includes approximately $0.1 million set aside or accrued to provide pension, severance, retirement or similar benefits or expenses, but does not include business travel, relocation, professional and business association dues and expenses reimbursed to our directors and executive officers.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During the year ended December 31, 2023, our directors and officers were granted options to purchase an aggregate of 146,282 ordinary shares, at a weighted average exercise price of $8.75 per share, and 1,026,589 restricted share units and performance share units under our 2021 Share Incentive Plan.</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following is a summary of the salary expenses and social benefit costs of our five most highly compensated executive officers in 2023, or the “Covered Executives.” All amounts reported reflect the cost to the Company as recognized in our financial statements for the year ended December 31, 2023.</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174" w:name="z84f233aae8d741eda54f3a2239d0fa76"/>
      <w:bookmarkStart w:id="175" w:name="z84f233aae8d741eda54f3a2239d0fa76"/>
      <w:bookmarkEnd w:id="175"/>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lineRule="auto" w:line="300" w:before="0" w:after="0"/>
              <w:jc w:val="both"/>
              <w:rPr/>
            </w:pPr>
            <w:r>
              <w:rPr/>
              <w:t>•</w:t>
            </w:r>
          </w:p>
        </w:tc>
        <w:tc>
          <w:tcPr>
            <w:tcW w:w="10095" w:type="dxa"/>
            <w:tcBorders/>
            <w:vAlign w:val="center"/>
          </w:tcPr>
          <w:p>
            <w:pPr>
              <w:pStyle w:val="TableContents"/>
              <w:bidi w:val="0"/>
              <w:spacing w:lineRule="auto" w:line="300" w:before="0" w:after="0"/>
              <w:jc w:val="both"/>
              <w:rPr/>
            </w:pPr>
            <w:r>
              <w:rPr/>
              <w:t>Mr. Dan Adika, Chief Executive Officer. Compensation expenses recorded in 2023 of $0.4 million in salary expenses and $0.1 million in social benefits costs.</w:t>
            </w:r>
          </w:p>
        </w:tc>
      </w:tr>
      <w:tr>
        <w:trPr/>
        <w:tc>
          <w:tcPr>
            <w:tcW w:w="110" w:type="dxa"/>
            <w:tcBorders/>
            <w:vAlign w:val="center"/>
          </w:tcPr>
          <w:p>
            <w:pPr>
              <w:pStyle w:val="TableContents"/>
              <w:bidi w:val="0"/>
              <w:spacing w:lineRule="auto" w:line="300" w:before="0" w:after="0"/>
              <w:jc w:val="both"/>
              <w:rPr/>
            </w:pPr>
            <w:r>
              <w:rPr/>
              <w:t>•</w:t>
            </w:r>
          </w:p>
        </w:tc>
        <w:tc>
          <w:tcPr>
            <w:tcW w:w="10095" w:type="dxa"/>
            <w:tcBorders/>
            <w:vAlign w:val="center"/>
          </w:tcPr>
          <w:p>
            <w:pPr>
              <w:pStyle w:val="TableContents"/>
              <w:bidi w:val="0"/>
              <w:spacing w:lineRule="auto" w:line="300" w:before="0" w:after="0"/>
              <w:jc w:val="both"/>
              <w:rPr/>
            </w:pPr>
            <w:r>
              <w:rPr/>
              <w:t>Ms. Hagit Ynon, Chief Financial Officer. Compensation expenses recorded in 2023 of $0.4 million in salary expenses and $0.1 million in social benefits costs.</w:t>
            </w:r>
          </w:p>
        </w:tc>
      </w:tr>
      <w:tr>
        <w:trPr/>
        <w:tc>
          <w:tcPr>
            <w:tcW w:w="110" w:type="dxa"/>
            <w:tcBorders/>
            <w:vAlign w:val="center"/>
          </w:tcPr>
          <w:p>
            <w:pPr>
              <w:pStyle w:val="TableContents"/>
              <w:bidi w:val="0"/>
              <w:spacing w:lineRule="auto" w:line="300" w:before="0" w:after="0"/>
              <w:jc w:val="both"/>
              <w:rPr/>
            </w:pPr>
            <w:r>
              <w:rPr/>
              <w:t>•</w:t>
            </w:r>
          </w:p>
        </w:tc>
        <w:tc>
          <w:tcPr>
            <w:tcW w:w="10095" w:type="dxa"/>
            <w:tcBorders/>
            <w:vAlign w:val="center"/>
          </w:tcPr>
          <w:p>
            <w:pPr>
              <w:pStyle w:val="TableContents"/>
              <w:bidi w:val="0"/>
              <w:spacing w:lineRule="auto" w:line="300" w:before="0" w:after="0"/>
              <w:jc w:val="both"/>
              <w:rPr/>
            </w:pPr>
            <w:r>
              <w:rPr/>
              <w:t>Mr. Scott Little, Chief Revenue Officer. Compensation expenses recorded in 2023 of $0.4 million in salary expenses and $0.1 million in social benefits costs.</w:t>
            </w:r>
          </w:p>
        </w:tc>
      </w:tr>
      <w:tr>
        <w:trPr/>
        <w:tc>
          <w:tcPr>
            <w:tcW w:w="110" w:type="dxa"/>
            <w:tcBorders/>
            <w:vAlign w:val="center"/>
          </w:tcPr>
          <w:p>
            <w:pPr>
              <w:pStyle w:val="TableContents"/>
              <w:bidi w:val="0"/>
              <w:spacing w:lineRule="auto" w:line="300" w:before="0" w:after="0"/>
              <w:jc w:val="both"/>
              <w:rPr/>
            </w:pPr>
            <w:r>
              <w:rPr/>
              <w:t>•</w:t>
            </w:r>
          </w:p>
        </w:tc>
        <w:tc>
          <w:tcPr>
            <w:tcW w:w="10095" w:type="dxa"/>
            <w:tcBorders/>
            <w:vAlign w:val="center"/>
          </w:tcPr>
          <w:p>
            <w:pPr>
              <w:pStyle w:val="TableContents"/>
              <w:bidi w:val="0"/>
              <w:spacing w:lineRule="auto" w:line="300" w:before="0" w:after="0"/>
              <w:jc w:val="both"/>
              <w:rPr/>
            </w:pPr>
            <w:r>
              <w:rPr/>
              <w:t>Ms. Chelsea Pyrzenski, Chief People Officer. Compensation expenses recorded in 2023 of $0.4 million in salary expenses and $0.1 million in social benefits costs.</w:t>
            </w:r>
          </w:p>
        </w:tc>
      </w:tr>
      <w:tr>
        <w:trPr/>
        <w:tc>
          <w:tcPr>
            <w:tcW w:w="110" w:type="dxa"/>
            <w:tcBorders/>
            <w:vAlign w:val="center"/>
          </w:tcPr>
          <w:p>
            <w:pPr>
              <w:pStyle w:val="TableContents"/>
              <w:bidi w:val="0"/>
              <w:spacing w:lineRule="auto" w:line="300" w:before="0" w:after="0"/>
              <w:jc w:val="both"/>
              <w:rPr/>
            </w:pPr>
            <w:r>
              <w:rPr/>
              <w:t>•</w:t>
            </w:r>
          </w:p>
        </w:tc>
        <w:tc>
          <w:tcPr>
            <w:tcW w:w="10095" w:type="dxa"/>
            <w:tcBorders/>
            <w:vAlign w:val="center"/>
          </w:tcPr>
          <w:p>
            <w:pPr>
              <w:pStyle w:val="TableContents"/>
              <w:bidi w:val="0"/>
              <w:spacing w:lineRule="auto" w:line="300" w:before="0" w:after="0"/>
              <w:jc w:val="both"/>
              <w:rPr/>
            </w:pPr>
            <w:r>
              <w:rPr/>
              <w:t>Mr. Paul Shinn, General Counsel. Compensation expenses recorded in 2023 of $0.3 million in salary expenses and $0.1 million in social benefits costs.</w:t>
            </w:r>
          </w:p>
          <w:p>
            <w:pPr>
              <w:pStyle w:val="TableContents"/>
              <w:bidi w:val="0"/>
              <w:spacing w:lineRule="auto" w:line="300" w:before="0" w:after="0"/>
              <w:jc w:val="left"/>
              <w:rPr/>
            </w:pPr>
            <w:r>
              <w:rPr/>
              <w:t> </w:t>
            </w:r>
          </w:p>
        </w:tc>
      </w:tr>
    </w:tbl>
    <w:p>
      <w:pPr>
        <w:pStyle w:val="TextBody"/>
        <w:bidi w:val="0"/>
        <w:spacing w:lineRule="auto" w:line="300" w:before="0" w:after="0"/>
        <w:ind w:left="0" w:right="0" w:firstLine="490"/>
        <w:jc w:val="both"/>
        <w:rPr>
          <w:sz w:val="20"/>
        </w:rPr>
      </w:pPr>
      <w:r>
        <w:rPr>
          <w:sz w:val="20"/>
        </w:rPr>
        <w:t>The salary expenses summarized above include the gross salary paid to the Covered Executives, and the benefit costs include the social benefits paid by us on behalf of the Covered Executives, convalescence pay, contributions made by the company to an insurance policy, pension fund or 401(K) fund.</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In accordance with our compensation policy, we also paid cash bonuses and commissions to our Covered Executives upon compliance with predetermined performance parameters as set by the compensation committee and the board of directors. The 2023 cash bonus and commissions expenses for Mr. Dan Adika, Ms. Hagit Ynon, Mr. Scott Little, Ms. Chelsea Pyrzenski and Mr. Paul Shinn as provided for in our 2023 financial statements, were $0.3 million, $0.2 million, $0.3 million, $0.1 million and $0.1 million, respectively.</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recorded equity-based compensation expenses in our financial statements for the year ended December 31, 2023 for Mr. Dan Adika, Ms. Hagit Ynon, Mr. Scott Little, Ms. Chelsea Pyrzenski and Mr. Paul Shinn of $6.6 million, $1.8 million, $0.9 million, $1.1 million and $1.0 million, respectively.</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All equity-based compensation grants to our Covered Executives were made in accordance with the parameters of our compensation policy and were approved by our compensation committee and board of directors. Assumptions and key variables used in the calculation of such amounts are described in Note 10 to our audited consolidated financial statements included in Item 18 of this Annual Report.</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Additionally, we annually pay to each of our non-employee directors a cash retainer of $30,000 (or $80,000 for the chairperson) with an additional annual payment for service on board committees as follows: $10,000 (or $20,000 for the chairperson) per membership of the audit committee, or $7,500 (or $15,000 for the chairperson) per membership of the compensation committee and $4,000 (or $8,000 for the chairperson) per membership of the nominating, governance and sustainability committee or any other board committee. In addition, upon election, non-employee directors, will be granted equity awards under our incentive plan at a value of $400,000, which will vest on a monthly basis over a period of three years. In addition, each non-employee director will be granted equity awards under our incentive plan (provided the director is still in office) at a value of $180,000, which will vest on the earlier of the first anniversary of the date on which such options and restricted share units were granted or the date upon which our next annual general meeting of the shareholders is convened, subject to such director’s continued service through such date. Any unvested equity grants will accelerate and fully vest upon the occurrence of a change in control transaction.</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77</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In connection with Ms. Bettencourt’s appointment to serve as chairperson of the board of directors, and as was approved by the shareholders of the Company at the annual general meeting that took place on May 15, 2023, Ms. Bettencourt is entitled to receive (i) an annual cash retainer of $80,000, (ii) an annual grant of 25,000 RSUs on each date of the Company’s annual general meeting of the shareholders, (iii) an annual grant of options representing $90,000 in value as of the date of such grant (together with (ii), the “Chairperson Equity Grant”); provided, however, that in no event will the Chairperson Equity Grant exceed an annual aggregate value of $750,000 in order to comply with the limitations of the Company’s compensation policy. In addition to the foregoing compensation in connection with Ms. Bettencourt’s appointment as chairperson of the board of directors, Ms. Bettencourt is also entitled to receive an annual payment of $10,000 for her membership on the audit committee of the board of directors.</w:t>
      </w:r>
    </w:p>
    <w:p>
      <w:pPr>
        <w:pStyle w:val="TextBody"/>
        <w:bidi w:val="0"/>
        <w:spacing w:lineRule="auto" w:line="300" w:before="0" w:after="0"/>
        <w:jc w:val="left"/>
        <w:rPr/>
      </w:pPr>
      <w:r>
        <w:rPr/>
      </w:r>
    </w:p>
    <w:p>
      <w:pPr>
        <w:pStyle w:val="TextBody"/>
        <w:bidi w:val="0"/>
        <w:spacing w:lineRule="auto" w:line="300" w:before="0" w:after="0"/>
        <w:jc w:val="both"/>
        <w:rPr>
          <w:sz w:val="20"/>
        </w:rPr>
      </w:pPr>
      <w:r>
        <w:rPr>
          <w:b/>
          <w:sz w:val="20"/>
        </w:rPr>
        <w:t>Employment and consulting agreements with executive officers</w:t>
      </w:r>
      <w:r>
        <w:rPr>
          <w:sz w:val="20"/>
        </w:rPr>
        <w:t> </w:t>
      </w:r>
      <w:r>
        <w:rPr>
          <w:b/>
          <w:sz w:val="20"/>
        </w:rPr>
        <w:t>and directors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i/>
          <w:sz w:val="20"/>
        </w:rPr>
        <w:t>Employment Agreements.</w:t>
      </w:r>
      <w:r>
        <w:rPr>
          <w:sz w:val="20"/>
        </w:rPr>
        <w:t xml:space="preserve"> We have entered into employment agreements with each of our executive officers who works for us as an employee. These agreements each contain provisions regarding noncompetition, confidentiality of information and assignment of inventions. The enforceability of covenants not to compete is subject to limitations. These agreements also provide for notice periods of varying duration for termination of the agreement by us or by the relevant executive officer, during which time the executive officer will continue to receive base salary and benefits.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provisions of certain of our executive officers’ employment agreements contain termination or change of control provisions. With respect to certain executive officers, either we or the executive officer may terminate his or her employment by giving 90 calendar days’ advance written notice to the other party. We may also terminate an executive officer’s employment agreement for good reason (as defined the applicable employment agreement) or in the event of a merger or acquisition transaction.</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i/>
          <w:sz w:val="20"/>
        </w:rPr>
        <w:t>Equity Awards.</w:t>
      </w:r>
      <w:r>
        <w:rPr>
          <w:sz w:val="20"/>
        </w:rPr>
        <w:t xml:space="preserve"> Since our inception, we have granted options to purchase our ordinary shares to our executive officers and certain of our directors. In August 2021, we began granting restricted share units, or RSUs, to our executive officers. Such equity agreements may contain acceleration provisions upon certain merger, acquisition or change of control transactions.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i/>
          <w:sz w:val="20"/>
        </w:rPr>
        <w:t>Exculpation, Indemnification and Insurance.</w:t>
      </w:r>
      <w:r>
        <w:rPr>
          <w:sz w:val="20"/>
        </w:rPr>
        <w:t xml:space="preserve"> Our Articles of Association permit us to exculpate, indemnify and insure our office holders to the fullest extent permitted by the Companies Law. We have entered into agreements with certain office holders, exculpating them from a breach of their duty of care to us to the fullest extent permitted by law and undertaking to indemnify them to the fullest extent permitted by law, subject to certain exceptions (including with respect to our IPO) to the extent that these liabilities are not covered by insurance.</w:t>
      </w:r>
    </w:p>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Equity incentive plans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i/>
          <w:sz w:val="20"/>
        </w:rPr>
      </w:pPr>
      <w:r>
        <w:rPr>
          <w:i/>
          <w:sz w:val="20"/>
        </w:rPr>
        <w:t>Restated 2012 Plan</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Restated 2012 Plan was adopted by our board of directors on June 29, 2012, amended as of December 6, 2012, amended and restated on June 4, 2020 and further amended on May 11, 2021. The Restated 2012 Plan provides for the grant of options to our employees, directors, office holders, consultants and other eligible service providers. The Restated 2012 Plan terminated upon the effective date of our initial public offering, or the IPO, and we will not grant any additional awards under the Restated 2012 Plan. However, the Restated 2012 Plan will continue to govern the terms and conditions of the outstanding awards previously granted under the Restated 2012 Plan.</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i/>
          <w:sz w:val="20"/>
        </w:rPr>
        <w:t>U.S. Appendix</w:t>
      </w:r>
      <w:r>
        <w:rPr>
          <w:sz w:val="20"/>
        </w:rPr>
        <w:t>. Our United States Appendix to the Restated 2012 Plan (the “U.S. Appendix”) governs option awards granted to our United States employees or service providers, including those who are deemed to be residents of the United States for tax purposes. Each option  was evidenced by a notice of grant, which  contained the terms and conditions upon which such option was issued and exercised. Each option which is intended to be an incentive stock option  was granted in compliance with the requirements of Section 422 of the Code and applicable law. Only our United States employees were eligible to be granted incentive stock options. With respect to any option granted to a United States optionee, in the event of a conflict between the terms of the U.S. Appendix and the Restated 2012 Plan, the terms of the U.S. Appendix will prevail.</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78</w:t>
      </w:r>
    </w:p>
    <w:p>
      <w:pPr>
        <w:pStyle w:val="HorizontalLine"/>
        <w:bidi w:val="0"/>
        <w:spacing w:before="200" w:after="200"/>
        <w:jc w:val="left"/>
        <w:rPr/>
      </w:pPr>
      <w:r>
        <w:rPr/>
      </w:r>
    </w:p>
    <w:p>
      <w:pPr>
        <w:pStyle w:val="TextBody"/>
        <w:bidi w:val="0"/>
        <w:spacing w:lineRule="auto" w:line="300" w:before="0" w:after="0"/>
        <w:jc w:val="both"/>
        <w:rPr>
          <w:i/>
          <w:sz w:val="20"/>
        </w:rPr>
      </w:pPr>
      <w:r>
        <w:rPr>
          <w:i/>
          <w:sz w:val="20"/>
        </w:rPr>
        <w:t>2021 Share Incentive Plan</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We adopted the 2021 Plan immediately prior to the IPO. The 2021 Plan provides for the grant of equity-based incentive awards to our employees, directors, office holders, service providers and consultants in order to incentivize them to increase their efforts on behalf of the Company and to promote the success of the Company’s business.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i/>
          <w:sz w:val="20"/>
        </w:rPr>
        <w:t xml:space="preserve">Shares Available for Grants. </w:t>
      </w:r>
      <w:r>
        <w:rPr>
          <w:sz w:val="20"/>
        </w:rPr>
        <w:t>A total of 8,992,791 of our ordinary shares remain available for issuance under the 2021 plan subject to adjustments as provided hereinafter. The maximum number ordinary shares available for issuance under the 2021 Plan is equal to the sum of (i) 9,954,480 shares, (ii) any shares subject to awards under the Restated 2012 Plan which have expired, or were cancelled, terminated, forfeited or settled in cash in lieu of issuance of shares or became unexercisable without having been exercised and (iii) an annual increase on the first day of each year beginning in 2022 and on January 1st of each calendar year thereafter and ending on January 1, 2031, equal to the lesser of (A) 5% of the outstanding ordinary shares of the Company on the last day of the immediately preceding calendar year; and (B) such amount as determined by our board of directors if so determined prior to January 1 of a calendar year, provided that no more than 99,544,800 ordinary shares may be issued upon the exercise of Incentive Stock Options. If permitted by our board of directors, shares tendered to pay the exercise price or withholding tax obligations with respect to an award granted under the 2021 Plan or the Restated 2012 Plan may again be available for issuance under the 2021 Plan, unless determined otherwise by the Board. Our board of directors may also reduce the number of ordinary shares reserved and available for issuance under the 2021 Plan in its discretion.</w:t>
      </w:r>
    </w:p>
    <w:p>
      <w:pPr>
        <w:pStyle w:val="TextBody"/>
        <w:bidi w:val="0"/>
        <w:spacing w:lineRule="auto" w:line="300" w:before="0" w:after="0"/>
        <w:jc w:val="left"/>
        <w:rPr/>
      </w:pPr>
      <w:r>
        <w:rPr/>
      </w:r>
    </w:p>
    <w:p>
      <w:pPr>
        <w:pStyle w:val="TextBody"/>
        <w:bidi w:val="0"/>
        <w:spacing w:lineRule="auto" w:line="300" w:before="0" w:after="0"/>
        <w:ind w:left="0" w:right="0" w:firstLine="500"/>
        <w:jc w:val="both"/>
        <w:rPr>
          <w:sz w:val="20"/>
        </w:rPr>
      </w:pPr>
      <w:r>
        <w:rPr>
          <w:i/>
          <w:sz w:val="20"/>
        </w:rPr>
        <w:t xml:space="preserve">Administration. </w:t>
      </w:r>
      <w:r>
        <w:rPr>
          <w:sz w:val="20"/>
        </w:rPr>
        <w:t>Our board of directors, or a duly authorized committee of our board of directors, or the administrator, will administer the 2021 Plan.  </w:t>
      </w:r>
    </w:p>
    <w:p>
      <w:pPr>
        <w:pStyle w:val="TextBody"/>
        <w:bidi w:val="0"/>
        <w:spacing w:lineRule="auto" w:line="300" w:before="0" w:after="0"/>
        <w:jc w:val="both"/>
        <w:rPr/>
      </w:pPr>
      <w:r>
        <w:rPr/>
      </w:r>
    </w:p>
    <w:p>
      <w:pPr>
        <w:pStyle w:val="TextBody"/>
        <w:bidi w:val="0"/>
        <w:spacing w:lineRule="auto" w:line="300" w:before="0" w:after="0"/>
        <w:ind w:left="0" w:right="0" w:firstLine="490"/>
        <w:jc w:val="both"/>
        <w:rPr>
          <w:sz w:val="20"/>
        </w:rPr>
      </w:pPr>
      <w:r>
        <w:rPr>
          <w:i/>
          <w:sz w:val="20"/>
        </w:rPr>
        <w:t xml:space="preserve">Eligibility. </w:t>
      </w:r>
      <w:r>
        <w:rPr>
          <w:sz w:val="20"/>
        </w:rPr>
        <w:t>The 2021 Plan provides for granting awards under various tax regimes, including, without limitation, in compliance with Section 102 of the Ordinance, and Section 3(i) of the Ordinance and for awards granted to our United States employees or service providers, including those who are deemed to be residents of the United States for tax purposes, Section 422 of the Code and Section 409A of the Code.</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490"/>
        <w:jc w:val="both"/>
        <w:rPr>
          <w:sz w:val="20"/>
        </w:rPr>
      </w:pPr>
      <w:r>
        <w:rPr>
          <w:i/>
          <w:sz w:val="20"/>
        </w:rPr>
        <w:t xml:space="preserve">Awards. </w:t>
      </w:r>
      <w:r>
        <w:rPr>
          <w:sz w:val="20"/>
        </w:rPr>
        <w:t>The 2021 Plan provides for the grant of stock options (including incentive stock options and nonqualified stock options), ordinary shares, restricted shares, RSUs, stock appreciation rights and other share-based awards.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i/>
          <w:sz w:val="20"/>
        </w:rPr>
      </w:pPr>
      <w:r>
        <w:rPr>
          <w:i/>
          <w:sz w:val="20"/>
        </w:rPr>
        <w:t>2021 Employee Share Purchase Plan</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We adopted the ESPP immediately prior to the IPO. The ESPP is comprised of two distinct components: (1) the component intended to qualify for favorable U.S. federal tax treatment under Section 423 of the Code (the “Section 423 Component”) and (2) the component not intended to be tax qualified under Section 423 of the Code to facilitate participation for employees who are not eligible to benefit from favorable U.S. federal tax treatment and, to the extent applicable, to provide flexibility to comply with non U.S. law and other considerations (the “Non Section 423 Component”).</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i/>
          <w:sz w:val="20"/>
        </w:rPr>
        <w:t>Authorized Shares.</w:t>
      </w:r>
      <w:r>
        <w:rPr>
          <w:sz w:val="20"/>
        </w:rPr>
        <w:t xml:space="preserve"> A total of 2,627,628 of our ordinary shares remain available for sale under the ESPP, subject to adjustment as provided for in the ESPP. In addition, on the first day of each fiscal year beginning with our 2022 fiscal year and through our 2031 fiscal year, such pool of ordinary shares shall be increased by that number of our ordinary shares equal to the lesser of: </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176" w:name="zaa60b3e4d2c34ef88147c2d7f0a6ebcf"/>
      <w:bookmarkStart w:id="177" w:name="zaa60b3e4d2c34ef88147c2d7f0a6ebcf"/>
      <w:bookmarkEnd w:id="17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1% of the outstanding ordinary shares as of the last day of the immediately preceding fiscal year, determined on a fully diluted basis; or</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such other amount as our board of directors may determine.</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In no event will more than 18,249,880 ordinary shares be available for issuance under the Section 423 Component.</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i/>
          <w:sz w:val="20"/>
        </w:rPr>
        <w:t xml:space="preserve">ESPP Administration. </w:t>
      </w:r>
      <w:r>
        <w:rPr>
          <w:sz w:val="20"/>
        </w:rPr>
        <w:t>Unless otherwise determined by our board of directors, the compensation committee of our board of directors; or the administrator; will administer the ESPP.</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i/>
          <w:sz w:val="20"/>
        </w:rPr>
        <w:t>Israeli Appendix</w:t>
      </w:r>
      <w:r>
        <w:rPr>
          <w:sz w:val="20"/>
        </w:rPr>
        <w:t>. The administrator, in its discretion, may grant a right to purchase awards in compliance with Section 102 of the Ordinance to eligible employees who are, or are deemed to be, residents of the State of Israel for Israeli tax purposes.</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79</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78" w:name="z2f159c82693941c9b21cedf76fd90650"/>
      <w:bookmarkStart w:id="179" w:name="z2f159c82693941c9b21cedf76fd90650"/>
      <w:bookmarkEnd w:id="179"/>
    </w:p>
    <w:tbl>
      <w:tblPr>
        <w:tblW w:w="1930" w:type="dxa"/>
        <w:jc w:val="left"/>
        <w:tblInd w:w="0" w:type="dxa"/>
        <w:tblLayout w:type="fixed"/>
        <w:tblCellMar>
          <w:top w:w="0" w:type="dxa"/>
          <w:left w:w="0" w:type="dxa"/>
          <w:bottom w:w="0" w:type="dxa"/>
          <w:right w:w="0" w:type="dxa"/>
        </w:tblCellMar>
      </w:tblPr>
      <w:tblGrid>
        <w:gridCol w:w="275"/>
        <w:gridCol w:w="1655"/>
      </w:tblGrid>
      <w:tr>
        <w:trPr/>
        <w:tc>
          <w:tcPr>
            <w:tcW w:w="275" w:type="dxa"/>
            <w:tcBorders/>
            <w:vAlign w:val="center"/>
          </w:tcPr>
          <w:p>
            <w:pPr>
              <w:pStyle w:val="TableContents"/>
              <w:bidi w:val="0"/>
              <w:spacing w:lineRule="auto" w:line="300" w:before="0" w:after="0"/>
              <w:jc w:val="both"/>
              <w:rPr>
                <w:b/>
              </w:rPr>
            </w:pPr>
            <w:r>
              <w:rPr>
                <w:b/>
              </w:rPr>
              <w:t>C.</w:t>
            </w:r>
          </w:p>
        </w:tc>
        <w:tc>
          <w:tcPr>
            <w:tcW w:w="1655" w:type="dxa"/>
            <w:tcBorders/>
            <w:vAlign w:val="center"/>
          </w:tcPr>
          <w:p>
            <w:pPr>
              <w:pStyle w:val="TableContents"/>
              <w:bidi w:val="0"/>
              <w:spacing w:lineRule="auto" w:line="300" w:before="0" w:after="0"/>
              <w:jc w:val="both"/>
              <w:rPr>
                <w:b/>
              </w:rPr>
            </w:pPr>
            <w:r>
              <w:rPr>
                <w:b/>
              </w:rPr>
              <w:t>Board Practices</w:t>
            </w:r>
          </w:p>
        </w:tc>
      </w:tr>
    </w:tbl>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Corporate Governance Practices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As an Israeli company, we are subject to various corporate governance requirements under the Companies Law. However, pursuant to regulations promulgated under the Companies Law, companies with shares traded on certain U.S. stock exchanges, including Nasdaq, may, subject to certain conditions, “opt out” from the Companies Law requirements to appoint external directors and related Companies Law rules concerning the composition of the audit committee and compensation committee of the board of directors (other than the gender diversification rule under the Companies Law, which requires the appointment of a director from the other gender if at the time a director is appointed all members of the board of directors are of the same gender). In accordance with these regulations, we elected to “opt out” from those requirements of the Companies Law. Under these regulations, the exemptions from such Companies Law requirements will continue to be available to us so long as: (i) we do not have a “controlling shareholder” (as such term is defined under the Companies Law), (ii) our shares are traded on certain U.S. stock exchanges, including Nasdaq, and (iii) we comply with the director independence requirements and the audit committee and compensation committee composition requirements under U.S. laws (including applicable rules of Nasdaq) applicable to U.S. domestic issuers.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We are a “foreign private issuer” (as such term is defined in Rule 3b-4 under the Exchange Act). As a foreign private issuer, we are permitted to comply with Israeli corporate governance practices instead of the corporate governance rules of Nasdaq, provided that we disclose which requirements we are not following and the equivalent Israeli requirement. 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are not be required under the Exchange Act to file periodic reports and financial statements with the SEC as frequently or as promptly as U.S. companies whose securities are registered under the Exchange Act. For more information regarding our corporate governance practices and foreign private issuer status, see Item 16G. “Corporate Governance.”</w:t>
      </w:r>
    </w:p>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Board of Directors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Under the Companies Law and our Articles of Association, our business and affairs are managed under the direction of our board of directors. Our board of directors may exercise all powers and may take all actions that are not specifically granted to our shareholders or to executive management. Our Chief Executive Officer (referred to as a “general manager” under the Companies Law) is responsible for our day-to-day management. Our Chief Executive Officer is appointed by, and serves at the discretion of, our board of directors, subject to the employment agreement that we have entered into with him. All other executive officers are appointed by the Chief Executive Officer, subject to applicable corporate approvals, and are subject to the terms of any applicable employment or consulting agreements that we may enter into with them.</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Under our Articles of Association, our board of directors must consist of not less than three but no more than ten directors divided into three classes, as nearly equal in number as practicable, with staggered three-year terms, provided, however, that in the event at any time our board of directors is comprised of nine or less members, the maximum number of members permitted under our Articles of Association shall not exceed nine. Each class of directors consists, as nearly as possible, of one-third of the total number of directors constituting the entire board of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such that from the annual general meeting of 2022 and thereafter, each year the term of office of only one class of directors will expire.</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directors are divided among the three classes as follows: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80" w:name="za0bccfb53d414ca59a1e305855f41fc6"/>
      <w:bookmarkStart w:id="181" w:name="za0bccfb53d414ca59a1e305855f41fc6"/>
      <w:bookmarkEnd w:id="18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the Class I directors are Roy Saar, Michael Risman, Menashe Ezra and Dan Adika, and their terms will expire at our annual general meeting of our shareholders to be held in 2025;</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the Class II directors, are Michele Bettencourt and Rory O’Driscoll, and their terms will expire at our annual general meeting of our shareholders to be held in 2026; and</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the Class III directors are Jeff Horing, Ron Gutler and Haleli Barath, and their terms will expire at our annual general meeting of our shareholders to be held in 2024.</w:t>
            </w:r>
          </w:p>
        </w:tc>
      </w:tr>
    </w:tbl>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directors are appointed by a simple majority vote of holders of our ordinary shares, participating and voting at an annual general meeting of our shareholders, provided that (i) in the event of a contested election, the method of calculation of the votes and the manner in which the resolutions will be presented to our shareholders at the general meeting will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80</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Each director will hold office until the annual general meeting of our shareholders for the year in which such director’s term expires, unless the tenure of such director expires earlier pursuant to the Companies Law or unless such director is removed from office as described below.</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Under our Articles of Association, the approval of the holders of at least 65% of the total voting power of our shareholders is generally required to remove any of our directors from office or any amendment to this provision shall require the approval of at least 65% of the total voting power of our shareholders to remove any of our directors from office. In addition, vacancies on our board of directors may only be filled by a vote of a simple majority of the directors then in office. A director so appointed will hold office until the next annual general meeting of our shareholders for the election of the class of directors in respect of which the vacancy was created, or in the case of a vacancy due to the number of directors being less than the maximum number of directors stated in our Articles of Association, the new director filling the vacancy will serve until the next annual general meeting of our shareholders for the election of the class of directors to which such director was assigned by our board of directors.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Chairperson of the Board</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Articles of Association provide that the Chairperson of our board of directors is appointed by the members of our board of directors from among them. Under the Companies Law, the chief executive officer of a public company, or a relative of the chief executive officer, may not serve as the chairperson of the board of directors of such public company, and the chairperson of the board of directors of a public company, or a relative of the chairperson, may not be vested with authorities of the chief executive officer of such public company without shareholder approval consisting of a majority vote of the shares present and voting at a shareholders meeting, and in addition, either:</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182" w:name="z38d479f0618a4a7692dcd20aa3f2b545"/>
      <w:bookmarkStart w:id="183" w:name="z38d479f0618a4a7692dcd20aa3f2b545"/>
      <w:bookmarkEnd w:id="18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at least a majority of the shares of non-controlling shareholders and shareholders that do not have a personal interest in the approval voted at the meeting are voted in favor (disregarding abstentions); or</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the total number of shares of non-controlling shareholders and shareholders who do not have a personal interest in such appointment that re voted against such appointment does not exceed two percent (2%) of the aggregate voting rights in the company.</w:t>
            </w:r>
          </w:p>
        </w:tc>
      </w:tr>
    </w:tbl>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shareholders’ approval can be effective for a period of up to five years following an initial public offering, and subsequently, for additional periods of up to three years.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In addition, a person who is subordinated, directly or indirectly, to the chief executive officer may not serve as the chairperson of the board of directors; the chairperson of the board of directors may not be vested with authorities that are granted to persons who are subordinated to the chief executive officer; and the chairperson of the board of directors may not serve in any other position in the company or in a controlled subsidiary, but may serve as a director or chairperson of a controlled subsidiary.</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board of directors appointed Michele Bettencourt as chairperson of the board of directors effective December 31, 2022, replacing Dan Adika who, in addition to his role as Chief Executive Officer, served as chairperson of the board of directors from June 2021 until December 2022.</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External Directors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Under the Companies Law, companies incorporated under the laws of the State of Israel that are “public companies,” including companies with shares listed on Nasdaq, are required to appoint at least two external directors. Pursuant to regulations promulgated under the Companies Law, companies with shares traded on certain U.S. stock exchanges, including Nasdaq, which do not have a “controlling shareholder,” may, subject to certain conditions, “opt out” from the Companies Law requirements to appoint external directors and related Companies Law rules concerning the composition of the audit committee and compensation committee of the board of directors. In accordance with these regulations, we have elected to “opt out” from the Companies Law requirement to appoint external directors and related Companies Law rules concerning the composition of the audit committee and compensation committee of our board of directors.</w:t>
      </w:r>
    </w:p>
    <w:p>
      <w:pPr>
        <w:pStyle w:val="TextBody"/>
        <w:bidi w:val="0"/>
        <w:spacing w:lineRule="auto" w:line="300" w:before="0" w:after="0"/>
        <w:ind w:left="0" w:right="0" w:firstLine="49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81</w:t>
      </w:r>
    </w:p>
    <w:p>
      <w:pPr>
        <w:pStyle w:val="HorizontalLine"/>
        <w:bidi w:val="0"/>
        <w:spacing w:before="200" w:after="200"/>
        <w:jc w:val="left"/>
        <w:rPr/>
      </w:pPr>
      <w:r>
        <w:rPr/>
      </w:r>
    </w:p>
    <w:p>
      <w:pPr>
        <w:pStyle w:val="TextBody"/>
        <w:bidi w:val="0"/>
        <w:spacing w:lineRule="auto" w:line="300" w:before="0" w:after="0"/>
        <w:jc w:val="both"/>
        <w:rPr>
          <w:b/>
          <w:i/>
          <w:sz w:val="20"/>
        </w:rPr>
      </w:pPr>
      <w:r>
        <w:rPr>
          <w:b/>
          <w:i/>
          <w:sz w:val="20"/>
        </w:rPr>
        <w:t>Appointment Rights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Pursuant to our articles of association in effect prior to the IPO, certain of our shareholders had rights to appoint members of our board of directors. All rights to appoint directors terminated upon the closing of the IPO. Our currently serving directors were appointed as follows:</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184" w:name="zb83a66ed4a924b0eaff159d1f4a710be"/>
      <w:bookmarkStart w:id="185" w:name="zb83a66ed4a924b0eaff159d1f4a710be"/>
      <w:bookmarkEnd w:id="18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Dan Adika was appointed by a majority vote based on the number of shares held by Mr. Eyal Cohen, Brooks S.M. Projects Ltd. and Mr. Dan Adika;</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Haleli Barath was appointed by resolution of our board of directors;</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Michele Bettencourt was appointed by resolution of our board of directors;</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Menashe Ezra was appointed by Gemini Israel V, L.P. and Gemini Partners Investors V, L.P; </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Ron Gutler was appointed by unanimous consent of our board of directors;</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Jeff Horing was appointed by Insight Venture Partners IX, L.P., Insight Venture Partners (Cayman) IX, L.P., Insight Venture Partners IX (Co-Investors), L.P. and Insight Venture Partners (Delaware) IX, L.P.;</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Rory O’Driscoll was appointed by Scale Venture Partners IV, L.P.;</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Michael Risman was appointed by Vitruvian Directors I Limited on behalf of Ambleside S.a.r.l; and</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Roy Saar was appointed by Mangrove III Investments S.a.r.l.</w:t>
            </w:r>
          </w:p>
        </w:tc>
      </w:tr>
    </w:tbl>
    <w:p>
      <w:pPr>
        <w:pStyle w:val="TextBody"/>
        <w:bidi w:val="0"/>
        <w:spacing w:lineRule="auto" w:line="300" w:before="0" w:after="0"/>
        <w:jc w:val="left"/>
        <w:rPr/>
      </w:pPr>
      <w:r>
        <w:rPr/>
      </w:r>
    </w:p>
    <w:p>
      <w:pPr>
        <w:pStyle w:val="TextBody"/>
        <w:bidi w:val="0"/>
        <w:spacing w:lineRule="auto" w:line="300" w:before="0" w:after="0"/>
        <w:jc w:val="both"/>
        <w:rPr>
          <w:b/>
          <w:sz w:val="20"/>
        </w:rPr>
      </w:pPr>
      <w:r>
        <w:rPr>
          <w:b/>
          <w:sz w:val="20"/>
        </w:rPr>
        <w:t>Committees of our Board of Directors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Audit Committee</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Companies Law Requirements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Under the Companies Law, the board of directors of a public company must appoint an audit committee. The audit committee must be comprised of at least three directors.</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Listing Requirements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Under Nasdaq corporate governance rules, we are required to maintain an audit committee consisting of at least three independent directors, each of whom is financially literate and one of whom has accounting or related financial management expertise.</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Our audit committee consists of Ron Gutler, Michele Bettencourt and Roy Saar. Ron Gutler serves as the chairperson of the audit committee. All members of our audit committee meet the requirements for financial literacy under the applicable rules and regulations of the SEC and Nasdaq corporate governance rules. Our board of directors has determined that each of Ron Gutler, Michele Bettencourt and Roy Saar is an audit committee financial expert as defined by the SEC rules and has the requisite financial experience as defined by Nasdaq corporate governance rules.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board of directors has determined that each member of our audit committee is “independent” as such term is defined under the Nasdaq corporate governance rules and under Rule 10A-3(b)(1) under the Exchange Act, which is different from the general test for independence of board and committee members.</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Audit Committee Role</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board of directors has adopted an audit committee charter setting forth the responsibilities of the audit committee consistent with the Companies Law, the SEC rules and Nasdaq corporate governance rules, which include: </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86" w:name="z5c2a2de4a4bf45d69a42f458cc94a811"/>
      <w:bookmarkStart w:id="187" w:name="z5c2a2de4a4bf45d69a42f458cc94a811"/>
      <w:bookmarkEnd w:id="18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retaining and terminating our independent auditors, subject to ratification by our board of directors, and in the case of retention, to ratification by the shareholders;</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pre-approving audit and non-audit services to be provided by the independent auditors and related fees and terms;</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overseeing the accounting and financial reporting processes of our Company and audits of our financial statements, the effectiveness of our internal control over financial reporting and making such reports as may be required of an audit committee under the rules and regulations promulgated under the Exchange Act;</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reviewing with management and our independent auditor our annual and quarterly financial statements prior to publication or filing (or submission, as the case may be) to the SEC;</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recommending to our board of directors the retention and termination of the internal auditor, and the internal auditor’s engagement fees and terms, in accordance with the Companies Law as well as approving the yearly or periodic work plan proposed by the internal auditor;</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reviewing policies and procedures with respect to transactions (other than transactions related to the compensation or terms of services) between us and our officers and directors, or affiliates of our officers or directors, or transactions that are not in the ordinary course of our business and deciding whether to approve such acts and transactions if so required under the Companies Law; and</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establishing procedures for the handling of employees’ complaints as to the management of our business and the protection to be provided to such employees.</w:t>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82</w:t>
      </w:r>
    </w:p>
    <w:p>
      <w:pPr>
        <w:pStyle w:val="HorizontalLine"/>
        <w:bidi w:val="0"/>
        <w:spacing w:before="200" w:after="200"/>
        <w:jc w:val="left"/>
        <w:rPr/>
      </w:pPr>
      <w:r>
        <w:rPr/>
      </w:r>
    </w:p>
    <w:p>
      <w:pPr>
        <w:pStyle w:val="TextBody"/>
        <w:bidi w:val="0"/>
        <w:spacing w:lineRule="auto" w:line="300" w:before="0" w:after="0"/>
        <w:jc w:val="both"/>
        <w:rPr>
          <w:b/>
          <w:i/>
          <w:sz w:val="20"/>
        </w:rPr>
      </w:pPr>
      <w:r>
        <w:rPr>
          <w:b/>
          <w:i/>
          <w:sz w:val="20"/>
        </w:rPr>
        <w:t>Compensation Committee</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Companies Law Requirements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Under the Companies Law, the board of directors of a public company must appoint a compensation committee, which must be comprised of at least three directors.</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Listing Requirements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Under the Nasdaq corporate governance rules, we are required to maintain a compensation committee consisting of at least two independent directors.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Our compensation committee consists of Rory O’Driscoll, Ron Gutler and Roy Saar. Rory O’Driscoll serves as chairperson of the compensation committee. Our board of directors has determined that each member of our compensation committee is independent under Nasdaq corporate governance rules, including the additional independence requirements applicable to the members of a compensation committee.</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Compensation Committee Role</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In accordance with the Companies Law, the roles of the compensation committee are, among others, as follows:</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188" w:name="z13292e63694049ebba9132948ce058aa"/>
      <w:bookmarkStart w:id="189" w:name="z13292e63694049ebba9132948ce058aa"/>
      <w:bookmarkEnd w:id="18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making recommendations to our board of directors with respect to the approval of the compensation policy for office holders and, once every three years, regarding any extensions to a compensation policy that was adopted for a period of more than three years;</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reviewing the implementation of the compensation policy and periodically making recommendations to our board of directors with respect to any amendments or updates of the compensation policy;</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resolving whether or not to approve arrangements with respect to the terms of office and employment of office holders; and</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exempting, under certain circumstances, a transaction with our Chief Executive Officer from the approval of our shareholders.</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An “office holder” is defined in the Companies Law as a general manager, chief business manager, deputy general manager, vice general manager, any other person assuming the responsibilities of any of these positions regardless of such person’s title, a director and any other manager directly subordinate to the general manager. Certain of the persons listed in the table under the section titled “Management-Executive Officers and Directors” are office holders under the Companies Law.</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board of directors has adopted a compensation committee charter setting forth the responsibilities of the committee, which are consistent with Nasdaq corporate governance rules and the Companies Law, and include among others: </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190" w:name="z0851f4cd888e43d6ac0892375c3596b9"/>
      <w:bookmarkStart w:id="191" w:name="z0851f4cd888e43d6ac0892375c3596b9"/>
      <w:bookmarkEnd w:id="19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p>
            <w:pPr>
              <w:pStyle w:val="TableContents"/>
              <w:bidi w:val="0"/>
              <w:spacing w:lineRule="auto" w:line="300" w:before="0" w:after="0"/>
              <w:jc w:val="both"/>
              <w:rPr/>
            </w:pPr>
            <w:r>
              <w:rPr/>
              <w:t> </w:t>
            </w:r>
          </w:p>
        </w:tc>
        <w:tc>
          <w:tcPr>
            <w:tcW w:w="10080" w:type="dxa"/>
            <w:tcBorders/>
            <w:vAlign w:val="center"/>
          </w:tcPr>
          <w:p>
            <w:pPr>
              <w:pStyle w:val="TableContents"/>
              <w:bidi w:val="0"/>
              <w:spacing w:lineRule="auto" w:line="300" w:before="0" w:after="0"/>
              <w:jc w:val="both"/>
              <w:rPr/>
            </w:pPr>
            <w:r>
              <w:rPr/>
              <w:t>recommending to our board of directors for its approval a compensation policy in accordance with the requirements of the Companies Law as well as other compensation policies, incentive-based compensation plans and equity-based compensation plans, and overseeing the development and implementation of such policies and recommending to our board of directors any amendments or modifications the committee deems appropriate, including as required under the Companies Law;</w:t>
            </w:r>
          </w:p>
        </w:tc>
      </w:tr>
      <w:tr>
        <w:trPr/>
        <w:tc>
          <w:tcPr>
            <w:tcW w:w="125" w:type="dxa"/>
            <w:tcBorders/>
            <w:vAlign w:val="center"/>
          </w:tcPr>
          <w:p>
            <w:pPr>
              <w:pStyle w:val="TableContents"/>
              <w:bidi w:val="0"/>
              <w:spacing w:lineRule="auto" w:line="300" w:before="0" w:after="0"/>
              <w:jc w:val="both"/>
              <w:rPr/>
            </w:pPr>
            <w:r>
              <w:rPr/>
              <w:t>•</w:t>
            </w:r>
          </w:p>
          <w:p>
            <w:pPr>
              <w:pStyle w:val="TableContents"/>
              <w:bidi w:val="0"/>
              <w:spacing w:lineRule="auto" w:line="300" w:before="0" w:after="0"/>
              <w:jc w:val="both"/>
              <w:rPr/>
            </w:pPr>
            <w:r>
              <w:rPr/>
              <w:t> </w:t>
            </w:r>
          </w:p>
        </w:tc>
        <w:tc>
          <w:tcPr>
            <w:tcW w:w="10080" w:type="dxa"/>
            <w:tcBorders/>
            <w:vAlign w:val="center"/>
          </w:tcPr>
          <w:p>
            <w:pPr>
              <w:pStyle w:val="TableContents"/>
              <w:bidi w:val="0"/>
              <w:spacing w:lineRule="auto" w:line="300" w:before="0" w:after="0"/>
              <w:jc w:val="both"/>
              <w:rPr/>
            </w:pPr>
            <w:r>
              <w:rPr/>
              <w:t>reviewing and approving the granting of options and other incentive awards to our Chief Executive Officer and other executive officers, including reviewing and approving corporate goals and objectives relevant to the compensation of our Chief Executive Officer and other executive officers, including evaluating their performance in light of such goals and objectives;</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Reviewing and making recommendations to the Board regarding director compensation;</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approving and exempting certain transactions regarding office holders’ compensation pursuant to the Companies Law; and</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administering our equity-based compensation plans, including without limitation, approving the adoption of such plans, amending and interpreting such plans and the awards and agreements issued pursuant thereto, and making awards to eligible persons under the plans and determining the terms of such awards.</w:t>
            </w:r>
          </w:p>
        </w:tc>
      </w:tr>
    </w:tbl>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83</w:t>
      </w:r>
    </w:p>
    <w:p>
      <w:pPr>
        <w:pStyle w:val="HorizontalLine"/>
        <w:bidi w:val="0"/>
        <w:spacing w:before="200" w:after="200"/>
        <w:jc w:val="left"/>
        <w:rPr/>
      </w:pPr>
      <w:r>
        <w:rPr/>
      </w:r>
    </w:p>
    <w:p>
      <w:pPr>
        <w:pStyle w:val="TextBody"/>
        <w:bidi w:val="0"/>
        <w:spacing w:lineRule="auto" w:line="300" w:before="0" w:after="0"/>
        <w:jc w:val="both"/>
        <w:rPr>
          <w:i/>
          <w:sz w:val="20"/>
        </w:rPr>
      </w:pPr>
      <w:r>
        <w:rPr>
          <w:i/>
          <w:sz w:val="20"/>
        </w:rPr>
        <w:t>Compensation Policy under the Companies Law</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In general, under the Companies Law, a public company must have a compensation policy approved by the board of directors after receiving and considering the recommendations of the compensation committee. In addition, our compensation policy must be approved at least once every three years, first, by our board of directors, upon the recommendation of our compensation committee, and second, by a simple majority of the ordinary shares present, in person or by proxy, and voting (excluding abstentions) at a general meeting of shareholders, provided that either:</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192" w:name="z297f1785589348f880769ce46e7bbc72"/>
      <w:bookmarkStart w:id="193" w:name="z297f1785589348f880769ce46e7bbc72"/>
      <w:bookmarkEnd w:id="19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such majority includes at least a majority of the shares held by shareholders who are not controlling shareholders and shareholders who do not have a personal interest in such compensation policy; or</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the total number of shares of non-controlling shareholders and shareholders who do not have a personal interest in the compensation policy and who vote against the policy does not exceed two percent (2%) of the aggregate voting rights in the Company.</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Under special circumstances, the board of directors may approve the compensation policy despite the objection of the shareholders on the condition that the compensation committee and then the board of directors decide, on the basis of detailed grounds and after discussing again the compensation policy, that approval of the compensation policy, despite the objection of shareholders, is for the benefit of the company.</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If a company that initially offers its securities to the public, like us, adopts a compensation policy in advance of its initial public offering, and describes it in its prospectus for such offering, then such compensation policy shall be deemed a validly adopted policy in accordance with the Companies Law requirements described above. Furthermore, if the compensation policy is established in accordance with the aforementioned relief, then it will remain in effect for a term of five years from the date such company becomes a public company.</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compensation policy must be based on certain considerations, include certain provisions and reference certain matters as set forth in the Companies Law. 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194" w:name="z42e52a8ce0f241b584719f6dda87f2a2"/>
      <w:bookmarkStart w:id="195" w:name="z42e52a8ce0f241b584719f6dda87f2a2"/>
      <w:bookmarkEnd w:id="19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the education, skills, experience, expertise and accomplishments of the relevant office holder;</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the office holder’s position and responsibilities;</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prior compensation agreements with the office holder;</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the ratio between the cost of the terms of employment of an office holder and the cost of the employment of other employees of the company, including employees employed through contractors who provide services to the company, in particular the ratio between such cost to the average and median salary of such employees of the company, as well as the impact of disparities between them on the work relationships in the company;</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if the terms of employment include variable components - the possibility of reducing variable components at the discretion of the board of directors and the possibility of setting a limit on the value of non-cash variable equity-based components; and</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if the terms of employment include severance compensation - the term of employment or office of the office holder, the terms of the office holder’s compensation during such period, the company’s performance during such period, the office holder’s individual contribution to the achievement of the company goals and the maximization of its profits and the circumstances under which he or she is leaving the company.</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The compensation policy must also include, among other things:</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196" w:name="zf6ce7929555247a18fa5798f758b0d17"/>
      <w:bookmarkStart w:id="197" w:name="zf6ce7929555247a18fa5798f758b0d17"/>
      <w:bookmarkEnd w:id="19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with regards to variable components:</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with the exception of office holders who report to the chief executive officer, a means of determining the variable components on the basis of long-term performance and measurable criteria; provided that the company may determine that an immaterial part of the variable components of the compensation package of an office holder shall be awarded based on non-measurable criteria, or if such amount is not higher than three months’ salary per annum, taking into account such office holder’s contribution to the company; and</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the ratio between variable and fixed components, as well as the limit of the values of variable components at the time of their payment, or in the case of equity-based compensation, at the time of grant;</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 condition under which the office holder will return to the company, according to conditions to be set forth in the compensation policy, any amounts paid as part of the office holder’s terms of employment, if such amounts were paid based on information later to be discovered to be wrong, and such information was restated in the company’s financial statements;</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the minimum holding or vesting period of variable equity-based components to be set in the terms of office or employment, as applicable, while taking into consideration long-term incentives; and</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 limit to retirement grants.</w:t>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84</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Our compensation policy is designed to promote retention and motivation of directors and executive officers, incentivize superior individual excellence, align the interests of our directors and executive officers with our long-term performance and provide a risk management tool. To that end, a portion of our executive officer compensation package is targeted to reflect our short and long-term goals, as well as the executive officer’s individual performance. On the other hand, our compensation policy includes measures designed to reduce the executive officer’s incentives to take excessive risks that may harm us in the long-term, such as limits on the value of cash bonuses and equity-based compensation, limitations on the ratio between the variable and the total compensation of an executive officer and minimum vesting periods and performance based vesting for equity-based compensation.</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compensation policy also addresses our executive officers’ individual characteristics (such as their respective position, education, scope of responsibilities and contribution to the attainment of our goals) as the basis for compensation variation among our executive officers and considers the internal ratios between compensation of our executive officers and directors and other employees. Pursuant to our compensation policy, the compensation that may be granted to an executive officer may include: base salary, annual bonuses and other cash bonuses (such as a signing bonus and special bonuses with respect to any special achievements, such as outstanding personal achievement, outstanding personal effort or outstanding company performance), equity-based compensation, benefits and retirement and termination of service arrangements. All cash bonuses are limited to a maximum amount linked to the executive officer’s base salary.</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An annual cash bonus may be awarded to executive officers upon the attainment of pre-set periodic objectives and individual targets. The annual cash bonus that may be granted to our executive officers other than our Chief Executive Officer will be based on performance objectives and a discretionary evaluation of the executive officer’s overall performance by our Chief Executive Officer and subject to minimum thresholds. The annual cash bonus that may be granted to executive officers other than our Chief Executive Officer may alternatively be based entirely on a discretionary evaluation. Furthermore, our Chief Executive Officer will be entitled to approve performance objectives for executive officers who report to him.</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The measurable performance objectives of our Chief Executive Officer will be determined annually by our compensation committee and board of directors. A non-material portion of the Chief Executive Officer’s annual cash bonus, as provided in our compensation policy, may be based on a discretionary evaluation of the Chief Executive Officer’s overall performance by the compensation committee and the board of directors.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equity-based compensation under our compensation policy for our executive officers (including members of our board of directors) is designed in a manner consistent with the underlying objectives in determining the base salary and the annual cash bonus, with its main objectives being to enhance the alignment between the executive officers’ interests with our long-term interests and those of our shareholders and to strengthen the retention and the motivation of executive officers in the long term. Our compensation policy provides for executive officer compensation in the form of share options or other equity-based awards, such as restricted shares and restricted share units, in accordance with our equity incentive plan then in place. The equity-based compensation shall be granted from time to time and be individually determined and awarded according to the performance, educational background, prior business experience, qualifications, role and the personal responsibilities of the executive officer.</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In addition, our compensation policy contains compensation recovery provisions which allow us under certain conditions to recover bonuses paid in excess, enable our Chief Executive Officer to approve an immaterial change in the terms of employment of an executive officer who reports directly to him (provided that the changes of the terms of employment are in accordance with our compensation policy) and allow us to exculpate, indemnify and insure our executive officers and directors to the maximum extent permitted by Israeli law subject to certain limitations set forth therein.</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compensation policy also provides for compensation to the members of our board of directors either (i) in accordance with the amounts provided in the Companies Regulations (Rules Regarding the Compensation and Expenses of an External Director) of 2000, as amended by the Companies Regulations (Relief for Public Companies Traded in Stock Exchange Outside of Israel) of 2000, as such regulations may be amended from time to time, or (ii) in accordance with the amounts determined in our compensation policy.</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compensation policy was approved by our board of directors and shareholders and became effective upon the closing of our IPO.</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85</w:t>
      </w:r>
    </w:p>
    <w:p>
      <w:pPr>
        <w:pStyle w:val="HorizontalLine"/>
        <w:bidi w:val="0"/>
        <w:spacing w:before="200" w:after="200"/>
        <w:jc w:val="left"/>
        <w:rPr/>
      </w:pPr>
      <w:r>
        <w:rPr/>
      </w:r>
    </w:p>
    <w:p>
      <w:pPr>
        <w:pStyle w:val="TextBody"/>
        <w:bidi w:val="0"/>
        <w:spacing w:lineRule="auto" w:line="300" w:before="0" w:after="0"/>
        <w:jc w:val="both"/>
        <w:rPr>
          <w:i/>
          <w:sz w:val="20"/>
        </w:rPr>
      </w:pPr>
      <w:r>
        <w:rPr>
          <w:i/>
          <w:sz w:val="20"/>
        </w:rPr>
        <w:t>Nominating, Governance and Sustainability Committee</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Our nominating, governance and sustainability committee consists of Menashe Ezra, Jeff Horing, Ron Gutler and Michael Risman. Menashe Ezra serves as chairman of the nominating and governance committee. Our board of directors has adopted a nominating, governance and sustainability committee charter setting forth the responsibilities of the committee, which include:</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198" w:name="z235b48013ebd4d59a2fea305d32c7550"/>
      <w:bookmarkStart w:id="199" w:name="z235b48013ebd4d59a2fea305d32c7550"/>
      <w:bookmarkEnd w:id="19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overseeing and assisting our board in reviewing and recommending nominees for election as directors;</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overseeing the assessment of the performance of the members of our board;</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establishing and maintaining effective corporate governance policies and practices, including, but not limited to, developing and recommending to our board a set of corporate governance guidelines applicable to our business; and</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overseeing our policies, programs and strategies related to environmental, social and governance matters (“ESG”).</w:t>
            </w:r>
          </w:p>
        </w:tc>
      </w:tr>
    </w:tbl>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Internal Auditor</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Under the Companies Law, the board of directors of a public company must appoint an internal auditor based on the recommendation of the audit committee. The role of the internal auditor is, among other things, to examine whether a company’s actions comply with applicable law and orderly business procedure. Under the Companies Law, the internal auditor cannot be an interested party or an office holder or a relative of an interested party or an office holder, nor may the internal auditor be the company’s independent auditor or its representative. “interested party” is defined in the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chief executive officer of the company. As of December 31, 2023, Sharon Cohen, CPA from Deloitte IL &amp; Co, a firm in the Deloitte Global Network is acting as our internal auditor.</w:t>
      </w:r>
    </w:p>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Approval of Related Party Transactions under Israeli Law</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Fiduciary duties of directors and Executive Officers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care includes, among other things, a duty to use reasonable means, in light of the circumstances, to obtain:</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200" w:name="zb945b6d900c24e238fe5d172b4907141"/>
      <w:bookmarkStart w:id="201" w:name="zb945b6d900c24e238fe5d172b4907141"/>
      <w:bookmarkEnd w:id="20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information on the business advisability of a given action brought for his, her or its approval or performed by virtue of his, her or its position; and</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all other important information pertaining to such action.</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The duty of loyalty requires that an office holder act in good faith and in the best interests of the company, and includes, among other things, the duty to:</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202" w:name="zdf2b793383bf4c84a93a28c2aaa86b31"/>
      <w:bookmarkStart w:id="203" w:name="zdf2b793383bf4c84a93a28c2aaa86b31"/>
      <w:bookmarkEnd w:id="20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refrain from any act involving a conflict of interest between the performance of his, her or its duties in the company and his, her or its other duties or personal affairs;</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refrain from any activity that is competitive with the business of the company;</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refrain from exploiting any business opportunity of the company for the purpose of gaining a personal advantage for himself, herself or itself or others; and</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disclose to the company any information or documents relating to the company’s affairs which the office holder received as a result of his, her or its position as an office holder.</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Under the Companies Law, a company may approve an act specified above which would otherwise constitute a breach of the office holder’s duty of loyalty, provided that the office holder acted in good faith, neither the act nor its approval harms the company, and the office holder discloses his, her or its personal interest a sufficient time before the approval of such act. Any such approval is subject to the terms of the Companies Law setting forth, among other things, the appropriate bodies of the company required to provide such approval and the methods of obtaining such approval.</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Disclosure of Personal Interests of an Office Holder and Approval of Certain Transactions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Companies Law requires that an office holder promptly disclose to the board of directors any personal interest that such office holder may have and all related material information known to such office holder concerning any existing or proposed transaction with the company.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such person has the right to appoint at least one director or the general manager, but excluding a personal interest stemming solely from one’s ownership of shares in the company. A personal interest includes the personal interest of a person for whom the office holder holds a voting proxy or the personal interest of the office holder with respect to the officer holder’s vote on behalf of a person for whom he or she holds a proxy even if such shareholder has no personal interest in the matter.</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86</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If it is determined that an office holder has a personal interest in a non-extraordinary transaction, meaning any transaction that is in the ordinary course of business, on market terms or that is not likely to have a material impact on the company’s profitability, assets or liabilities, approval by the board of directors is required for the transaction unless the company’s articles of association provide for a different method of approval. Any such transaction that is adverse to the company’s interests may not be approved by the board of directors.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matter unless a majority of the directors or members of the audit committee, as applicable, have a personal interest in the matter. If a majority of the members of the audit committee or the board of directors have a personal interest in the matter, then all of the directors may participate in deliberations of the audit committee or board of directors, as applicable, with respect to such transaction and vote on the approval thereof and, in such case, shareholder approval is also required.</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Certain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 For these purposes, a controlling shareholder is any shareholder that has the ability to direct the company’s actions, including any shareholder holding 25% or more of the voting rights if no other shareholder owns more than 50% of the voting rights in the company. Two or more shareholders with a personal interest in the approval of the same transaction are deemed to be one shareholder.</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For a description of the approvals required under Israeli law for compensation arrangements of officers and directors, see “-Compensation of Directors and Executive Officers.”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Shareholder Duties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Pursuant to the Companies Law, a shareholder has a duty to act in good faith and in a customary manner toward the company and other shareholders and to refrain from abusing his or her power with respect to the company, including, among other things, in voting at a general meeting and at shareholder class meetings with respect to the following matters:</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204" w:name="zbec3062cb45748af9faf9b6e86bc332e"/>
      <w:bookmarkStart w:id="205" w:name="zbec3062cb45748af9faf9b6e86bc332e"/>
      <w:bookmarkEnd w:id="205"/>
    </w:p>
    <w:tbl>
      <w:tblPr>
        <w:tblW w:w="5995" w:type="dxa"/>
        <w:jc w:val="left"/>
        <w:tblInd w:w="0" w:type="dxa"/>
        <w:tblLayout w:type="fixed"/>
        <w:tblCellMar>
          <w:top w:w="0" w:type="dxa"/>
          <w:left w:w="0" w:type="dxa"/>
          <w:bottom w:w="0" w:type="dxa"/>
          <w:right w:w="0" w:type="dxa"/>
        </w:tblCellMar>
      </w:tblPr>
      <w:tblGrid>
        <w:gridCol w:w="125"/>
        <w:gridCol w:w="5870"/>
      </w:tblGrid>
      <w:tr>
        <w:trPr/>
        <w:tc>
          <w:tcPr>
            <w:tcW w:w="125" w:type="dxa"/>
            <w:tcBorders/>
            <w:vAlign w:val="center"/>
          </w:tcPr>
          <w:p>
            <w:pPr>
              <w:pStyle w:val="TableContents"/>
              <w:bidi w:val="0"/>
              <w:spacing w:lineRule="auto" w:line="300" w:before="0" w:after="0"/>
              <w:jc w:val="both"/>
              <w:rPr/>
            </w:pPr>
            <w:r>
              <w:rPr/>
              <w:t>•</w:t>
            </w:r>
          </w:p>
        </w:tc>
        <w:tc>
          <w:tcPr>
            <w:tcW w:w="5870" w:type="dxa"/>
            <w:tcBorders/>
            <w:vAlign w:val="center"/>
          </w:tcPr>
          <w:p>
            <w:pPr>
              <w:pStyle w:val="TableContents"/>
              <w:bidi w:val="0"/>
              <w:spacing w:lineRule="auto" w:line="300" w:before="0" w:after="0"/>
              <w:jc w:val="both"/>
              <w:rPr/>
            </w:pPr>
            <w:r>
              <w:rPr/>
              <w:t>an amendment to the company’s articles of association;</w:t>
            </w:r>
          </w:p>
        </w:tc>
      </w:tr>
      <w:tr>
        <w:trPr/>
        <w:tc>
          <w:tcPr>
            <w:tcW w:w="125" w:type="dxa"/>
            <w:tcBorders/>
            <w:vAlign w:val="center"/>
          </w:tcPr>
          <w:p>
            <w:pPr>
              <w:pStyle w:val="TableContents"/>
              <w:bidi w:val="0"/>
              <w:spacing w:lineRule="auto" w:line="300" w:before="0" w:after="0"/>
              <w:jc w:val="both"/>
              <w:rPr/>
            </w:pPr>
            <w:r>
              <w:rPr/>
              <w:t>•</w:t>
            </w:r>
          </w:p>
        </w:tc>
        <w:tc>
          <w:tcPr>
            <w:tcW w:w="5870" w:type="dxa"/>
            <w:tcBorders/>
            <w:vAlign w:val="center"/>
          </w:tcPr>
          <w:p>
            <w:pPr>
              <w:pStyle w:val="TableContents"/>
              <w:bidi w:val="0"/>
              <w:spacing w:lineRule="auto" w:line="300" w:before="0" w:after="0"/>
              <w:jc w:val="both"/>
              <w:rPr/>
            </w:pPr>
            <w:r>
              <w:rPr/>
              <w:t>an increase of the company’s authorized share capital;</w:t>
            </w:r>
          </w:p>
        </w:tc>
      </w:tr>
      <w:tr>
        <w:trPr/>
        <w:tc>
          <w:tcPr>
            <w:tcW w:w="125" w:type="dxa"/>
            <w:tcBorders/>
            <w:vAlign w:val="center"/>
          </w:tcPr>
          <w:p>
            <w:pPr>
              <w:pStyle w:val="TableContents"/>
              <w:bidi w:val="0"/>
              <w:spacing w:lineRule="auto" w:line="300" w:before="0" w:after="0"/>
              <w:jc w:val="both"/>
              <w:rPr/>
            </w:pPr>
            <w:r>
              <w:rPr/>
              <w:t>•</w:t>
            </w:r>
          </w:p>
        </w:tc>
        <w:tc>
          <w:tcPr>
            <w:tcW w:w="5870" w:type="dxa"/>
            <w:tcBorders/>
            <w:vAlign w:val="center"/>
          </w:tcPr>
          <w:p>
            <w:pPr>
              <w:pStyle w:val="TableContents"/>
              <w:bidi w:val="0"/>
              <w:spacing w:lineRule="auto" w:line="300" w:before="0" w:after="0"/>
              <w:jc w:val="both"/>
              <w:rPr/>
            </w:pPr>
            <w:r>
              <w:rPr/>
              <w:t>a merger; or</w:t>
            </w:r>
          </w:p>
        </w:tc>
      </w:tr>
      <w:tr>
        <w:trPr/>
        <w:tc>
          <w:tcPr>
            <w:tcW w:w="125" w:type="dxa"/>
            <w:tcBorders/>
            <w:vAlign w:val="center"/>
          </w:tcPr>
          <w:p>
            <w:pPr>
              <w:pStyle w:val="TableContents"/>
              <w:bidi w:val="0"/>
              <w:spacing w:lineRule="auto" w:line="300" w:before="0" w:after="0"/>
              <w:jc w:val="both"/>
              <w:rPr/>
            </w:pPr>
            <w:r>
              <w:rPr/>
              <w:t>•</w:t>
            </w:r>
          </w:p>
        </w:tc>
        <w:tc>
          <w:tcPr>
            <w:tcW w:w="5870" w:type="dxa"/>
            <w:tcBorders/>
            <w:vAlign w:val="center"/>
          </w:tcPr>
          <w:p>
            <w:pPr>
              <w:pStyle w:val="TableContents"/>
              <w:bidi w:val="0"/>
              <w:spacing w:lineRule="auto" w:line="300" w:before="0" w:after="0"/>
              <w:jc w:val="both"/>
              <w:rPr/>
            </w:pPr>
            <w:r>
              <w:rPr/>
              <w:t>interested party transactions that require shareholder approval.</w:t>
            </w:r>
          </w:p>
        </w:tc>
      </w:tr>
    </w:tbl>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In addition, a shareholder has a general duty to refrain from discriminating against other shareholders.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Certain shareholders also have a duty of fairness toward the company. These shareholders include any controlling shareholder, any shareholder who knows that it has the power to determine the outcome of a shareholder vote and any shareholder who has the power to appoint or to prevent the appointment of an office holder of the company or exercise any other rights available to it under the company’s articles of association with respect to the company. The Companies Law does not define the substance of this duty of fairness, except to state that the remedies generally available upon a breach of contract will also apply in the event of a breach of the duty of fairness.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Exculpation, Insurance and Indemnification of Office Holders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of Association include such a provision. An Israeli company may not exculpate a director from liability arising out of a prohibited dividend or distribution to shareholders.</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87</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06" w:name="z68fb5d2c5122431ebe726baa4141a3e8"/>
      <w:bookmarkStart w:id="207" w:name="z68fb5d2c5122431ebe726baa4141a3e8"/>
      <w:bookmarkEnd w:id="20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 mentioned events and amount or criteria;</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 xml:space="preserve">reasonable litigation expenses, including legal fees, incurred by the office holder (1) as a result of an investigation or proceeding instituted against him or her by an authority authorized to conduct such investigation or proceeding, </w:t>
            </w:r>
            <w:r>
              <w:rPr>
                <w:i/>
              </w:rPr>
              <w:t>provided</w:t>
            </w:r>
            <w:r>
              <w:rPr/>
              <w:t xml:space="preserve">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reasonable litigation expenses, including legal fees, incurred by the office holder or imposed by a court in proceedings instituted against him or her by the company, on its behalf or by a third-party or in connection with criminal proceedings in which the office holder was acquitted or as a result of a conviction for an offense that does not require proof of criminal intent; and</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w:t>
            </w:r>
          </w:p>
        </w:tc>
      </w:tr>
    </w:tbl>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An Israeli company may insure an office holder against the following liabilities incurred for acts performed as an office holder if and to the extent provided in the company’s articles of association:</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208" w:name="z4abb4921e6c14183a4bd20354eb06b09"/>
      <w:bookmarkStart w:id="209" w:name="z4abb4921e6c14183a4bd20354eb06b09"/>
      <w:bookmarkEnd w:id="20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 breach of the duty of loyalty to the company, to the extent that the office holder acted in good faith and had a reasonable basis to believe that the act would not prejudice the company;</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 breach of the duty of care to the company or to a third-party, including a breach arising out of the negligent conduct of the office holder;</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 financial liability imposed on the office holder in favor of a third-party;</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 financial liability imposed on the office holder in favor of a third-party harmed by a breach in an administrative proceeding; and</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expenses, including reasonable litigation expenses and legal fees, incurred by the office holder as a result of an administrative proceeding instituted against him or her, pursuant to certain provisions of the Israeli Securities Law.</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An Israeli company may not indemnify or insure an office holder against any of the following: </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210" w:name="ze2da8139851b42cf93cc91f3840d1678"/>
      <w:bookmarkStart w:id="211" w:name="ze2da8139851b42cf93cc91f3840d1678"/>
      <w:bookmarkEnd w:id="21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 breach of the duty of loyalty, except to the extent that the office holder acted in good faith and had a reasonable basis to believe that the act would not prejudice the company;</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 breach of the duty of care committed intentionally or recklessly, excluding a breach arising out of the negligent conduct of the office holder;</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an act or omission committed with intent to derive illegal personal benefit; or</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 fine, monetary sanction or forfeit levied against the office holder.</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Under the Companies Law, exculpation, indemnification and insurance of office holders must be approved by the compensation committee and the board of directors (and, with respect to directors and the chief executive officer, by the shareholders). However, under regulations promulgated under the Companies Law, the insurance of office holders does not require shareholder approval and may be approved by only the compensation committee if the engagement terms are determined in accordance with the company’s compensation policy, which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Articles of Association allow us to exculpate, indemnify and insure our office holders for any liability imposed on them as a consequence of an act (including any omission) which was performed by virtue of being an office holder. Our office holders are currently covered by a directors and officers’ liability insurance policy.</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have entered into indemnification agreements with each of our directors and executive officers exculpating them in advance, to the fullest extent permitted by law, from liability to us for damages caused to us as a result of a breach of duty of care, and undertaking to indemnify them to the fullest extent permitted by law. This indemnification is limited to events determined as foreseeable by the board of directors based on our activities, and to an amount or according to criteria determined by the board of directors as reasonable under the circumstances.</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88</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The maximum indemnification amount set forth in such agreements is limited to an amount equal to the higher of (i) 10% of our IPO’s valuation, (ii) 25% of our total shareholders’ equity as reflected in our most recent consolidated financial statements prior to the date on which the indemnity payment is made and (iii) 10% of our total market cap calculated based on the average closing price our ordinary shares over the 30 trading days prior to the actual payment, multiplied by the total number of our issued and outstanding shares as of the date of the payment (other than indemnification for an offering of securities to the public, including by a shareholder in a secondary offering, in which case the maximum indemnification amount is limited to the gross proceeds raised by us and/or any selling shareholder in such public offering). The maximum amount set forth in such agreements is in addition to any amount paid (if paid) under insurance and/or by a third-party pursuant to an indemnification arrangement.</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In the opinion of the SEC, indemnification of directors and office holders for liabilities arising under the Securities Act, however, is against public policy and therefore unenforceable.</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212" w:name="zc4a33da6840b4d518fc3a8da19fbd0fa"/>
      <w:bookmarkStart w:id="213" w:name="zc4a33da6840b4d518fc3a8da19fbd0fa"/>
      <w:bookmarkEnd w:id="213"/>
    </w:p>
    <w:tbl>
      <w:tblPr>
        <w:tblW w:w="1405" w:type="dxa"/>
        <w:jc w:val="left"/>
        <w:tblInd w:w="0" w:type="dxa"/>
        <w:tblLayout w:type="fixed"/>
        <w:tblCellMar>
          <w:top w:w="0" w:type="dxa"/>
          <w:left w:w="0" w:type="dxa"/>
          <w:bottom w:w="0" w:type="dxa"/>
          <w:right w:w="0" w:type="dxa"/>
        </w:tblCellMar>
      </w:tblPr>
      <w:tblGrid>
        <w:gridCol w:w="275"/>
        <w:gridCol w:w="1130"/>
      </w:tblGrid>
      <w:tr>
        <w:trPr/>
        <w:tc>
          <w:tcPr>
            <w:tcW w:w="275" w:type="dxa"/>
            <w:tcBorders/>
            <w:vAlign w:val="center"/>
          </w:tcPr>
          <w:p>
            <w:pPr>
              <w:pStyle w:val="TableContents"/>
              <w:bidi w:val="0"/>
              <w:spacing w:lineRule="auto" w:line="300" w:before="0" w:after="0"/>
              <w:jc w:val="both"/>
              <w:rPr>
                <w:b/>
              </w:rPr>
            </w:pPr>
            <w:r>
              <w:rPr>
                <w:b/>
              </w:rPr>
              <w:t>D.</w:t>
            </w:r>
          </w:p>
        </w:tc>
        <w:tc>
          <w:tcPr>
            <w:tcW w:w="1130" w:type="dxa"/>
            <w:tcBorders/>
            <w:vAlign w:val="center"/>
          </w:tcPr>
          <w:p>
            <w:pPr>
              <w:pStyle w:val="TableContents"/>
              <w:bidi w:val="0"/>
              <w:spacing w:lineRule="auto" w:line="300" w:before="0" w:after="0"/>
              <w:jc w:val="both"/>
              <w:rPr>
                <w:b/>
              </w:rPr>
            </w:pPr>
            <w:r>
              <w:rPr>
                <w:b/>
              </w:rPr>
              <w:t>Employees</w:t>
            </w:r>
          </w:p>
        </w:tc>
      </w:tr>
    </w:tbl>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employ a growing and highly-skilled employee base, including our sales force and engineers and promote a culture of innovation to continuously enhance our services and commercial footprint. Our human capital objectives include, as applicable, identifying, recruiting, retaining, incentivizing and integrating our current and new employees.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As of December 31, 2023, we had approximately 1,000 full-time employees. Employee turnover has not had a material impact on our operations to date. None of our employees are represented by a trade or labor union. In certain countries in which we operate, we are subject to local labor law requirements, which may automatically make our employees subject to industry-wide collective bargaining agreements. We have not experienced any work stoppages and we consider our relationship with our employees to be good.</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214" w:name="z9a35c0fb1ae940ed8bc5f918a1319a3c"/>
      <w:bookmarkStart w:id="215" w:name="z9a35c0fb1ae940ed8bc5f918a1319a3c"/>
      <w:bookmarkEnd w:id="215"/>
    </w:p>
    <w:tbl>
      <w:tblPr>
        <w:tblW w:w="2080" w:type="dxa"/>
        <w:jc w:val="left"/>
        <w:tblInd w:w="0" w:type="dxa"/>
        <w:tblLayout w:type="fixed"/>
        <w:tblCellMar>
          <w:top w:w="0" w:type="dxa"/>
          <w:left w:w="0" w:type="dxa"/>
          <w:bottom w:w="0" w:type="dxa"/>
          <w:right w:w="0" w:type="dxa"/>
        </w:tblCellMar>
      </w:tblPr>
      <w:tblGrid>
        <w:gridCol w:w="260"/>
        <w:gridCol w:w="1820"/>
      </w:tblGrid>
      <w:tr>
        <w:trPr/>
        <w:tc>
          <w:tcPr>
            <w:tcW w:w="260" w:type="dxa"/>
            <w:tcBorders/>
            <w:vAlign w:val="center"/>
          </w:tcPr>
          <w:p>
            <w:pPr>
              <w:pStyle w:val="TableContents"/>
              <w:bidi w:val="0"/>
              <w:spacing w:lineRule="auto" w:line="300" w:before="0" w:after="0"/>
              <w:jc w:val="both"/>
              <w:rPr>
                <w:b/>
              </w:rPr>
            </w:pPr>
            <w:r>
              <w:rPr>
                <w:b/>
              </w:rPr>
              <w:t>E.</w:t>
            </w:r>
          </w:p>
        </w:tc>
        <w:tc>
          <w:tcPr>
            <w:tcW w:w="1820" w:type="dxa"/>
            <w:tcBorders/>
            <w:vAlign w:val="center"/>
          </w:tcPr>
          <w:p>
            <w:pPr>
              <w:pStyle w:val="TableContents"/>
              <w:bidi w:val="0"/>
              <w:spacing w:lineRule="auto" w:line="300" w:before="0" w:after="0"/>
              <w:jc w:val="both"/>
              <w:rPr>
                <w:b/>
              </w:rPr>
            </w:pPr>
            <w:r>
              <w:rPr>
                <w:b/>
              </w:rPr>
              <w:t>Share Ownership</w:t>
            </w:r>
          </w:p>
        </w:tc>
      </w:tr>
    </w:tbl>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For information regarding the share ownership of directors and officers, see Item 7.A. “Major Shareholders and Related Party Transactions-Major Shareholders.” For information as to our equity incentive plans, see Item 6.B. “Director, Senior Management and Employees-Compensation- Equity incentive plans.”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16" w:name="z23e0e53faf0146f98ffb552877e6cf34"/>
      <w:bookmarkStart w:id="217" w:name="z23e0e53faf0146f98ffb552877e6cf34"/>
      <w:bookmarkEnd w:id="217"/>
    </w:p>
    <w:tbl>
      <w:tblPr>
        <w:tblW w:w="8815" w:type="dxa"/>
        <w:jc w:val="left"/>
        <w:tblInd w:w="0" w:type="dxa"/>
        <w:tblLayout w:type="fixed"/>
        <w:tblCellMar>
          <w:top w:w="0" w:type="dxa"/>
          <w:left w:w="0" w:type="dxa"/>
          <w:bottom w:w="0" w:type="dxa"/>
          <w:right w:w="0" w:type="dxa"/>
        </w:tblCellMar>
      </w:tblPr>
      <w:tblGrid>
        <w:gridCol w:w="245"/>
        <w:gridCol w:w="8570"/>
      </w:tblGrid>
      <w:tr>
        <w:trPr/>
        <w:tc>
          <w:tcPr>
            <w:tcW w:w="245" w:type="dxa"/>
            <w:tcBorders/>
            <w:vAlign w:val="center"/>
          </w:tcPr>
          <w:p>
            <w:pPr>
              <w:pStyle w:val="TableContents"/>
              <w:bidi w:val="0"/>
              <w:spacing w:lineRule="auto" w:line="300" w:before="0" w:after="0"/>
              <w:jc w:val="both"/>
              <w:rPr>
                <w:b/>
              </w:rPr>
            </w:pPr>
            <w:r>
              <w:rPr>
                <w:b/>
              </w:rPr>
              <w:t>F.</w:t>
            </w:r>
          </w:p>
        </w:tc>
        <w:tc>
          <w:tcPr>
            <w:tcW w:w="8570" w:type="dxa"/>
            <w:tcBorders/>
            <w:vAlign w:val="center"/>
          </w:tcPr>
          <w:p>
            <w:pPr>
              <w:pStyle w:val="TableContents"/>
              <w:bidi w:val="0"/>
              <w:spacing w:lineRule="auto" w:line="300" w:before="0" w:after="0"/>
              <w:jc w:val="both"/>
              <w:rPr>
                <w:b/>
              </w:rPr>
            </w:pPr>
            <w:r>
              <w:rPr>
                <w:b/>
              </w:rPr>
              <w:t>Disclosure of a Registrant’s Action to Recover Erroneously Awarded Compensation</w:t>
            </w:r>
          </w:p>
        </w:tc>
      </w:tr>
    </w:tbl>
    <w:p>
      <w:pPr>
        <w:pStyle w:val="TextBody"/>
        <w:bidi w:val="0"/>
        <w:spacing w:lineRule="auto" w:line="300" w:before="0" w:after="0"/>
        <w:jc w:val="left"/>
        <w:rPr/>
      </w:pPr>
      <w:r>
        <w:rPr/>
      </w:r>
    </w:p>
    <w:p>
      <w:pPr>
        <w:pStyle w:val="TextBody"/>
        <w:bidi w:val="0"/>
        <w:spacing w:lineRule="auto" w:line="300" w:before="0" w:after="0"/>
        <w:ind w:left="0" w:right="0" w:firstLine="720"/>
        <w:jc w:val="both"/>
        <w:rPr>
          <w:sz w:val="20"/>
        </w:rPr>
      </w:pPr>
      <w:r>
        <w:rPr>
          <w:sz w:val="20"/>
        </w:rPr>
        <w:t>None.</w:t>
      </w:r>
    </w:p>
    <w:p>
      <w:pPr>
        <w:pStyle w:val="TextBody"/>
        <w:bidi w:val="0"/>
        <w:spacing w:lineRule="auto" w:line="300" w:before="0" w:after="0"/>
        <w:jc w:val="left"/>
        <w:rPr/>
      </w:pPr>
      <w:r>
        <w:rPr/>
        <w:t> </w:t>
      </w:r>
    </w:p>
    <w:p>
      <w:pPr>
        <w:pStyle w:val="TextBody"/>
        <w:bidi w:val="0"/>
        <w:spacing w:lineRule="auto" w:line="300" w:before="0" w:after="0"/>
        <w:jc w:val="both"/>
        <w:rPr>
          <w:b/>
          <w:sz w:val="20"/>
        </w:rPr>
      </w:pPr>
      <w:bookmarkStart w:id="218" w:name="Item7"/>
      <w:bookmarkEnd w:id="218"/>
      <w:r>
        <w:rPr>
          <w:b/>
          <w:sz w:val="20"/>
        </w:rPr>
        <w:t>Item 7. Major Shareholders and Related Party Transactions</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219" w:name="zf61cab71436e419eadb240c7b075e78c"/>
      <w:bookmarkStart w:id="220" w:name="zf61cab71436e419eadb240c7b075e78c"/>
      <w:bookmarkEnd w:id="220"/>
    </w:p>
    <w:tbl>
      <w:tblPr>
        <w:tblW w:w="2365" w:type="dxa"/>
        <w:jc w:val="left"/>
        <w:tblInd w:w="0" w:type="dxa"/>
        <w:tblLayout w:type="fixed"/>
        <w:tblCellMar>
          <w:top w:w="0" w:type="dxa"/>
          <w:left w:w="0" w:type="dxa"/>
          <w:bottom w:w="0" w:type="dxa"/>
          <w:right w:w="0" w:type="dxa"/>
        </w:tblCellMar>
      </w:tblPr>
      <w:tblGrid>
        <w:gridCol w:w="275"/>
        <w:gridCol w:w="2090"/>
      </w:tblGrid>
      <w:tr>
        <w:trPr/>
        <w:tc>
          <w:tcPr>
            <w:tcW w:w="275" w:type="dxa"/>
            <w:tcBorders/>
            <w:vAlign w:val="center"/>
          </w:tcPr>
          <w:p>
            <w:pPr>
              <w:pStyle w:val="TableContents"/>
              <w:bidi w:val="0"/>
              <w:spacing w:lineRule="auto" w:line="300" w:before="0" w:after="0"/>
              <w:jc w:val="both"/>
              <w:rPr>
                <w:b/>
              </w:rPr>
            </w:pPr>
            <w:r>
              <w:rPr>
                <w:b/>
              </w:rPr>
              <w:t>A.</w:t>
            </w:r>
          </w:p>
        </w:tc>
        <w:tc>
          <w:tcPr>
            <w:tcW w:w="2090" w:type="dxa"/>
            <w:tcBorders/>
            <w:vAlign w:val="center"/>
          </w:tcPr>
          <w:p>
            <w:pPr>
              <w:pStyle w:val="TableContents"/>
              <w:bidi w:val="0"/>
              <w:spacing w:lineRule="auto" w:line="300" w:before="0" w:after="0"/>
              <w:jc w:val="both"/>
              <w:rPr>
                <w:b/>
              </w:rPr>
            </w:pPr>
            <w:r>
              <w:rPr>
                <w:b/>
              </w:rPr>
              <w:t>Major Shareholders</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The beneficial ownership of ordinary shares is determined in accordance with the SEC rules and generally includes any ordinary shares over which a person exercises sole or shared voting or investment power. For purposes of the table below, we deem shares subject to options or warrants that are currently exercisable or exercisable within 60 days of February 29, 2024,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shares beneficially owned is based on 91,936,318 ordinary shares outstanding as of February 29, 2024.</w:t>
      </w:r>
    </w:p>
    <w:p>
      <w:pPr>
        <w:pStyle w:val="TextBody"/>
        <w:bidi w:val="0"/>
        <w:spacing w:lineRule="auto" w:line="300" w:before="0" w:after="0"/>
        <w:jc w:val="left"/>
        <w:rPr/>
      </w:pPr>
      <w:r>
        <w:rPr/>
        <w:t> </w:t>
      </w:r>
    </w:p>
    <w:p>
      <w:pPr>
        <w:pStyle w:val="TextBody"/>
        <w:bidi w:val="0"/>
        <w:spacing w:lineRule="auto" w:line="300" w:before="0" w:after="0"/>
        <w:ind w:left="0" w:right="0" w:firstLine="490"/>
        <w:jc w:val="both"/>
        <w:rPr>
          <w:sz w:val="20"/>
        </w:rPr>
      </w:pPr>
      <w:r>
        <w:rPr>
          <w:sz w:val="20"/>
        </w:rPr>
        <w:t>All of our shareholders, including the shareholders listed below, have the same voting rights attached to their ordinary shares. Unless otherwise noted below, each shareholder’s address is 1 Walter Moses St., Tel Aviv, 6789903, Israel.</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A description of any material relationship that our principal shareholders have had with us or any of our affiliates within the past three years is included under “Certain relationships and related party transactions.”</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89</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21" w:name="z8ebfe37c4f73408c84ed52e0957b8f5a"/>
      <w:bookmarkStart w:id="222" w:name="z8ebfe37c4f73408c84ed52e0957b8f5a"/>
      <w:bookmarkEnd w:id="222"/>
    </w:p>
    <w:tbl>
      <w:tblPr>
        <w:tblW w:w="8250" w:type="dxa"/>
        <w:jc w:val="left"/>
        <w:tblInd w:w="0" w:type="dxa"/>
        <w:tblLayout w:type="fixed"/>
        <w:tblCellMar>
          <w:top w:w="0" w:type="dxa"/>
          <w:left w:w="0" w:type="dxa"/>
          <w:bottom w:w="28" w:type="dxa"/>
          <w:right w:w="0" w:type="dxa"/>
        </w:tblCellMar>
      </w:tblPr>
      <w:tblGrid>
        <w:gridCol w:w="6335"/>
        <w:gridCol w:w="60"/>
        <w:gridCol w:w="60"/>
        <w:gridCol w:w="1100"/>
        <w:gridCol w:w="60"/>
        <w:gridCol w:w="60"/>
        <w:gridCol w:w="60"/>
        <w:gridCol w:w="440"/>
        <w:gridCol w:w="75"/>
      </w:tblGrid>
      <w:tr>
        <w:trPr/>
        <w:tc>
          <w:tcPr>
            <w:tcW w:w="6335" w:type="dxa"/>
            <w:tcBorders>
              <w:bottom w:val="single" w:sz="12" w:space="0" w:color="000000"/>
            </w:tcBorders>
            <w:vAlign w:val="center"/>
          </w:tcPr>
          <w:p>
            <w:pPr>
              <w:pStyle w:val="TableContents"/>
              <w:bidi w:val="0"/>
              <w:spacing w:lineRule="auto" w:line="300" w:before="0" w:after="0"/>
              <w:jc w:val="both"/>
              <w:rPr>
                <w:b/>
              </w:rPr>
            </w:pPr>
            <w:r>
              <w:rPr>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lineRule="auto" w:line="300" w:before="0" w:after="0"/>
              <w:jc w:val="center"/>
              <w:rPr>
                <w:b/>
              </w:rPr>
            </w:pPr>
            <w:r>
              <w:rPr>
                <w:b/>
              </w:rPr>
              <w:t>Number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lineRule="auto" w:line="300" w:before="0" w:after="0"/>
              <w:jc w:val="center"/>
              <w:rPr>
                <w:b/>
              </w:rPr>
            </w:pPr>
            <w:r>
              <w:rPr>
                <w:b/>
              </w:rPr>
              <w:t>%</w:t>
            </w:r>
          </w:p>
        </w:tc>
        <w:tc>
          <w:tcPr>
            <w:tcW w:w="75" w:type="dxa"/>
            <w:tcBorders/>
            <w:tcMar>
              <w:bottom w:w="0" w:type="dxa"/>
            </w:tcMar>
            <w:vAlign w:val="center"/>
          </w:tcPr>
          <w:p>
            <w:pPr>
              <w:pStyle w:val="TableContents"/>
              <w:bidi w:val="0"/>
              <w:spacing w:before="0" w:after="283"/>
              <w:jc w:val="left"/>
              <w:rPr/>
            </w:pPr>
            <w:r>
              <w:rPr/>
              <w:t> </w:t>
            </w:r>
          </w:p>
        </w:tc>
      </w:tr>
      <w:tr>
        <w:trPr/>
        <w:tc>
          <w:tcPr>
            <w:tcW w:w="6335" w:type="dxa"/>
            <w:tcBorders/>
            <w:tcMar>
              <w:bottom w:w="0" w:type="dxa"/>
            </w:tcMar>
            <w:vAlign w:val="center"/>
          </w:tcPr>
          <w:p>
            <w:pPr>
              <w:pStyle w:val="TableContents"/>
              <w:bidi w:val="0"/>
              <w:spacing w:lineRule="auto" w:line="300" w:before="0" w:after="0"/>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335" w:type="dxa"/>
            <w:tcBorders/>
            <w:shd w:fill="CCEEFF" w:val="clear"/>
            <w:tcMar>
              <w:bottom w:w="0" w:type="dxa"/>
            </w:tcMar>
            <w:vAlign w:val="center"/>
          </w:tcPr>
          <w:p>
            <w:pPr>
              <w:pStyle w:val="TableContents"/>
              <w:bidi w:val="0"/>
              <w:spacing w:lineRule="auto" w:line="300" w:before="0" w:after="0"/>
              <w:jc w:val="both"/>
              <w:rPr>
                <w:i/>
              </w:rPr>
            </w:pPr>
            <w:r>
              <w:rPr>
                <w:i/>
              </w:rPr>
              <w:t>Principal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gridSpan w:val="2"/>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gridSpan w:val="2"/>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335" w:type="dxa"/>
            <w:tcBorders/>
            <w:tcMar>
              <w:bottom w:w="0" w:type="dxa"/>
            </w:tcMar>
            <w:vAlign w:val="center"/>
          </w:tcPr>
          <w:p>
            <w:pPr>
              <w:pStyle w:val="TableContents"/>
              <w:bidi w:val="0"/>
              <w:spacing w:lineRule="auto" w:line="300" w:before="0" w:after="0"/>
              <w:jc w:val="both"/>
              <w:rPr/>
            </w:pPr>
            <w:r>
              <w:rPr/>
              <w:t>Entities Affiliated with Insight Partners (1)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lineRule="auto" w:line="300" w:before="0" w:after="0"/>
              <w:jc w:val="right"/>
              <w:rPr/>
            </w:pPr>
            <w:r>
              <w:rPr/>
              <w:t>24,253,823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lineRule="auto" w:line="300" w:before="0" w:after="0"/>
              <w:jc w:val="right"/>
              <w:rPr/>
            </w:pPr>
            <w:r>
              <w:rPr/>
              <w:t>26.4</w:t>
            </w:r>
          </w:p>
        </w:tc>
        <w:tc>
          <w:tcPr>
            <w:tcW w:w="75" w:type="dxa"/>
            <w:tcBorders/>
            <w:tcMar>
              <w:bottom w:w="0" w:type="dxa"/>
            </w:tcMar>
            <w:vAlign w:val="center"/>
          </w:tcPr>
          <w:p>
            <w:pPr>
              <w:pStyle w:val="TableContents"/>
              <w:bidi w:val="0"/>
              <w:spacing w:before="0" w:after="283"/>
              <w:jc w:val="left"/>
              <w:rPr/>
            </w:pPr>
            <w:r>
              <w:rPr/>
              <w:t> </w:t>
            </w:r>
          </w:p>
        </w:tc>
      </w:tr>
      <w:tr>
        <w:trPr/>
        <w:tc>
          <w:tcPr>
            <w:tcW w:w="6335" w:type="dxa"/>
            <w:tcBorders/>
            <w:shd w:fill="CCEEFF" w:val="clear"/>
            <w:tcMar>
              <w:bottom w:w="0" w:type="dxa"/>
            </w:tcMar>
            <w:vAlign w:val="center"/>
          </w:tcPr>
          <w:p>
            <w:pPr>
              <w:pStyle w:val="TableContents"/>
              <w:bidi w:val="0"/>
              <w:spacing w:lineRule="auto" w:line="300" w:before="0" w:after="0"/>
              <w:jc w:val="both"/>
              <w:rPr/>
            </w:pPr>
            <w:r>
              <w:rPr/>
              <w:t>Entities Affiliated with StepStone Group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lineRule="auto" w:line="300" w:before="0" w:after="0"/>
              <w:jc w:val="right"/>
              <w:rPr/>
            </w:pPr>
            <w:r>
              <w:rPr/>
              <w:t>10,366,855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lineRule="auto" w:line="300" w:before="0" w:after="0"/>
              <w:jc w:val="right"/>
              <w:rPr/>
            </w:pPr>
            <w:r>
              <w:rPr/>
              <w:t>11.3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335" w:type="dxa"/>
            <w:tcBorders/>
            <w:tcMar>
              <w:bottom w:w="0" w:type="dxa"/>
            </w:tcMar>
            <w:vAlign w:val="center"/>
          </w:tcPr>
          <w:p>
            <w:pPr>
              <w:pStyle w:val="TableContents"/>
              <w:bidi w:val="0"/>
              <w:spacing w:lineRule="auto" w:line="300" w:before="0" w:after="0"/>
              <w:jc w:val="both"/>
              <w:rPr/>
            </w:pPr>
            <w:r>
              <w:rPr/>
              <w:t>Scale Venture Management IV, LLC (3)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lineRule="auto" w:line="300" w:before="0" w:after="0"/>
              <w:jc w:val="right"/>
              <w:rPr/>
            </w:pPr>
            <w:r>
              <w:rPr/>
              <w:t>9,481,669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lineRule="auto" w:line="300" w:before="0" w:after="0"/>
              <w:jc w:val="right"/>
              <w:rPr/>
            </w:pPr>
            <w:r>
              <w:rPr/>
              <w:t>10.3</w:t>
            </w:r>
          </w:p>
        </w:tc>
        <w:tc>
          <w:tcPr>
            <w:tcW w:w="75" w:type="dxa"/>
            <w:tcBorders/>
            <w:tcMar>
              <w:bottom w:w="0" w:type="dxa"/>
            </w:tcMar>
            <w:vAlign w:val="center"/>
          </w:tcPr>
          <w:p>
            <w:pPr>
              <w:pStyle w:val="TableContents"/>
              <w:bidi w:val="0"/>
              <w:spacing w:before="0" w:after="283"/>
              <w:jc w:val="left"/>
              <w:rPr/>
            </w:pPr>
            <w:r>
              <w:rPr/>
              <w:t> </w:t>
            </w:r>
          </w:p>
        </w:tc>
      </w:tr>
      <w:tr>
        <w:trPr/>
        <w:tc>
          <w:tcPr>
            <w:tcW w:w="6335" w:type="dxa"/>
            <w:tcBorders/>
            <w:shd w:fill="CCEEFF" w:val="clear"/>
            <w:tcMar>
              <w:bottom w:w="0" w:type="dxa"/>
            </w:tcMar>
            <w:vAlign w:val="center"/>
          </w:tcPr>
          <w:p>
            <w:pPr>
              <w:pStyle w:val="TableContents"/>
              <w:bidi w:val="0"/>
              <w:spacing w:lineRule="auto" w:line="300" w:before="0" w:after="0"/>
              <w:jc w:val="both"/>
              <w:rPr/>
            </w:pPr>
            <w:r>
              <w:rPr/>
              <w:t>Entities Affiliated with Mangrove Capital Partners (4)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lineRule="auto" w:line="300" w:before="0" w:after="0"/>
              <w:jc w:val="right"/>
              <w:rPr/>
            </w:pPr>
            <w:r>
              <w:rPr/>
              <w:t>6,278,354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lineRule="auto" w:line="300" w:before="0" w:after="0"/>
              <w:jc w:val="right"/>
              <w:rPr/>
            </w:pPr>
            <w:r>
              <w:rPr/>
              <w:t>6.8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335" w:type="dxa"/>
            <w:tcBorders/>
            <w:tcMar>
              <w:bottom w:w="0" w:type="dxa"/>
            </w:tcMar>
            <w:vAlign w:val="center"/>
          </w:tcPr>
          <w:p>
            <w:pPr>
              <w:pStyle w:val="TableContents"/>
              <w:bidi w:val="0"/>
              <w:spacing w:lineRule="auto" w:line="300" w:before="0" w:after="0"/>
              <w:jc w:val="both"/>
              <w:rPr/>
            </w:pPr>
            <w:r>
              <w:rPr/>
              <w:t>Entities Affiliated with Gemini Israel Ventures (5)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lineRule="auto" w:line="300" w:before="0" w:after="0"/>
              <w:jc w:val="right"/>
              <w:rPr/>
            </w:pPr>
            <w:r>
              <w:rPr/>
              <w:t>7,792,833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lineRule="auto" w:line="300" w:before="0" w:after="0"/>
              <w:jc w:val="right"/>
              <w:rPr/>
            </w:pPr>
            <w:r>
              <w:rPr/>
              <w:t>8.5</w:t>
            </w:r>
          </w:p>
        </w:tc>
        <w:tc>
          <w:tcPr>
            <w:tcW w:w="75" w:type="dxa"/>
            <w:tcBorders/>
            <w:tcMar>
              <w:bottom w:w="0" w:type="dxa"/>
            </w:tcMar>
            <w:vAlign w:val="center"/>
          </w:tcPr>
          <w:p>
            <w:pPr>
              <w:pStyle w:val="TableContents"/>
              <w:bidi w:val="0"/>
              <w:spacing w:before="0" w:after="283"/>
              <w:jc w:val="left"/>
              <w:rPr/>
            </w:pPr>
            <w:r>
              <w:rPr/>
              <w:t> </w:t>
            </w:r>
          </w:p>
        </w:tc>
      </w:tr>
      <w:tr>
        <w:trPr/>
        <w:tc>
          <w:tcPr>
            <w:tcW w:w="6335" w:type="dxa"/>
            <w:tcBorders/>
            <w:shd w:fill="CCEEFF" w:val="clear"/>
            <w:tcMar>
              <w:bottom w:w="0" w:type="dxa"/>
            </w:tcMar>
            <w:vAlign w:val="center"/>
          </w:tcPr>
          <w:p>
            <w:pPr>
              <w:pStyle w:val="TableContents"/>
              <w:bidi w:val="0"/>
              <w:spacing w:lineRule="auto" w:line="300" w:before="0" w:after="0"/>
              <w:jc w:val="both"/>
              <w:rPr/>
            </w:pPr>
            <w:r>
              <w:rPr/>
              <w:t>Entities Affiliated with AMBLESIDE S.À R.L. (6)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lineRule="auto" w:line="300" w:before="0" w:after="0"/>
              <w:jc w:val="right"/>
              <w:rPr/>
            </w:pPr>
            <w:r>
              <w:rPr/>
              <w:t>5,462,245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lineRule="auto" w:line="300" w:before="0" w:after="0"/>
              <w:jc w:val="right"/>
              <w:rPr/>
            </w:pPr>
            <w:r>
              <w:rPr/>
              <w:t>5.9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335" w:type="dxa"/>
            <w:tcBorders/>
            <w:tcMar>
              <w:bottom w:w="0" w:type="dxa"/>
            </w:tcMar>
            <w:vAlign w:val="center"/>
          </w:tcPr>
          <w:p>
            <w:pPr>
              <w:pStyle w:val="TableContents"/>
              <w:bidi w:val="0"/>
              <w:spacing w:lineRule="auto" w:line="300" w:before="0" w:after="0"/>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335" w:type="dxa"/>
            <w:tcBorders/>
            <w:shd w:fill="CCEEFF" w:val="clear"/>
            <w:tcMar>
              <w:bottom w:w="0" w:type="dxa"/>
            </w:tcMar>
            <w:vAlign w:val="center"/>
          </w:tcPr>
          <w:p>
            <w:pPr>
              <w:pStyle w:val="TableContents"/>
              <w:bidi w:val="0"/>
              <w:spacing w:lineRule="auto" w:line="300" w:before="0" w:after="0"/>
              <w:jc w:val="both"/>
              <w:rPr>
                <w:i/>
              </w:rPr>
            </w:pPr>
            <w:r>
              <w:rPr>
                <w:i/>
              </w:rPr>
              <w:t>Executive Officers and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335" w:type="dxa"/>
            <w:tcBorders/>
            <w:tcMar>
              <w:bottom w:w="0" w:type="dxa"/>
            </w:tcMar>
            <w:vAlign w:val="center"/>
          </w:tcPr>
          <w:p>
            <w:pPr>
              <w:pStyle w:val="TableContents"/>
              <w:bidi w:val="0"/>
              <w:spacing w:lineRule="auto" w:line="300" w:before="0" w:after="0"/>
              <w:jc w:val="both"/>
              <w:rPr/>
            </w:pPr>
            <w:r>
              <w:rPr/>
              <w:t>Dan Adika (7)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lineRule="auto" w:line="300" w:before="0" w:after="0"/>
              <w:jc w:val="right"/>
              <w:rPr/>
            </w:pPr>
            <w:r>
              <w:rPr/>
              <w:t>3,617,435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lineRule="auto" w:line="300" w:before="0" w:after="0"/>
              <w:jc w:val="right"/>
              <w:rPr/>
            </w:pPr>
            <w:r>
              <w:rPr/>
              <w:t>3.8</w:t>
            </w:r>
          </w:p>
        </w:tc>
        <w:tc>
          <w:tcPr>
            <w:tcW w:w="75" w:type="dxa"/>
            <w:tcBorders/>
            <w:tcMar>
              <w:bottom w:w="0" w:type="dxa"/>
            </w:tcMar>
            <w:vAlign w:val="center"/>
          </w:tcPr>
          <w:p>
            <w:pPr>
              <w:pStyle w:val="TableContents"/>
              <w:bidi w:val="0"/>
              <w:spacing w:before="0" w:after="283"/>
              <w:jc w:val="left"/>
              <w:rPr/>
            </w:pPr>
            <w:r>
              <w:rPr/>
              <w:t> </w:t>
            </w:r>
          </w:p>
        </w:tc>
      </w:tr>
      <w:tr>
        <w:trPr/>
        <w:tc>
          <w:tcPr>
            <w:tcW w:w="6335" w:type="dxa"/>
            <w:tcBorders/>
            <w:shd w:fill="CCEEFF" w:val="clear"/>
            <w:tcMar>
              <w:bottom w:w="0" w:type="dxa"/>
            </w:tcMar>
            <w:vAlign w:val="center"/>
          </w:tcPr>
          <w:p>
            <w:pPr>
              <w:pStyle w:val="TableContents"/>
              <w:bidi w:val="0"/>
              <w:spacing w:lineRule="auto" w:line="300" w:before="0" w:after="0"/>
              <w:jc w:val="both"/>
              <w:rPr/>
            </w:pPr>
            <w:r>
              <w:rPr/>
              <w:t>Hagit Ynon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lineRule="auto" w:line="300" w:before="0" w:after="0"/>
              <w:jc w:val="right"/>
              <w:rPr/>
            </w:pPr>
            <w:r>
              <w:rPr/>
              <w:t>393,073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lineRule="auto" w:line="300" w:before="0" w:after="0"/>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335" w:type="dxa"/>
            <w:tcBorders/>
            <w:tcMar>
              <w:bottom w:w="0" w:type="dxa"/>
            </w:tcMar>
            <w:vAlign w:val="center"/>
          </w:tcPr>
          <w:p>
            <w:pPr>
              <w:pStyle w:val="TableContents"/>
              <w:bidi w:val="0"/>
              <w:spacing w:lineRule="auto" w:line="300" w:before="0" w:after="0"/>
              <w:jc w:val="both"/>
              <w:rPr/>
            </w:pPr>
            <w:r>
              <w:rPr/>
              <w:t>Scott Little (9)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lineRule="auto" w:line="300" w:before="0" w:after="0"/>
              <w:jc w:val="right"/>
              <w:rPr/>
            </w:pPr>
            <w:r>
              <w:rPr/>
              <w:t>171,322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lineRule="auto" w:line="300" w:before="0" w:after="0"/>
              <w:jc w:val="right"/>
              <w:rPr/>
            </w:pPr>
            <w:r>
              <w:rPr/>
              <w:t>*</w:t>
            </w:r>
          </w:p>
        </w:tc>
        <w:tc>
          <w:tcPr>
            <w:tcW w:w="75" w:type="dxa"/>
            <w:tcBorders/>
            <w:tcMar>
              <w:bottom w:w="0" w:type="dxa"/>
            </w:tcMar>
            <w:vAlign w:val="center"/>
          </w:tcPr>
          <w:p>
            <w:pPr>
              <w:pStyle w:val="TableContents"/>
              <w:bidi w:val="0"/>
              <w:spacing w:before="0" w:after="283"/>
              <w:jc w:val="left"/>
              <w:rPr/>
            </w:pPr>
            <w:r>
              <w:rPr/>
              <w:t> </w:t>
            </w:r>
          </w:p>
        </w:tc>
      </w:tr>
      <w:tr>
        <w:trPr/>
        <w:tc>
          <w:tcPr>
            <w:tcW w:w="6335" w:type="dxa"/>
            <w:tcBorders/>
            <w:shd w:fill="CCEEFF" w:val="clear"/>
            <w:tcMar>
              <w:bottom w:w="0" w:type="dxa"/>
            </w:tcMar>
            <w:vAlign w:val="center"/>
          </w:tcPr>
          <w:p>
            <w:pPr>
              <w:pStyle w:val="TableContents"/>
              <w:bidi w:val="0"/>
              <w:spacing w:lineRule="auto" w:line="300" w:before="0" w:after="0"/>
              <w:jc w:val="both"/>
              <w:rPr/>
            </w:pPr>
            <w:r>
              <w:rPr/>
              <w:t>Michele Bettencourt (10)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lineRule="auto" w:line="300" w:before="0" w:after="0"/>
              <w:jc w:val="right"/>
              <w:rPr/>
            </w:pPr>
            <w:r>
              <w:rPr/>
              <w:t>101,723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lineRule="auto" w:line="300" w:before="0" w:after="0"/>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335" w:type="dxa"/>
            <w:tcBorders/>
            <w:tcMar>
              <w:bottom w:w="0" w:type="dxa"/>
            </w:tcMar>
            <w:vAlign w:val="center"/>
          </w:tcPr>
          <w:p>
            <w:pPr>
              <w:pStyle w:val="TableContents"/>
              <w:bidi w:val="0"/>
              <w:spacing w:lineRule="auto" w:line="300" w:before="0" w:after="0"/>
              <w:jc w:val="both"/>
              <w:rPr/>
            </w:pPr>
            <w:r>
              <w:rPr/>
              <w:t>Haleli Barath (11)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lineRule="auto" w:line="300" w:before="0" w:after="0"/>
              <w:jc w:val="right"/>
              <w:rPr/>
            </w:pPr>
            <w:r>
              <w:rPr/>
              <w:t>107,435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lineRule="auto" w:line="300" w:before="0" w:after="0"/>
              <w:jc w:val="right"/>
              <w:rPr/>
            </w:pPr>
            <w:r>
              <w:rPr/>
              <w:t>*</w:t>
            </w:r>
          </w:p>
        </w:tc>
        <w:tc>
          <w:tcPr>
            <w:tcW w:w="75" w:type="dxa"/>
            <w:tcBorders/>
            <w:tcMar>
              <w:bottom w:w="0" w:type="dxa"/>
            </w:tcMar>
            <w:vAlign w:val="center"/>
          </w:tcPr>
          <w:p>
            <w:pPr>
              <w:pStyle w:val="TableContents"/>
              <w:bidi w:val="0"/>
              <w:spacing w:before="0" w:after="283"/>
              <w:jc w:val="left"/>
              <w:rPr/>
            </w:pPr>
            <w:r>
              <w:rPr/>
              <w:t> </w:t>
            </w:r>
          </w:p>
        </w:tc>
      </w:tr>
      <w:tr>
        <w:trPr/>
        <w:tc>
          <w:tcPr>
            <w:tcW w:w="6335" w:type="dxa"/>
            <w:tcBorders/>
            <w:shd w:fill="CCEEFF" w:val="clear"/>
            <w:tcMar>
              <w:bottom w:w="0" w:type="dxa"/>
            </w:tcMar>
            <w:vAlign w:val="center"/>
          </w:tcPr>
          <w:p>
            <w:pPr>
              <w:pStyle w:val="TableContents"/>
              <w:bidi w:val="0"/>
              <w:spacing w:lineRule="auto" w:line="300" w:before="0" w:after="0"/>
              <w:jc w:val="both"/>
              <w:rPr/>
            </w:pPr>
            <w:r>
              <w:rPr/>
              <w:t>Menashe Ezra (5)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lineRule="auto" w:line="300" w:before="0" w:after="0"/>
              <w:jc w:val="right"/>
              <w:rPr/>
            </w:pPr>
            <w:r>
              <w:rPr/>
              <w:t>7,792,833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lineRule="auto" w:line="300" w:before="0" w:after="0"/>
              <w:jc w:val="right"/>
              <w:rPr/>
            </w:pPr>
            <w:r>
              <w:rPr/>
              <w:t>8.5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335" w:type="dxa"/>
            <w:tcBorders/>
            <w:tcMar>
              <w:bottom w:w="0" w:type="dxa"/>
            </w:tcMar>
            <w:vAlign w:val="center"/>
          </w:tcPr>
          <w:p>
            <w:pPr>
              <w:pStyle w:val="TableContents"/>
              <w:bidi w:val="0"/>
              <w:spacing w:lineRule="auto" w:line="300" w:before="0" w:after="0"/>
              <w:jc w:val="both"/>
              <w:rPr/>
            </w:pPr>
            <w:r>
              <w:rPr/>
              <w:t>Ron Gutler (12)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lineRule="auto" w:line="300" w:before="0" w:after="0"/>
              <w:jc w:val="right"/>
              <w:rPr/>
            </w:pPr>
            <w:r>
              <w:rPr/>
              <w:t>75,233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lineRule="auto" w:line="300" w:before="0" w:after="0"/>
              <w:jc w:val="right"/>
              <w:rPr/>
            </w:pPr>
            <w:r>
              <w:rPr/>
              <w:t>*</w:t>
            </w:r>
          </w:p>
        </w:tc>
        <w:tc>
          <w:tcPr>
            <w:tcW w:w="75" w:type="dxa"/>
            <w:tcBorders/>
            <w:tcMar>
              <w:bottom w:w="0" w:type="dxa"/>
            </w:tcMar>
            <w:vAlign w:val="center"/>
          </w:tcPr>
          <w:p>
            <w:pPr>
              <w:pStyle w:val="TableContents"/>
              <w:bidi w:val="0"/>
              <w:spacing w:before="0" w:after="283"/>
              <w:jc w:val="left"/>
              <w:rPr/>
            </w:pPr>
            <w:r>
              <w:rPr/>
              <w:t> </w:t>
            </w:r>
          </w:p>
        </w:tc>
      </w:tr>
      <w:tr>
        <w:trPr/>
        <w:tc>
          <w:tcPr>
            <w:tcW w:w="6335" w:type="dxa"/>
            <w:tcBorders/>
            <w:shd w:fill="CCEEFF" w:val="clear"/>
            <w:tcMar>
              <w:bottom w:w="0" w:type="dxa"/>
            </w:tcMar>
            <w:vAlign w:val="center"/>
          </w:tcPr>
          <w:p>
            <w:pPr>
              <w:pStyle w:val="TableContents"/>
              <w:bidi w:val="0"/>
              <w:spacing w:lineRule="auto" w:line="300" w:before="0" w:after="0"/>
              <w:jc w:val="both"/>
              <w:rPr/>
            </w:pPr>
            <w:r>
              <w:rPr/>
              <w:t>Jeff Horing (13)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lineRule="auto" w:line="300" w:before="0" w:after="0"/>
              <w:jc w:val="right"/>
              <w:rPr/>
            </w:pPr>
            <w:r>
              <w:rPr/>
              <w:t>31,930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lineRule="auto" w:line="300" w:before="0" w:after="0"/>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335" w:type="dxa"/>
            <w:tcBorders/>
            <w:tcMar>
              <w:bottom w:w="0" w:type="dxa"/>
            </w:tcMar>
            <w:vAlign w:val="center"/>
          </w:tcPr>
          <w:p>
            <w:pPr>
              <w:pStyle w:val="TableContents"/>
              <w:bidi w:val="0"/>
              <w:spacing w:lineRule="auto" w:line="300" w:before="0" w:after="0"/>
              <w:jc w:val="both"/>
              <w:rPr/>
            </w:pPr>
            <w:r>
              <w:rPr/>
              <w:t>Rory O’Driscoll(3)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lineRule="auto" w:line="300" w:before="0" w:after="0"/>
              <w:jc w:val="right"/>
              <w:rPr/>
            </w:pPr>
            <w:r>
              <w:rPr/>
              <w:t>9,481,669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lineRule="auto" w:line="300" w:before="0" w:after="0"/>
              <w:jc w:val="right"/>
              <w:rPr/>
            </w:pPr>
            <w:r>
              <w:rPr/>
              <w:t>10.3</w:t>
            </w:r>
          </w:p>
        </w:tc>
        <w:tc>
          <w:tcPr>
            <w:tcW w:w="75" w:type="dxa"/>
            <w:tcBorders/>
            <w:tcMar>
              <w:bottom w:w="0" w:type="dxa"/>
            </w:tcMar>
            <w:vAlign w:val="center"/>
          </w:tcPr>
          <w:p>
            <w:pPr>
              <w:pStyle w:val="TableContents"/>
              <w:bidi w:val="0"/>
              <w:spacing w:before="0" w:after="283"/>
              <w:jc w:val="left"/>
              <w:rPr/>
            </w:pPr>
            <w:r>
              <w:rPr/>
              <w:t> </w:t>
            </w:r>
          </w:p>
        </w:tc>
      </w:tr>
      <w:tr>
        <w:trPr/>
        <w:tc>
          <w:tcPr>
            <w:tcW w:w="6335" w:type="dxa"/>
            <w:tcBorders/>
            <w:shd w:fill="CCEEFF" w:val="clear"/>
            <w:tcMar>
              <w:bottom w:w="0" w:type="dxa"/>
            </w:tcMar>
            <w:vAlign w:val="center"/>
          </w:tcPr>
          <w:p>
            <w:pPr>
              <w:pStyle w:val="TableContents"/>
              <w:bidi w:val="0"/>
              <w:spacing w:lineRule="auto" w:line="300" w:before="0" w:after="0"/>
              <w:jc w:val="both"/>
              <w:rPr/>
            </w:pPr>
            <w:r>
              <w:rPr/>
              <w:t>Michael Risman (14)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lineRule="auto" w:line="300"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lineRule="auto" w:line="300" w:before="0" w:after="0"/>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335" w:type="dxa"/>
            <w:tcBorders/>
            <w:tcMar>
              <w:bottom w:w="0" w:type="dxa"/>
            </w:tcMar>
            <w:vAlign w:val="center"/>
          </w:tcPr>
          <w:p>
            <w:pPr>
              <w:pStyle w:val="TableContents"/>
              <w:bidi w:val="0"/>
              <w:spacing w:lineRule="auto" w:line="300" w:before="0" w:after="0"/>
              <w:jc w:val="both"/>
              <w:rPr/>
            </w:pPr>
            <w:r>
              <w:rPr/>
              <w:t>Roy Saar (15)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lineRule="auto" w:line="300" w:before="0" w:after="0"/>
              <w:jc w:val="right"/>
              <w:rPr/>
            </w:pPr>
            <w:r>
              <w:rPr/>
              <w:t>219,170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lineRule="auto" w:line="300" w:before="0" w:after="0"/>
              <w:jc w:val="right"/>
              <w:rPr/>
            </w:pPr>
            <w:r>
              <w:rPr/>
              <w:t>*</w:t>
            </w:r>
          </w:p>
        </w:tc>
        <w:tc>
          <w:tcPr>
            <w:tcW w:w="75" w:type="dxa"/>
            <w:tcBorders/>
            <w:tcMar>
              <w:bottom w:w="0" w:type="dxa"/>
            </w:tcMar>
            <w:vAlign w:val="center"/>
          </w:tcPr>
          <w:p>
            <w:pPr>
              <w:pStyle w:val="TableContents"/>
              <w:bidi w:val="0"/>
              <w:spacing w:before="0" w:after="283"/>
              <w:jc w:val="left"/>
              <w:rPr/>
            </w:pPr>
            <w:r>
              <w:rPr/>
              <w:t> </w:t>
            </w:r>
          </w:p>
        </w:tc>
      </w:tr>
      <w:tr>
        <w:trPr/>
        <w:tc>
          <w:tcPr>
            <w:tcW w:w="6335" w:type="dxa"/>
            <w:tcBorders/>
            <w:shd w:fill="CCEEFF" w:val="clear"/>
            <w:tcMar>
              <w:bottom w:w="0" w:type="dxa"/>
            </w:tcMar>
            <w:vAlign w:val="center"/>
          </w:tcPr>
          <w:p>
            <w:pPr>
              <w:pStyle w:val="TableContents"/>
              <w:bidi w:val="0"/>
              <w:spacing w:lineRule="auto" w:line="300" w:before="0" w:after="0"/>
              <w:jc w:val="both"/>
              <w:rPr/>
            </w:pPr>
            <w:r>
              <w:rPr>
                <w:b/>
              </w:rPr>
              <w:t>All directors and executive officers as a group (11 individuals)</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lineRule="auto" w:line="300" w:before="0" w:after="0"/>
              <w:jc w:val="right"/>
              <w:rPr/>
            </w:pPr>
            <w:r>
              <w:rPr/>
              <w:t>21,991,823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lineRule="auto" w:line="300" w:before="0" w:after="0"/>
              <w:jc w:val="right"/>
              <w:rPr/>
            </w:pPr>
            <w:r>
              <w:rPr/>
              <w:t>23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23" w:name="zbd8dbea340e8409bb71a7b2ffb234178"/>
      <w:bookmarkStart w:id="224" w:name="zbd8dbea340e8409bb71a7b2ffb234178"/>
      <w:bookmarkEnd w:id="224"/>
    </w:p>
    <w:tbl>
      <w:tblPr>
        <w:tblW w:w="3640" w:type="dxa"/>
        <w:jc w:val="left"/>
        <w:tblInd w:w="0" w:type="dxa"/>
        <w:tblLayout w:type="fixed"/>
        <w:tblCellMar>
          <w:top w:w="0" w:type="dxa"/>
          <w:left w:w="0" w:type="dxa"/>
          <w:bottom w:w="0" w:type="dxa"/>
          <w:right w:w="0" w:type="dxa"/>
        </w:tblCellMar>
      </w:tblPr>
      <w:tblGrid>
        <w:gridCol w:w="155"/>
        <w:gridCol w:w="3485"/>
      </w:tblGrid>
      <w:tr>
        <w:trPr/>
        <w:tc>
          <w:tcPr>
            <w:tcW w:w="155" w:type="dxa"/>
            <w:tcBorders/>
            <w:vAlign w:val="center"/>
          </w:tcPr>
          <w:p>
            <w:pPr>
              <w:pStyle w:val="TableContents"/>
              <w:bidi w:val="0"/>
              <w:spacing w:lineRule="auto" w:line="300" w:before="0" w:after="0"/>
              <w:jc w:val="left"/>
              <w:rPr/>
            </w:pPr>
            <w:r>
              <w:rPr/>
              <w:t>*</w:t>
            </w:r>
          </w:p>
        </w:tc>
        <w:tc>
          <w:tcPr>
            <w:tcW w:w="3485" w:type="dxa"/>
            <w:tcBorders/>
            <w:vAlign w:val="center"/>
          </w:tcPr>
          <w:p>
            <w:pPr>
              <w:pStyle w:val="TableContents"/>
              <w:bidi w:val="0"/>
              <w:spacing w:lineRule="auto" w:line="300" w:before="0" w:after="0"/>
              <w:jc w:val="left"/>
              <w:rPr/>
            </w:pPr>
            <w:r>
              <w:rPr/>
              <w:t>Indicates ownership of less than 1%.</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25" w:name="z407e30bbeeac443a9e67a955c5c0ffc8"/>
      <w:bookmarkStart w:id="226" w:name="z407e30bbeeac443a9e67a955c5c0ffc8"/>
      <w:bookmarkEnd w:id="226"/>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pPr>
            <w:r>
              <w:rPr/>
              <w:t>1.</w:t>
            </w:r>
          </w:p>
        </w:tc>
        <w:tc>
          <w:tcPr>
            <w:tcW w:w="10048" w:type="dxa"/>
            <w:tcBorders/>
            <w:vAlign w:val="center"/>
          </w:tcPr>
          <w:p>
            <w:pPr>
              <w:pStyle w:val="TableContents"/>
              <w:bidi w:val="0"/>
              <w:spacing w:before="0" w:after="0"/>
              <w:jc w:val="both"/>
              <w:rPr/>
            </w:pPr>
            <w:r>
              <w:rPr/>
              <w:t>Pursuant to Schedule 13G filed with the SEC on February 11, 2022, consists of (i) 14,719,862 ordinary shares held of record by Insight Venture Partners IX, L.P., (ii) 293,822 ordinary shares held of record by Insight Venture Partners IX (Co-Investors), L.P., (iii) 7,313,935 ordinary shares held of record by Insight Venture Partners (Cayman) IX, L.P., (iv) 1,559,564 ordinary shares held of record by Insight Venture Partners (Delaware) IX, L.P., (v) 163,070 ordinary shares held of record by Insight Partners (Cayman) XI, L.P., (vi) 21,747 ordinary shares held of record by Insight Partners (Delaware) XI, L.P., (vii) 20,202 ordinary shares held of record by Insight Partners (EU) XI, S.C.Sp., (viii) 3,568 ordinary shares held of record by Insight Partners XI (Co-Investors) (B), L.P., (ix) 2,589 ordinary shares held of record by Insight Partners XI (Co-Investors), L.P., and (x) 155,464 shares held of record held by Insight Partners XI, L.P. The general partner of Insight Venture Partners IX, L.P., Insight Venture Partners IX (Co-Investors), L.P., Insight Venture Partners (Cayman) IX, L.P., and Insight Venture Partners (Delaware) IX, L.P. is Insight Venture Associates IX, L.P., (“IVA IX LP”), whose general partner is Insight Venture Associates IX, Ltd., (“IVA IX Ltd”). The general partner of Insight Partners (Cayman) XI, L.P., Insight Partners (Delaware) XI, L.P., Insight Partners XI (Co-Investors) (B), L.P., Insight Partners XI (Co-Investors), L.P. and Insight Partners XI, L.P. is Insight Associates XI, L.P., (“IA XI LP”), whose general partner is Insight Associates XI, Ltd. (“IA XI Ltd”). The general partner of Insight Partners (EU) XI, S.C.Sp. is Insight Associates (EU) XI, S.a.r.l., (“IA EU XI”). The sole shareholder of IVA IX Ltd, IA XI Ltd and IA EU XI is Insight Holdings Group, LLC. Mr. Horing, one of the Company’s directors, is a managing director at Insight Venture Partners. The address for these entities is c/o Insight Partners, 1114 Avenue of the Americas, 36th Floor, New York, NY 10036.</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27" w:name="z90e5ed90e5da4713927bdf507e2354b0"/>
      <w:bookmarkStart w:id="228" w:name="z90e5ed90e5da4713927bdf507e2354b0"/>
      <w:bookmarkEnd w:id="228"/>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pPr>
            <w:r>
              <w:rPr/>
              <w:t>2.</w:t>
            </w:r>
          </w:p>
        </w:tc>
        <w:tc>
          <w:tcPr>
            <w:tcW w:w="10048" w:type="dxa"/>
            <w:tcBorders/>
            <w:vAlign w:val="center"/>
          </w:tcPr>
          <w:p>
            <w:pPr>
              <w:pStyle w:val="TableContents"/>
              <w:bidi w:val="0"/>
              <w:spacing w:before="0" w:after="0"/>
              <w:jc w:val="both"/>
              <w:rPr/>
            </w:pPr>
            <w:r>
              <w:rPr/>
              <w:t>Pursuant to Schedule 13/G filed with the SEC on June 11, 2022, consists of (i) 10,366,855 ordinary shares held by StepStone Group LP.  (“StepStone”); (ii) 3,013,139 ordinary shares held by StepStone VC Global Partners VI-A, L.P. (“Global Partners VI-A”); (iii) 1,203,629 ordinary shares held by StepStone VC Global Partners VI-C, L.P. (“Global Partners VI-C”); (iv) 4,216,768 ordinary shares held by StepStone VC General Partner VI, L.P. (“Partners VI GP”); (v) 5,948,813 ordinary shares held by StepStone VC Opportunities III, L.P. (“Opportunities III”); (vi) 5,948,813 ordinary shares held by StepStone VC Opportunities General Partner III, L.P. (“Opportunities III GP”); (vii) 201,274 ordinary shares held by StepStone VC Secondaries Fund IV, L.P. (“Secondaries Fund IV,” and together with Global Partners VI and Opportunities III, the “Funds”) and (viii) 201,274 ordinary shares held by StepStone VC Secondaries General Partner IV, L.P (“Secondaries IV GP”). Partners VI GP is the general partner of Global Partners VI-A and Global Partners VI-C, Opportunities III GP is the general partner of Opportunities III, and Secondaries IV GP is the general partner of Secondaries Fund IV. StepStone is the investment manager of the Funds. StepStone Group Holdings LLC (“StepStone Group Holdings”) is the general partner of StepStone, and StepStone Group Inc. is the sole managing member of StepStone Group Holdings. On September 20, 2021, StepStone Group Inc., a Delaware corporation, and StepStone Group LP, a Delaware limited partnership, completed the acquisition of Greenspring Associates, LLC and certain of its affiliates or subsidiaries (the “StepStone Acquisition”). As a result of the Stepstone Acquisition, StepStone Group LP became the investment manager of the Funds. The address of these entities is 4225 Executive Square, Suite 1600, La Jolla, CA 90237.</w:t>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90</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29" w:name="z3b0b0398f0c74432995dac7503e82ccd"/>
      <w:bookmarkStart w:id="230" w:name="z3b0b0398f0c74432995dac7503e82ccd"/>
      <w:bookmarkEnd w:id="230"/>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pPr>
            <w:r>
              <w:rPr/>
              <w:t>3.</w:t>
            </w:r>
          </w:p>
        </w:tc>
        <w:tc>
          <w:tcPr>
            <w:tcW w:w="10044" w:type="dxa"/>
            <w:tcBorders/>
            <w:vAlign w:val="center"/>
          </w:tcPr>
          <w:p>
            <w:pPr>
              <w:pStyle w:val="TableContents"/>
              <w:bidi w:val="0"/>
              <w:spacing w:before="0" w:after="0"/>
              <w:jc w:val="both"/>
              <w:rPr/>
            </w:pPr>
            <w:r>
              <w:rPr/>
              <w:t>Pursuant to Schedule 13G/A filed with the SEC on February 13, 2024 and information known to the Company, consists of (i) 9,429,021 ordinary shares held of record by Scale Venture Management IV, LLC (“Scale IV LLC”), (ii) 11,302 ordinary shares held of record by Scale Management, LLC (iii) 20,718 shares held by Rory O’Driscoll and (iv) 20,628 ordinary shares underlying options held by Rory O’Driscoll and exercisable within 60 days of February 29, 2024. Rory O’Driscoll, one of our directors, Andrew Vitus and Stacey Bishop are managers of Scale IV LLC and Scale Management, LLC and share voting and dispositive power over the shares held by Scale IV LLC and Scale Management, LLC with the other managers of Scale IV LLC and Scale Management, LLC. The address for the reporting persons is 950 Tower Lane, Suite 1150, Foster City, California 94404.</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31" w:name="z94d6dbad13414cf8a6a75e71a41f278e"/>
      <w:bookmarkStart w:id="232" w:name="z94d6dbad13414cf8a6a75e71a41f278e"/>
      <w:bookmarkEnd w:id="232"/>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pPr>
            <w:r>
              <w:rPr/>
              <w:t>4.</w:t>
            </w:r>
          </w:p>
        </w:tc>
        <w:tc>
          <w:tcPr>
            <w:tcW w:w="10047" w:type="dxa"/>
            <w:tcBorders/>
            <w:vAlign w:val="center"/>
          </w:tcPr>
          <w:p>
            <w:pPr>
              <w:pStyle w:val="TableContents"/>
              <w:bidi w:val="0"/>
              <w:spacing w:before="0" w:after="0"/>
              <w:jc w:val="both"/>
              <w:rPr/>
            </w:pPr>
            <w:r>
              <w:rPr/>
              <w:t>Pursuant to Schedule 13G filed with the SEC on January 19, 2022, consists of (i) 5,638,420 ordinary shares held by Mangrove III Investments S.à r.l (“Mangrove III”) and (ii) 639,934 ordinary shares held by Mangrove V Investments S.à r.l (“Mangrove V”). Mangrove III S.C.A. SICAR is the owner of 100% of the share capital of Mangrove III, and Mangrove V (SCA), RAIF is the owner of 100% of the share capital of Mangrove V. Mangrove III Management S.A. is the liquidator of Mangrove III S.C.A. SICAR. The members of the board of directors of Mangrove III Management S.A. are Mark Tluszcz, Hans-Jurgen Schmitz and Willibrord Ehses. As a result of these relationships, each of Mangrove III S.C.A. SICAR, Mangrove III Management S.A. and Messrs. Tluszcz, Schmitz and Ehses may be deemed to share voting and dispositive power with respect to the securities held by Mangrove III. Mangrove Capital Partners S.A. is the manager of Mangrove V (SCA), RAIF. The members of the board of directors of Mangrove Capital Partners S.A. are Mark Tluszcz, Hans-Jürgen Schmitz, Michael Rabinowicz and Gerardo Lopez Fojaca. As a result of these relationships, each of Mangrove V (SCA), RAIF, Mangrove Capital Partners S.A. and Messrs. Tluszcz, Schmitz, Rabinowicz and Lopez Fojaca may be deemed to share voting and dispositive power with respect to the securities held by Mangrove V. Roy Saar, one of our directors, is a partner at Mangrove Capital Partners. The address for these entities is 31 Boulevard Joseph II, L-1840, Luxembourg.</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33" w:name="zd4271c23be2147f480e6cdb0cf63dd81"/>
      <w:bookmarkStart w:id="234" w:name="zd4271c23be2147f480e6cdb0cf63dd81"/>
      <w:bookmarkEnd w:id="234"/>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pPr>
            <w:r>
              <w:rPr/>
              <w:t>5.</w:t>
            </w:r>
          </w:p>
        </w:tc>
        <w:tc>
          <w:tcPr>
            <w:tcW w:w="10045" w:type="dxa"/>
            <w:tcBorders/>
            <w:vAlign w:val="center"/>
          </w:tcPr>
          <w:p>
            <w:pPr>
              <w:pStyle w:val="TableContents"/>
              <w:bidi w:val="0"/>
              <w:spacing w:lineRule="auto" w:line="240" w:before="0" w:after="0"/>
              <w:jc w:val="both"/>
              <w:rPr/>
            </w:pPr>
            <w:r>
              <w:rPr/>
              <w:t>Pursuant to Schedule 13G filed with the SEC on February 13, 2024 and information known to the Company, consists of (i) 7,652,748 ordinary shares held of record by Gemini Israel V Limited Partnership (“Gemini V”), (ii) 77,300 ordinary shares held of record by Gemini Partners Investors V L.P. (“Gemini Partners”) (iii) 42,157 ordinary shares held of record by Menashe Ezra and (iv) 20,628 ordinary shares underlying options held by Menashe Ezra and exercisable within 60 days of February 29, 2024. Gemini Capital Associates V LP (“Gemini Associates LP”) is the general partner of Gemini V and Gemini Capital Associates V GP, Ltd. (“Gemini Associates GP”) is the general partner of Gemini Associates LP. Gemini Israel Funds IV Ltd. is the general partner of Gemini Partners. Yossi Sela and Menashe Ezra are the managing partners of Gemini Associates GP, and Gemini Israel Funds IV Ltd. The address for these entities is 1 Shankar St., WeWork, 1st Floor, Herzliya Israel.</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35" w:name="ze6bfad0a448a46d1b41acdf1123660d8"/>
      <w:bookmarkStart w:id="236" w:name="ze6bfad0a448a46d1b41acdf1123660d8"/>
      <w:bookmarkEnd w:id="236"/>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pPr>
            <w:r>
              <w:rPr/>
              <w:t>6.</w:t>
            </w:r>
          </w:p>
        </w:tc>
        <w:tc>
          <w:tcPr>
            <w:tcW w:w="10046" w:type="dxa"/>
            <w:tcBorders/>
            <w:vAlign w:val="center"/>
          </w:tcPr>
          <w:p>
            <w:pPr>
              <w:pStyle w:val="TableContents"/>
              <w:bidi w:val="0"/>
              <w:spacing w:before="0" w:after="0"/>
              <w:jc w:val="both"/>
              <w:rPr/>
            </w:pPr>
            <w:r>
              <w:rPr/>
              <w:t>Pursuant to Schedule 13D/A filed with the SEC on December 17, 2021, consists of: (i) 3,404,955 ordinary shares held or record by Ambleside S.à r.l. (“Ambleside”) and (ii) 2,057,290 ordinary shares held of record by Ambleside Lux S.à r.l. (“Ambleside Lux”). Vitruvian III Luxembourg S.à r.l. (“Vitruvian Luxembourg”), is the sole shareholder of Ambleside. VIP III Cortex-B S.à r.l. (“VIP III Cortex-B”) is the sole shareholder of Ambleside Lux. VIP III Nominees Limited (“VIP Nominees”) is the nominee for and on behalf of VIP III LP, and VIP III Co-Invest LP (collectively, the “Funds”), and sole legal shareholder of Vitruvian Luxembourg and VIP III Cortex-B. Vitruvian Partners LLP (“Vitruvian Partners”) is the manager of the Funds and sole shareholder of VIP Nominees. Michael Risman, one of our directors, is a managing partner of Vitruvian Partners. The address of the principal business office of VIP Nominees, VIP III LP and Vitruvian Partners is 105 Wigmore Street, London W1U 1QY, the address of the principal business office of VIP III Co-Invest LP is 12 Castle Street St Helier Jersey JE2 3RT and the address of the principal business office of Ambleside, Ambleside Lux, Vitruvian Luxembourg and VIP III Cortex-B is 21, rue Philippe II, L-2340 Luxembourg.</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37" w:name="z9ab7e3928f0045d4ab367078ae60e284"/>
      <w:bookmarkStart w:id="238" w:name="z9ab7e3928f0045d4ab367078ae60e284"/>
      <w:bookmarkEnd w:id="238"/>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pPr>
            <w:r>
              <w:rPr/>
              <w:t>7.</w:t>
            </w:r>
          </w:p>
        </w:tc>
        <w:tc>
          <w:tcPr>
            <w:tcW w:w="10023" w:type="dxa"/>
            <w:tcBorders/>
            <w:vAlign w:val="center"/>
          </w:tcPr>
          <w:p>
            <w:pPr>
              <w:pStyle w:val="TableContents"/>
              <w:bidi w:val="0"/>
              <w:spacing w:before="0" w:after="0"/>
              <w:jc w:val="both"/>
              <w:rPr/>
            </w:pPr>
            <w:r>
              <w:rPr/>
              <w:t>Consists of 3,073,750 ordinary shares underlying options exercisable within 60 days of February 29, 2024 and 23,438 restricted share units or performance share units to be vested within 60 days of February 29, 2024.</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39" w:name="z4c5dc6d5758d45d58db0afdab4af3de5"/>
      <w:bookmarkStart w:id="240" w:name="z4c5dc6d5758d45d58db0afdab4af3de5"/>
      <w:bookmarkEnd w:id="240"/>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pPr>
            <w:r>
              <w:rPr/>
              <w:t>8.</w:t>
            </w:r>
          </w:p>
        </w:tc>
        <w:tc>
          <w:tcPr>
            <w:tcW w:w="10019" w:type="dxa"/>
            <w:tcBorders/>
            <w:vAlign w:val="center"/>
          </w:tcPr>
          <w:p>
            <w:pPr>
              <w:pStyle w:val="TableContents"/>
              <w:bidi w:val="0"/>
              <w:spacing w:before="0" w:after="0"/>
              <w:jc w:val="both"/>
              <w:rPr/>
            </w:pPr>
            <w:r>
              <w:rPr/>
              <w:t>Consists of 250,104 ordinary shares underlying options exercisable within 60 days of February 29, 2024 and 2,344 performance share units to be vested within 60 days of February 29, 2024.</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41" w:name="zc4adf14fe6f94e4ab02c7273885aef44"/>
      <w:bookmarkStart w:id="242" w:name="zc4adf14fe6f94e4ab02c7273885aef44"/>
      <w:bookmarkEnd w:id="242"/>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pPr>
            <w:r>
              <w:rPr/>
              <w:t>9.</w:t>
            </w:r>
          </w:p>
        </w:tc>
        <w:tc>
          <w:tcPr>
            <w:tcW w:w="10019" w:type="dxa"/>
            <w:tcBorders/>
            <w:vAlign w:val="center"/>
          </w:tcPr>
          <w:p>
            <w:pPr>
              <w:pStyle w:val="TableContents"/>
              <w:bidi w:val="0"/>
              <w:spacing w:before="0" w:after="0"/>
              <w:jc w:val="both"/>
              <w:rPr/>
            </w:pPr>
            <w:r>
              <w:rPr/>
              <w:t>Consists of 83,333 ordinary shares underlying options exercisable within 60 days of February 29, 2024 and 1,250 performance share units to be vested within 60 days of February 29, 2024.</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43" w:name="z48fe9cf6e0d4413ba0df2d18d960594c"/>
      <w:bookmarkStart w:id="244" w:name="z48fe9cf6e0d4413ba0df2d18d960594c"/>
      <w:bookmarkEnd w:id="244"/>
    </w:p>
    <w:tbl>
      <w:tblPr>
        <w:tblW w:w="10165" w:type="dxa"/>
        <w:jc w:val="left"/>
        <w:tblInd w:w="0" w:type="dxa"/>
        <w:tblLayout w:type="fixed"/>
        <w:tblCellMar>
          <w:top w:w="0" w:type="dxa"/>
          <w:left w:w="0" w:type="dxa"/>
          <w:bottom w:w="0" w:type="dxa"/>
          <w:right w:w="0" w:type="dxa"/>
        </w:tblCellMar>
      </w:tblPr>
      <w:tblGrid>
        <w:gridCol w:w="335"/>
        <w:gridCol w:w="9830"/>
      </w:tblGrid>
      <w:tr>
        <w:trPr/>
        <w:tc>
          <w:tcPr>
            <w:tcW w:w="335" w:type="dxa"/>
            <w:tcBorders/>
            <w:vAlign w:val="center"/>
          </w:tcPr>
          <w:p>
            <w:pPr>
              <w:pStyle w:val="TableContents"/>
              <w:bidi w:val="0"/>
              <w:spacing w:before="0" w:after="283"/>
              <w:jc w:val="left"/>
              <w:rPr/>
            </w:pPr>
            <w:r>
              <w:rPr/>
              <w:t>10.</w:t>
            </w:r>
          </w:p>
        </w:tc>
        <w:tc>
          <w:tcPr>
            <w:tcW w:w="9830" w:type="dxa"/>
            <w:tcBorders/>
            <w:vAlign w:val="center"/>
          </w:tcPr>
          <w:p>
            <w:pPr>
              <w:pStyle w:val="TableContents"/>
              <w:bidi w:val="0"/>
              <w:spacing w:before="0" w:after="0"/>
              <w:jc w:val="both"/>
              <w:rPr/>
            </w:pPr>
            <w:r>
              <w:rPr/>
              <w:t>Consists of 68,709 ordinary shares underlying options exercisable within 60 days of February 29, 2024.</w:t>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91</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45" w:name="z500c7994aea94d24bbcbf2aac3c44f62"/>
      <w:bookmarkStart w:id="246" w:name="z500c7994aea94d24bbcbf2aac3c44f62"/>
      <w:bookmarkEnd w:id="246"/>
    </w:p>
    <w:tbl>
      <w:tblPr>
        <w:tblW w:w="10165" w:type="dxa"/>
        <w:jc w:val="left"/>
        <w:tblInd w:w="0" w:type="dxa"/>
        <w:tblLayout w:type="fixed"/>
        <w:tblCellMar>
          <w:top w:w="0" w:type="dxa"/>
          <w:left w:w="0" w:type="dxa"/>
          <w:bottom w:w="0" w:type="dxa"/>
          <w:right w:w="0" w:type="dxa"/>
        </w:tblCellMar>
      </w:tblPr>
      <w:tblGrid>
        <w:gridCol w:w="335"/>
        <w:gridCol w:w="9830"/>
      </w:tblGrid>
      <w:tr>
        <w:trPr/>
        <w:tc>
          <w:tcPr>
            <w:tcW w:w="335" w:type="dxa"/>
            <w:tcBorders/>
            <w:vAlign w:val="center"/>
          </w:tcPr>
          <w:p>
            <w:pPr>
              <w:pStyle w:val="TableContents"/>
              <w:bidi w:val="0"/>
              <w:spacing w:before="0" w:after="283"/>
              <w:jc w:val="left"/>
              <w:rPr/>
            </w:pPr>
            <w:r>
              <w:rPr/>
              <w:t>11.</w:t>
            </w:r>
          </w:p>
        </w:tc>
        <w:tc>
          <w:tcPr>
            <w:tcW w:w="9830" w:type="dxa"/>
            <w:tcBorders/>
            <w:vAlign w:val="center"/>
          </w:tcPr>
          <w:p>
            <w:pPr>
              <w:pStyle w:val="TableContents"/>
              <w:bidi w:val="0"/>
              <w:spacing w:before="0" w:after="0"/>
              <w:jc w:val="both"/>
              <w:rPr/>
            </w:pPr>
            <w:r>
              <w:rPr/>
              <w:t>Consists of 49,421 ordinary shares underlying options exercisable within 60 days of February 29, 2024.</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47" w:name="za9e55a98346c42339c55f3b92b8b770d"/>
      <w:bookmarkStart w:id="248" w:name="za9e55a98346c42339c55f3b92b8b770d"/>
      <w:bookmarkEnd w:id="248"/>
    </w:p>
    <w:tbl>
      <w:tblPr>
        <w:tblW w:w="10165" w:type="dxa"/>
        <w:jc w:val="left"/>
        <w:tblInd w:w="0" w:type="dxa"/>
        <w:tblLayout w:type="fixed"/>
        <w:tblCellMar>
          <w:top w:w="0" w:type="dxa"/>
          <w:left w:w="0" w:type="dxa"/>
          <w:bottom w:w="0" w:type="dxa"/>
          <w:right w:w="0" w:type="dxa"/>
        </w:tblCellMar>
      </w:tblPr>
      <w:tblGrid>
        <w:gridCol w:w="335"/>
        <w:gridCol w:w="9830"/>
      </w:tblGrid>
      <w:tr>
        <w:trPr/>
        <w:tc>
          <w:tcPr>
            <w:tcW w:w="335" w:type="dxa"/>
            <w:tcBorders/>
            <w:vAlign w:val="center"/>
          </w:tcPr>
          <w:p>
            <w:pPr>
              <w:pStyle w:val="TableContents"/>
              <w:bidi w:val="0"/>
              <w:spacing w:before="0" w:after="283"/>
              <w:jc w:val="left"/>
              <w:rPr/>
            </w:pPr>
            <w:r>
              <w:rPr/>
              <w:t>12.</w:t>
            </w:r>
          </w:p>
        </w:tc>
        <w:tc>
          <w:tcPr>
            <w:tcW w:w="9830" w:type="dxa"/>
            <w:tcBorders/>
            <w:vAlign w:val="center"/>
          </w:tcPr>
          <w:p>
            <w:pPr>
              <w:pStyle w:val="TableContents"/>
              <w:bidi w:val="0"/>
              <w:spacing w:before="0" w:after="0"/>
              <w:jc w:val="both"/>
              <w:rPr/>
            </w:pPr>
            <w:r>
              <w:rPr/>
              <w:t>Consists of 67,219 ordinary shares underlying options exercisable within 60 days of February 29, 2024.</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49" w:name="z1c732fc9346d48d2a3a5b6bc99b4723e"/>
      <w:bookmarkStart w:id="250" w:name="z1c732fc9346d48d2a3a5b6bc99b4723e"/>
      <w:bookmarkEnd w:id="250"/>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13.</w:t>
            </w:r>
          </w:p>
        </w:tc>
        <w:tc>
          <w:tcPr>
            <w:tcW w:w="9905" w:type="dxa"/>
            <w:tcBorders/>
            <w:vAlign w:val="center"/>
          </w:tcPr>
          <w:p>
            <w:pPr>
              <w:pStyle w:val="TableContents"/>
              <w:bidi w:val="0"/>
              <w:spacing w:before="0" w:after="0"/>
              <w:jc w:val="both"/>
              <w:rPr/>
            </w:pPr>
            <w:r>
              <w:rPr/>
              <w:t>Consists of 20,628 ordinary shares underlying options exercisable within 60 days of February 29, 2024. Does not include the ordinary shares beneficially held by entities affiliated with Insight Partners as set forth in footnote (1) above.</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51" w:name="z7a0c624598b247dc972867a83ff49d2a"/>
      <w:bookmarkStart w:id="252" w:name="z7a0c624598b247dc972867a83ff49d2a"/>
      <w:bookmarkEnd w:id="252"/>
    </w:p>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pPr>
            <w:r>
              <w:rPr/>
              <w:t>14.</w:t>
            </w:r>
          </w:p>
        </w:tc>
        <w:tc>
          <w:tcPr>
            <w:tcW w:w="9881" w:type="dxa"/>
            <w:tcBorders/>
            <w:vAlign w:val="center"/>
          </w:tcPr>
          <w:p>
            <w:pPr>
              <w:pStyle w:val="TableContents"/>
              <w:bidi w:val="0"/>
              <w:spacing w:before="0" w:after="0"/>
              <w:jc w:val="both"/>
              <w:rPr/>
            </w:pPr>
            <w:r>
              <w:rPr/>
              <w:t>Does not include the ordinary shares beneficially held by entities affiliated with Ambleside as set forth in footnote (6) above.</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53" w:name="z1811775d52cc4910b797bc511a6dbdc1"/>
      <w:bookmarkStart w:id="254" w:name="z1811775d52cc4910b797bc511a6dbdc1"/>
      <w:bookmarkEnd w:id="254"/>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15.</w:t>
            </w:r>
          </w:p>
        </w:tc>
        <w:tc>
          <w:tcPr>
            <w:tcW w:w="9907" w:type="dxa"/>
            <w:tcBorders/>
            <w:vAlign w:val="center"/>
          </w:tcPr>
          <w:p>
            <w:pPr>
              <w:pStyle w:val="TableContents"/>
              <w:bidi w:val="0"/>
              <w:spacing w:before="0" w:after="0"/>
              <w:jc w:val="both"/>
              <w:rPr/>
            </w:pPr>
            <w:r>
              <w:rPr/>
              <w:t>Consists of 20,628 ordinary shares underlying options exercisable within 60 days of February 29, 2024. Does not include the ordinary shares beneficially held by entities affiliated with Mangrove Capital Partners as set forth in footnote (4) above.</w:t>
            </w:r>
          </w:p>
        </w:tc>
      </w:tr>
    </w:tbl>
    <w:p>
      <w:pPr>
        <w:pStyle w:val="TextBody"/>
        <w:bidi w:val="0"/>
        <w:spacing w:lineRule="auto" w:line="300" w:before="0" w:after="0"/>
        <w:jc w:val="left"/>
        <w:rPr/>
      </w:pPr>
      <w:r>
        <w:rPr/>
      </w:r>
    </w:p>
    <w:p>
      <w:pPr>
        <w:pStyle w:val="TextBody"/>
        <w:bidi w:val="0"/>
        <w:spacing w:lineRule="auto" w:line="300" w:before="0" w:after="0"/>
        <w:jc w:val="both"/>
        <w:rPr>
          <w:b/>
          <w:sz w:val="20"/>
        </w:rPr>
      </w:pPr>
      <w:r>
        <w:rPr>
          <w:b/>
          <w:sz w:val="20"/>
        </w:rPr>
        <w:t>Significant Changes in Ownership</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To our knowledge, other than as disclosed in the table above, our other filings with the SEC and this Annual Report, there has been no significant change in the percentage ownership held by any major shareholder during the past three years.</w:t>
      </w:r>
    </w:p>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Voting Rights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Neither our major shareholders nor our directors and executive officers will have different or special voting rights with respect to their ordinary shares.</w:t>
      </w:r>
    </w:p>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Registered Holders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As of February 29, 2024, approximately 77% of our outstanding shares were held by 103 holders of records in the United States (including Cede &amp; Co., the nominee of the Depository Trust Company). The number of record holders in the United States is not representative of the number of beneficial holders nor is it representative of where such beneficial holders are resident since many of these ordinary shares were held by brokers or other nominees.</w:t>
      </w:r>
    </w:p>
    <w:p>
      <w:pPr>
        <w:pStyle w:val="TextBody"/>
        <w:bidi w:val="0"/>
        <w:spacing w:lineRule="auto" w:line="300" w:before="0" w:after="0"/>
        <w:jc w:val="left"/>
        <w:rPr/>
      </w:pPr>
      <w:r>
        <w:rPr/>
      </w:r>
    </w:p>
    <w:p>
      <w:pPr>
        <w:pStyle w:val="TextBody"/>
        <w:bidi w:val="0"/>
        <w:spacing w:lineRule="auto" w:line="300" w:before="0" w:after="0"/>
        <w:jc w:val="both"/>
        <w:rPr>
          <w:b/>
          <w:sz w:val="20"/>
        </w:rPr>
      </w:pPr>
      <w:r>
        <w:rPr>
          <w:b/>
          <w:sz w:val="20"/>
        </w:rPr>
        <w:t>Change in Control Arrangements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are not aware of any arrangement that may at a subsequent date, result in a change of control of the Company.</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255" w:name="zbe0ac39437084d88825cec3f4e15343d"/>
      <w:bookmarkStart w:id="256" w:name="zbe0ac39437084d88825cec3f4e15343d"/>
      <w:bookmarkEnd w:id="256"/>
    </w:p>
    <w:tbl>
      <w:tblPr>
        <w:tblW w:w="3085" w:type="dxa"/>
        <w:jc w:val="left"/>
        <w:tblInd w:w="0" w:type="dxa"/>
        <w:tblLayout w:type="fixed"/>
        <w:tblCellMar>
          <w:top w:w="0" w:type="dxa"/>
          <w:left w:w="0" w:type="dxa"/>
          <w:bottom w:w="0" w:type="dxa"/>
          <w:right w:w="0" w:type="dxa"/>
        </w:tblCellMar>
      </w:tblPr>
      <w:tblGrid>
        <w:gridCol w:w="260"/>
        <w:gridCol w:w="2825"/>
      </w:tblGrid>
      <w:tr>
        <w:trPr/>
        <w:tc>
          <w:tcPr>
            <w:tcW w:w="260" w:type="dxa"/>
            <w:tcBorders/>
            <w:vAlign w:val="center"/>
          </w:tcPr>
          <w:p>
            <w:pPr>
              <w:pStyle w:val="TableContents"/>
              <w:bidi w:val="0"/>
              <w:spacing w:lineRule="auto" w:line="300" w:before="0" w:after="0"/>
              <w:jc w:val="both"/>
              <w:rPr>
                <w:b/>
              </w:rPr>
            </w:pPr>
            <w:r>
              <w:rPr>
                <w:b/>
              </w:rPr>
              <w:t>B.</w:t>
            </w:r>
          </w:p>
        </w:tc>
        <w:tc>
          <w:tcPr>
            <w:tcW w:w="2825" w:type="dxa"/>
            <w:tcBorders/>
            <w:vAlign w:val="center"/>
          </w:tcPr>
          <w:p>
            <w:pPr>
              <w:pStyle w:val="TableContents"/>
              <w:bidi w:val="0"/>
              <w:spacing w:lineRule="auto" w:line="300" w:before="0" w:after="0"/>
              <w:jc w:val="both"/>
              <w:rPr>
                <w:b/>
              </w:rPr>
            </w:pPr>
            <w:r>
              <w:rPr>
                <w:b/>
              </w:rPr>
              <w:t>Related Party Transactions</w:t>
            </w:r>
          </w:p>
        </w:tc>
      </w:tr>
    </w:tbl>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following is a description of our related party transactions as defined under Item 7.B of Form 20-F, since January 1, 2021.</w:t>
      </w:r>
    </w:p>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Rights of Appointment Pre-IPO</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board of directors currently consists of ten directors. Pursuant to our articles of association in effect prior to our IPO, certain of our shareholders, including our related parties, had rights to appoint members of our board of directors. See the section titled “Management-Appointment Rights.”</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490"/>
        <w:jc w:val="both"/>
        <w:rPr>
          <w:sz w:val="20"/>
        </w:rPr>
      </w:pPr>
      <w:r>
        <w:rPr>
          <w:sz w:val="20"/>
        </w:rPr>
        <w:t>All rights to appoint directors and observers terminated upon the closing of our IPO, although currently serving directors that were appointed prior to our IPO will continue to serve pursuant to their appointment until the annual general meeting of our shareholders at which the term of their class of director expires.</w:t>
      </w:r>
    </w:p>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Investor’s Rights Agreement</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In June 2021, we entered into an amended and restated investor’s rights agreement with certain holders of our preferred shares, entities affiliated with certain of our executive officers and directors, as well as certain of our executive officers and directors. These shareholders are entitled to certain registration rights with respect to the registrable securities held by them.</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92</w:t>
      </w:r>
    </w:p>
    <w:p>
      <w:pPr>
        <w:pStyle w:val="HorizontalLine"/>
        <w:bidi w:val="0"/>
        <w:spacing w:before="200" w:after="200"/>
        <w:jc w:val="left"/>
        <w:rPr/>
      </w:pPr>
      <w:r>
        <w:rPr/>
      </w:r>
    </w:p>
    <w:p>
      <w:pPr>
        <w:pStyle w:val="TextBody"/>
        <w:bidi w:val="0"/>
        <w:spacing w:lineRule="auto" w:line="300" w:before="0" w:after="0"/>
        <w:jc w:val="both"/>
        <w:rPr>
          <w:b/>
          <w:sz w:val="20"/>
        </w:rPr>
      </w:pPr>
      <w:r>
        <w:rPr>
          <w:b/>
          <w:sz w:val="20"/>
        </w:rPr>
        <w:t>Other Transactions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Maya Flisser, the former spouse of Dan Adika, our Chief Executive Officer and a member of our board of directors, was employed by us until 2023 as a Purchasing Manager based in Tel Aviv. We believe Ms. Flisser’s compensation was aligned with that of employees of similar companies in Tel Aviv having similar skills and experience. Ms. Flisser was never an executive officer of the Company.</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For each of the years ended December 31, 2021, 2022 and 2023, we paid BFP &amp; Co. (“BFP”), our external corporate counsel, consideration of approximately $920,000, $145,000 and Nil, respectively, for legal services. Haleli Barath, a member of our board of directors, is a partner at BFP.</w:t>
      </w:r>
    </w:p>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Agreements with Directors and Officers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i/>
          <w:sz w:val="20"/>
        </w:rPr>
        <w:t>Employment and Consulting Agreements.</w:t>
      </w:r>
      <w:r>
        <w:rPr>
          <w:sz w:val="20"/>
        </w:rPr>
        <w:t xml:space="preserve"> We have entered into written employment agreements with each of our executive officers. See Item 6. “Management-Employment and Consulting Agreements with Executive Officers.”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i/>
          <w:sz w:val="20"/>
        </w:rPr>
        <w:t>Awards.</w:t>
      </w:r>
      <w:r>
        <w:rPr>
          <w:sz w:val="20"/>
        </w:rPr>
        <w:t xml:space="preserve"> Since our inception, we have granted options to purchase our ordinary shares to our executive officers and certain of our directors. Such option agreements may contain acceleration provisions upon certain merger, acquisition or change of control transactions and other circumstances. We describe our option plans under “Management-Share Option Plans.”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i/>
          <w:sz w:val="20"/>
        </w:rPr>
        <w:t>Exculpation, Indemnification and Insurance.</w:t>
      </w:r>
      <w:r>
        <w:rPr>
          <w:sz w:val="20"/>
        </w:rPr>
        <w:t xml:space="preserve"> Our Articles of Association permit us to exculpate, indemnify and insure certain of our office holders to the fullest extent permitted by the Companies Law. We have entered into agreements with certain office holders, exculpating them from a breach of their duty of care to us to the fullest extent permitted by law and undertaking to indemnify them to the fullest extent permitted by law, subject to certain exceptions, including with respect to liabilities resulting from the IPO to the extent that such liabilities are not covered by insurance. See Item 6. “Directors, Senior Management and Employees-Exculpation, Insurance and Indemnification of Directors and Officers.”</w:t>
      </w:r>
    </w:p>
    <w:p>
      <w:pPr>
        <w:pStyle w:val="TextBody"/>
        <w:bidi w:val="0"/>
        <w:spacing w:lineRule="auto" w:line="300" w:before="0" w:after="0"/>
        <w:jc w:val="left"/>
        <w:rPr/>
      </w:pPr>
      <w:r>
        <w:rPr/>
      </w:r>
    </w:p>
    <w:p>
      <w:pPr>
        <w:pStyle w:val="TextBody"/>
        <w:bidi w:val="0"/>
        <w:spacing w:lineRule="auto" w:line="300" w:before="0" w:after="0"/>
        <w:jc w:val="both"/>
        <w:rPr>
          <w:b/>
          <w:sz w:val="20"/>
        </w:rPr>
      </w:pPr>
      <w:r>
        <w:rPr>
          <w:b/>
          <w:sz w:val="20"/>
        </w:rPr>
        <w:t>Related Party Transaction Policy</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board of directors has adopted a written related party transaction policy that sets forth the policies and procedures for the review and approval or ratification of related person transactions. This policy covers interested party transactions under the Companies Law, interested party transactions as defined in Part I, Item 7.B of Form 20-F and transactions between the Company and an interested party, which are material to the Company or the interested party, and any such transactions between the Company and an interested party that are unusual in their nature or conditions, involving goods, services, or tangible or intangible assets. A transaction involving an amount exceeding $120,000 is presumed to be material, though transactions involving lower amounts may be material based on the facts and circumstances. </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257" w:name="zd24ae9fc2b174ef9bffea22acb1f8fc3"/>
      <w:bookmarkStart w:id="258" w:name="zd24ae9fc2b174ef9bffea22acb1f8fc3"/>
      <w:bookmarkEnd w:id="258"/>
    </w:p>
    <w:tbl>
      <w:tblPr>
        <w:tblW w:w="3625" w:type="dxa"/>
        <w:jc w:val="left"/>
        <w:tblInd w:w="0" w:type="dxa"/>
        <w:tblLayout w:type="fixed"/>
        <w:tblCellMar>
          <w:top w:w="0" w:type="dxa"/>
          <w:left w:w="0" w:type="dxa"/>
          <w:bottom w:w="0" w:type="dxa"/>
          <w:right w:w="0" w:type="dxa"/>
        </w:tblCellMar>
      </w:tblPr>
      <w:tblGrid>
        <w:gridCol w:w="275"/>
        <w:gridCol w:w="3350"/>
      </w:tblGrid>
      <w:tr>
        <w:trPr/>
        <w:tc>
          <w:tcPr>
            <w:tcW w:w="275" w:type="dxa"/>
            <w:tcBorders/>
            <w:vAlign w:val="center"/>
          </w:tcPr>
          <w:p>
            <w:pPr>
              <w:pStyle w:val="TableContents"/>
              <w:bidi w:val="0"/>
              <w:spacing w:lineRule="auto" w:line="300" w:before="0" w:after="0"/>
              <w:jc w:val="both"/>
              <w:rPr>
                <w:b/>
              </w:rPr>
            </w:pPr>
            <w:r>
              <w:rPr>
                <w:b/>
              </w:rPr>
              <w:t>C.</w:t>
            </w:r>
          </w:p>
        </w:tc>
        <w:tc>
          <w:tcPr>
            <w:tcW w:w="3350" w:type="dxa"/>
            <w:tcBorders/>
            <w:vAlign w:val="center"/>
          </w:tcPr>
          <w:p>
            <w:pPr>
              <w:pStyle w:val="TableContents"/>
              <w:bidi w:val="0"/>
              <w:spacing w:lineRule="auto" w:line="300" w:before="0" w:after="0"/>
              <w:jc w:val="both"/>
              <w:rPr>
                <w:b/>
              </w:rPr>
            </w:pPr>
            <w:r>
              <w:rPr>
                <w:b/>
              </w:rPr>
              <w:t>Interests of Experts and Counsel</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Not applicable.</w:t>
      </w:r>
    </w:p>
    <w:p>
      <w:pPr>
        <w:pStyle w:val="TextBody"/>
        <w:bidi w:val="0"/>
        <w:spacing w:lineRule="auto" w:line="300" w:before="0" w:after="0"/>
        <w:jc w:val="left"/>
        <w:rPr/>
      </w:pPr>
      <w:r>
        <w:rPr/>
        <w:t> </w:t>
      </w:r>
    </w:p>
    <w:p>
      <w:pPr>
        <w:pStyle w:val="TextBody"/>
        <w:bidi w:val="0"/>
        <w:spacing w:lineRule="auto" w:line="300" w:before="0" w:after="0"/>
        <w:jc w:val="both"/>
        <w:rPr>
          <w:sz w:val="20"/>
        </w:rPr>
      </w:pPr>
      <w:bookmarkStart w:id="259" w:name="Item8"/>
      <w:bookmarkEnd w:id="259"/>
      <w:r>
        <w:rPr>
          <w:b/>
          <w:sz w:val="20"/>
        </w:rPr>
        <w:t>Item 8. Financial Information</w:t>
      </w:r>
      <w:r>
        <w:rPr>
          <w:sz w:val="20"/>
        </w:rPr>
        <w:t> </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260" w:name="zc2f8bb4a18c84d19b086621b03310130"/>
      <w:bookmarkStart w:id="261" w:name="zc2f8bb4a18c84d19b086621b03310130"/>
      <w:bookmarkEnd w:id="261"/>
    </w:p>
    <w:tbl>
      <w:tblPr>
        <w:tblW w:w="6220" w:type="dxa"/>
        <w:jc w:val="left"/>
        <w:tblInd w:w="0" w:type="dxa"/>
        <w:tblLayout w:type="fixed"/>
        <w:tblCellMar>
          <w:top w:w="0" w:type="dxa"/>
          <w:left w:w="0" w:type="dxa"/>
          <w:bottom w:w="0" w:type="dxa"/>
          <w:right w:w="0" w:type="dxa"/>
        </w:tblCellMar>
      </w:tblPr>
      <w:tblGrid>
        <w:gridCol w:w="275"/>
        <w:gridCol w:w="5945"/>
      </w:tblGrid>
      <w:tr>
        <w:trPr/>
        <w:tc>
          <w:tcPr>
            <w:tcW w:w="275" w:type="dxa"/>
            <w:tcBorders/>
            <w:vAlign w:val="center"/>
          </w:tcPr>
          <w:p>
            <w:pPr>
              <w:pStyle w:val="TableContents"/>
              <w:bidi w:val="0"/>
              <w:spacing w:lineRule="auto" w:line="300" w:before="0" w:after="0"/>
              <w:jc w:val="both"/>
              <w:rPr>
                <w:b/>
              </w:rPr>
            </w:pPr>
            <w:r>
              <w:rPr>
                <w:b/>
              </w:rPr>
              <w:t>A.</w:t>
            </w:r>
          </w:p>
        </w:tc>
        <w:tc>
          <w:tcPr>
            <w:tcW w:w="5945" w:type="dxa"/>
            <w:tcBorders/>
            <w:vAlign w:val="center"/>
          </w:tcPr>
          <w:p>
            <w:pPr>
              <w:pStyle w:val="TableContents"/>
              <w:bidi w:val="0"/>
              <w:spacing w:lineRule="auto" w:line="300" w:before="0" w:after="0"/>
              <w:jc w:val="both"/>
              <w:rPr>
                <w:b/>
              </w:rPr>
            </w:pPr>
            <w:r>
              <w:rPr>
                <w:b/>
              </w:rPr>
              <w:t>Consolidated Statements and Other Financial Information</w:t>
            </w:r>
          </w:p>
        </w:tc>
      </w:tr>
    </w:tbl>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Consolidated Financial Statements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See Item 18. “Financial Statements.”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Legal and Arbitration Proceedings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From time to time, we may be involved in various claims and legal proceedings arising from the normal course of our business activities and operations. Other than as noted below,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outcomes of any such claims or proceedings, regardless of the merits, is inherently uncertain and can have an adverse impact on us because of defense and settlement costs, diversion of management resources and other factors.</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93</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In 2022, a former employee filed a putative class action in the Superior Court for the City and County of San Francisco, based on claims that she was misclassified as an exempt employee and that the Company failed to properly reimburse for business expenses, failed to pay the proper rate of pay for paid sick leave, and other claims related to the payment of commissions and derivative of the misclassification claim and subsequently added related claims under California’s Private Attorneys General Act (the “California Lawsuit”). The California Lawsuit seeks monetary and non-monetary damages, including punitive damages, penalties, interest, and attorneys’ fees on behalf of plaintiff and others similarly situated. In 2023, the Company received an attorney demand letter, threatening similar claims on behalf of an unidentified New York-based “inside salesperson” and other similarly-situated employees (the “New York Claim”).  The Company denies the allegations in the California Lawsuit and the New York Claim and believes them to be without merit. However, solely in order to avoid the costs and inconvenience of litigation as well as the uncertainty inherent in any complex litigation, the Company has reached agreements in principle to resolve the two matters for a total of $2,950,000 subject to court approval. The Company accrued a sufficient amount for the estimated settlement and related costs in its general and administrative expenses for the year ended December 31, 2023.</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Dividend Policy</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do not anticipate paying any dividends in the foreseeable future. We currently intend to retain future earnings, if any, to finance operations and expand our business. 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restrictions under our Credit Facility and other factors that our directors may deem relevant. The Companies Law imposes restrictions on our ability to declare and pay dividends.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Payment of dividends may be subject to Israeli withholding taxes. See Item 10.E. “Taxation-Israeli Tax Considerations” for additional information.</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262" w:name="z386dbb91edfb48aba0e4782118c90e64"/>
      <w:bookmarkStart w:id="263" w:name="z386dbb91edfb48aba0e4782118c90e64"/>
      <w:bookmarkEnd w:id="263"/>
    </w:p>
    <w:tbl>
      <w:tblPr>
        <w:tblW w:w="2320" w:type="dxa"/>
        <w:jc w:val="left"/>
        <w:tblInd w:w="0" w:type="dxa"/>
        <w:tblLayout w:type="fixed"/>
        <w:tblCellMar>
          <w:top w:w="0" w:type="dxa"/>
          <w:left w:w="0" w:type="dxa"/>
          <w:bottom w:w="0" w:type="dxa"/>
          <w:right w:w="0" w:type="dxa"/>
        </w:tblCellMar>
      </w:tblPr>
      <w:tblGrid>
        <w:gridCol w:w="260"/>
        <w:gridCol w:w="2060"/>
      </w:tblGrid>
      <w:tr>
        <w:trPr/>
        <w:tc>
          <w:tcPr>
            <w:tcW w:w="260" w:type="dxa"/>
            <w:tcBorders/>
            <w:vAlign w:val="center"/>
          </w:tcPr>
          <w:p>
            <w:pPr>
              <w:pStyle w:val="TableContents"/>
              <w:bidi w:val="0"/>
              <w:spacing w:lineRule="auto" w:line="300" w:before="0" w:after="0"/>
              <w:jc w:val="both"/>
              <w:rPr>
                <w:b/>
              </w:rPr>
            </w:pPr>
            <w:r>
              <w:rPr>
                <w:b/>
              </w:rPr>
              <w:t>B.</w:t>
            </w:r>
          </w:p>
        </w:tc>
        <w:tc>
          <w:tcPr>
            <w:tcW w:w="2060" w:type="dxa"/>
            <w:tcBorders/>
            <w:vAlign w:val="center"/>
          </w:tcPr>
          <w:p>
            <w:pPr>
              <w:pStyle w:val="TableContents"/>
              <w:bidi w:val="0"/>
              <w:spacing w:lineRule="auto" w:line="300" w:before="0" w:after="0"/>
              <w:jc w:val="both"/>
              <w:rPr>
                <w:b/>
              </w:rPr>
            </w:pPr>
            <w:r>
              <w:rPr>
                <w:b/>
              </w:rPr>
              <w:t>Significant Changes</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None.</w:t>
      </w:r>
    </w:p>
    <w:p>
      <w:pPr>
        <w:pStyle w:val="TextBody"/>
        <w:bidi w:val="0"/>
        <w:spacing w:lineRule="auto" w:line="300" w:before="0" w:after="0"/>
        <w:jc w:val="both"/>
        <w:rPr/>
      </w:pPr>
      <w:r>
        <w:rPr/>
        <w:t> </w:t>
      </w:r>
    </w:p>
    <w:p>
      <w:pPr>
        <w:pStyle w:val="TextBody"/>
        <w:bidi w:val="0"/>
        <w:spacing w:lineRule="auto" w:line="300" w:before="0" w:after="0"/>
        <w:jc w:val="both"/>
        <w:rPr>
          <w:b/>
          <w:sz w:val="20"/>
        </w:rPr>
      </w:pPr>
      <w:bookmarkStart w:id="264" w:name="Item9"/>
      <w:bookmarkEnd w:id="264"/>
      <w:r>
        <w:rPr>
          <w:b/>
          <w:sz w:val="20"/>
        </w:rPr>
        <w:t>Item 9. The Offer and Listing</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265" w:name="z06ffc9930e944c94bec914433b0f68a6"/>
      <w:bookmarkStart w:id="266" w:name="z06ffc9930e944c94bec914433b0f68a6"/>
      <w:bookmarkEnd w:id="266"/>
    </w:p>
    <w:tbl>
      <w:tblPr>
        <w:tblW w:w="2815" w:type="dxa"/>
        <w:jc w:val="left"/>
        <w:tblInd w:w="0" w:type="dxa"/>
        <w:tblLayout w:type="fixed"/>
        <w:tblCellMar>
          <w:top w:w="0" w:type="dxa"/>
          <w:left w:w="0" w:type="dxa"/>
          <w:bottom w:w="0" w:type="dxa"/>
          <w:right w:w="0" w:type="dxa"/>
        </w:tblCellMar>
      </w:tblPr>
      <w:tblGrid>
        <w:gridCol w:w="275"/>
        <w:gridCol w:w="2540"/>
      </w:tblGrid>
      <w:tr>
        <w:trPr/>
        <w:tc>
          <w:tcPr>
            <w:tcW w:w="275" w:type="dxa"/>
            <w:tcBorders/>
            <w:vAlign w:val="center"/>
          </w:tcPr>
          <w:p>
            <w:pPr>
              <w:pStyle w:val="TableContents"/>
              <w:bidi w:val="0"/>
              <w:spacing w:lineRule="auto" w:line="300" w:before="0" w:after="0"/>
              <w:jc w:val="both"/>
              <w:rPr>
                <w:b/>
              </w:rPr>
            </w:pPr>
            <w:r>
              <w:rPr>
                <w:b/>
              </w:rPr>
              <w:t>A.</w:t>
            </w:r>
          </w:p>
        </w:tc>
        <w:tc>
          <w:tcPr>
            <w:tcW w:w="2540" w:type="dxa"/>
            <w:tcBorders/>
            <w:vAlign w:val="center"/>
          </w:tcPr>
          <w:p>
            <w:pPr>
              <w:pStyle w:val="TableContents"/>
              <w:bidi w:val="0"/>
              <w:spacing w:lineRule="auto" w:line="300" w:before="0" w:after="0"/>
              <w:jc w:val="both"/>
              <w:rPr>
                <w:b/>
              </w:rPr>
            </w:pPr>
            <w:r>
              <w:rPr>
                <w:b/>
              </w:rPr>
              <w:t>Offer and Listing Details</w:t>
            </w:r>
          </w:p>
        </w:tc>
      </w:tr>
    </w:tbl>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ordinary shares commenced trading on the Nasdaq Global Select Market on June 16, 2021 under the symbol “WKME.” Prior to this, no public market existed for our ordinary shares.</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267" w:name="z5de823d968e2480ebee1bde7b29d3df3"/>
      <w:bookmarkStart w:id="268" w:name="z5de823d968e2480ebee1bde7b29d3df3"/>
      <w:bookmarkEnd w:id="268"/>
    </w:p>
    <w:tbl>
      <w:tblPr>
        <w:tblW w:w="2305" w:type="dxa"/>
        <w:jc w:val="left"/>
        <w:tblInd w:w="0" w:type="dxa"/>
        <w:tblLayout w:type="fixed"/>
        <w:tblCellMar>
          <w:top w:w="0" w:type="dxa"/>
          <w:left w:w="0" w:type="dxa"/>
          <w:bottom w:w="0" w:type="dxa"/>
          <w:right w:w="0" w:type="dxa"/>
        </w:tblCellMar>
      </w:tblPr>
      <w:tblGrid>
        <w:gridCol w:w="260"/>
        <w:gridCol w:w="2045"/>
      </w:tblGrid>
      <w:tr>
        <w:trPr/>
        <w:tc>
          <w:tcPr>
            <w:tcW w:w="260" w:type="dxa"/>
            <w:tcBorders/>
            <w:vAlign w:val="center"/>
          </w:tcPr>
          <w:p>
            <w:pPr>
              <w:pStyle w:val="TableContents"/>
              <w:bidi w:val="0"/>
              <w:spacing w:lineRule="auto" w:line="300" w:before="0" w:after="0"/>
              <w:jc w:val="both"/>
              <w:rPr>
                <w:b/>
              </w:rPr>
            </w:pPr>
            <w:r>
              <w:rPr>
                <w:b/>
              </w:rPr>
              <w:t>B.</w:t>
            </w:r>
          </w:p>
        </w:tc>
        <w:tc>
          <w:tcPr>
            <w:tcW w:w="2045" w:type="dxa"/>
            <w:tcBorders/>
            <w:vAlign w:val="center"/>
          </w:tcPr>
          <w:p>
            <w:pPr>
              <w:pStyle w:val="TableContents"/>
              <w:bidi w:val="0"/>
              <w:spacing w:lineRule="auto" w:line="300" w:before="0" w:after="0"/>
              <w:jc w:val="both"/>
              <w:rPr>
                <w:b/>
              </w:rPr>
            </w:pPr>
            <w:r>
              <w:rPr>
                <w:b/>
              </w:rPr>
              <w:t>Plan of Distribution</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Not applicable. </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269" w:name="ze05fb2a2a66e48bca592bd4a18b63d1d"/>
      <w:bookmarkStart w:id="270" w:name="ze05fb2a2a66e48bca592bd4a18b63d1d"/>
      <w:bookmarkEnd w:id="270"/>
    </w:p>
    <w:tbl>
      <w:tblPr>
        <w:tblW w:w="1165" w:type="dxa"/>
        <w:jc w:val="left"/>
        <w:tblInd w:w="0" w:type="dxa"/>
        <w:tblLayout w:type="fixed"/>
        <w:tblCellMar>
          <w:top w:w="0" w:type="dxa"/>
          <w:left w:w="0" w:type="dxa"/>
          <w:bottom w:w="0" w:type="dxa"/>
          <w:right w:w="0" w:type="dxa"/>
        </w:tblCellMar>
      </w:tblPr>
      <w:tblGrid>
        <w:gridCol w:w="275"/>
        <w:gridCol w:w="890"/>
      </w:tblGrid>
      <w:tr>
        <w:trPr/>
        <w:tc>
          <w:tcPr>
            <w:tcW w:w="275" w:type="dxa"/>
            <w:tcBorders/>
            <w:vAlign w:val="center"/>
          </w:tcPr>
          <w:p>
            <w:pPr>
              <w:pStyle w:val="TableContents"/>
              <w:bidi w:val="0"/>
              <w:spacing w:lineRule="auto" w:line="300" w:before="0" w:after="0"/>
              <w:jc w:val="both"/>
              <w:rPr>
                <w:b/>
              </w:rPr>
            </w:pPr>
            <w:r>
              <w:rPr>
                <w:b/>
              </w:rPr>
              <w:t>C.</w:t>
            </w:r>
          </w:p>
        </w:tc>
        <w:tc>
          <w:tcPr>
            <w:tcW w:w="890" w:type="dxa"/>
            <w:tcBorders/>
            <w:vAlign w:val="center"/>
          </w:tcPr>
          <w:p>
            <w:pPr>
              <w:pStyle w:val="TableContents"/>
              <w:bidi w:val="0"/>
              <w:spacing w:lineRule="auto" w:line="300" w:before="0" w:after="0"/>
              <w:jc w:val="both"/>
              <w:rPr>
                <w:b/>
              </w:rPr>
            </w:pPr>
            <w:r>
              <w:rPr>
                <w:b/>
              </w:rPr>
              <w:t>Markets</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Our ordinary shares commenced trading on the Nasdaq Global Select Market on June 16, 2021. </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271" w:name="zbd3b89f06b6c40528dae7a3eca73e389"/>
      <w:bookmarkStart w:id="272" w:name="zbd3b89f06b6c40528dae7a3eca73e389"/>
      <w:bookmarkEnd w:id="272"/>
    </w:p>
    <w:tbl>
      <w:tblPr>
        <w:tblW w:w="2395" w:type="dxa"/>
        <w:jc w:val="left"/>
        <w:tblInd w:w="0" w:type="dxa"/>
        <w:tblLayout w:type="fixed"/>
        <w:tblCellMar>
          <w:top w:w="0" w:type="dxa"/>
          <w:left w:w="0" w:type="dxa"/>
          <w:bottom w:w="0" w:type="dxa"/>
          <w:right w:w="0" w:type="dxa"/>
        </w:tblCellMar>
      </w:tblPr>
      <w:tblGrid>
        <w:gridCol w:w="275"/>
        <w:gridCol w:w="2120"/>
      </w:tblGrid>
      <w:tr>
        <w:trPr/>
        <w:tc>
          <w:tcPr>
            <w:tcW w:w="275" w:type="dxa"/>
            <w:tcBorders/>
            <w:vAlign w:val="center"/>
          </w:tcPr>
          <w:p>
            <w:pPr>
              <w:pStyle w:val="TableContents"/>
              <w:bidi w:val="0"/>
              <w:spacing w:lineRule="auto" w:line="300" w:before="0" w:after="0"/>
              <w:jc w:val="both"/>
              <w:rPr>
                <w:b/>
              </w:rPr>
            </w:pPr>
            <w:r>
              <w:rPr>
                <w:b/>
              </w:rPr>
              <w:t>D.</w:t>
            </w:r>
          </w:p>
        </w:tc>
        <w:tc>
          <w:tcPr>
            <w:tcW w:w="2120" w:type="dxa"/>
            <w:tcBorders/>
            <w:vAlign w:val="center"/>
          </w:tcPr>
          <w:p>
            <w:pPr>
              <w:pStyle w:val="TableContents"/>
              <w:bidi w:val="0"/>
              <w:spacing w:lineRule="auto" w:line="300" w:before="0" w:after="0"/>
              <w:jc w:val="both"/>
              <w:rPr>
                <w:b/>
              </w:rPr>
            </w:pPr>
            <w:r>
              <w:rPr>
                <w:b/>
              </w:rPr>
              <w:t>Selling Shareholders</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Not applicable.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73" w:name="z1d0ab2dfeee44bde90e96bd553995943"/>
      <w:bookmarkStart w:id="274" w:name="z1d0ab2dfeee44bde90e96bd553995943"/>
      <w:bookmarkEnd w:id="274"/>
    </w:p>
    <w:tbl>
      <w:tblPr>
        <w:tblW w:w="1120" w:type="dxa"/>
        <w:jc w:val="left"/>
        <w:tblInd w:w="0" w:type="dxa"/>
        <w:tblLayout w:type="fixed"/>
        <w:tblCellMar>
          <w:top w:w="0" w:type="dxa"/>
          <w:left w:w="0" w:type="dxa"/>
          <w:bottom w:w="0" w:type="dxa"/>
          <w:right w:w="0" w:type="dxa"/>
        </w:tblCellMar>
      </w:tblPr>
      <w:tblGrid>
        <w:gridCol w:w="260"/>
        <w:gridCol w:w="860"/>
      </w:tblGrid>
      <w:tr>
        <w:trPr/>
        <w:tc>
          <w:tcPr>
            <w:tcW w:w="260" w:type="dxa"/>
            <w:tcBorders/>
            <w:vAlign w:val="center"/>
          </w:tcPr>
          <w:p>
            <w:pPr>
              <w:pStyle w:val="TableContents"/>
              <w:bidi w:val="0"/>
              <w:spacing w:lineRule="auto" w:line="300" w:before="0" w:after="0"/>
              <w:jc w:val="both"/>
              <w:rPr>
                <w:b/>
              </w:rPr>
            </w:pPr>
            <w:r>
              <w:rPr>
                <w:b/>
              </w:rPr>
              <w:t>E.</w:t>
            </w:r>
          </w:p>
        </w:tc>
        <w:tc>
          <w:tcPr>
            <w:tcW w:w="860" w:type="dxa"/>
            <w:tcBorders/>
            <w:vAlign w:val="center"/>
          </w:tcPr>
          <w:p>
            <w:pPr>
              <w:pStyle w:val="TableContents"/>
              <w:bidi w:val="0"/>
              <w:spacing w:lineRule="auto" w:line="300" w:before="0" w:after="0"/>
              <w:jc w:val="both"/>
              <w:rPr>
                <w:b/>
              </w:rPr>
            </w:pPr>
            <w:r>
              <w:rPr>
                <w:b/>
              </w:rPr>
              <w:t>Dilution</w:t>
            </w:r>
          </w:p>
        </w:tc>
      </w:tr>
    </w:tbl>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Not applicable. </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275" w:name="z9c63825e27ff443db9bb13af043bff6f"/>
      <w:bookmarkStart w:id="276" w:name="z9c63825e27ff443db9bb13af043bff6f"/>
      <w:bookmarkEnd w:id="276"/>
    </w:p>
    <w:tbl>
      <w:tblPr>
        <w:tblW w:w="2425" w:type="dxa"/>
        <w:jc w:val="left"/>
        <w:tblInd w:w="0" w:type="dxa"/>
        <w:tblLayout w:type="fixed"/>
        <w:tblCellMar>
          <w:top w:w="0" w:type="dxa"/>
          <w:left w:w="0" w:type="dxa"/>
          <w:bottom w:w="0" w:type="dxa"/>
          <w:right w:w="0" w:type="dxa"/>
        </w:tblCellMar>
      </w:tblPr>
      <w:tblGrid>
        <w:gridCol w:w="245"/>
        <w:gridCol w:w="2180"/>
      </w:tblGrid>
      <w:tr>
        <w:trPr/>
        <w:tc>
          <w:tcPr>
            <w:tcW w:w="245" w:type="dxa"/>
            <w:tcBorders/>
            <w:vAlign w:val="center"/>
          </w:tcPr>
          <w:p>
            <w:pPr>
              <w:pStyle w:val="TableContents"/>
              <w:bidi w:val="0"/>
              <w:spacing w:lineRule="auto" w:line="300" w:before="0" w:after="0"/>
              <w:jc w:val="both"/>
              <w:rPr>
                <w:b/>
              </w:rPr>
            </w:pPr>
            <w:r>
              <w:rPr>
                <w:b/>
              </w:rPr>
              <w:t>F.</w:t>
            </w:r>
          </w:p>
        </w:tc>
        <w:tc>
          <w:tcPr>
            <w:tcW w:w="2180" w:type="dxa"/>
            <w:tcBorders/>
            <w:vAlign w:val="center"/>
          </w:tcPr>
          <w:p>
            <w:pPr>
              <w:pStyle w:val="TableContents"/>
              <w:bidi w:val="0"/>
              <w:spacing w:lineRule="auto" w:line="300" w:before="0" w:after="0"/>
              <w:jc w:val="both"/>
              <w:rPr>
                <w:b/>
              </w:rPr>
            </w:pPr>
            <w:r>
              <w:rPr>
                <w:b/>
              </w:rPr>
              <w:t>Expenses of the Issue</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Not applicable.</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94</w:t>
      </w:r>
    </w:p>
    <w:p>
      <w:pPr>
        <w:pStyle w:val="HorizontalLine"/>
        <w:bidi w:val="0"/>
        <w:spacing w:before="200" w:after="200"/>
        <w:jc w:val="left"/>
        <w:rPr/>
      </w:pPr>
      <w:r>
        <w:rPr/>
      </w:r>
    </w:p>
    <w:p>
      <w:pPr>
        <w:pStyle w:val="TextBody"/>
        <w:bidi w:val="0"/>
        <w:spacing w:lineRule="auto" w:line="300" w:before="0" w:after="0"/>
        <w:jc w:val="both"/>
        <w:rPr>
          <w:b/>
          <w:sz w:val="20"/>
        </w:rPr>
      </w:pPr>
      <w:bookmarkStart w:id="277" w:name="Item10"/>
      <w:bookmarkEnd w:id="277"/>
      <w:r>
        <w:rPr>
          <w:b/>
          <w:sz w:val="20"/>
        </w:rPr>
        <w:t>Item 10. Additional Information</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278" w:name="z9700dc63934e4023adc931b0fa8f0c47"/>
      <w:bookmarkStart w:id="279" w:name="z9700dc63934e4023adc931b0fa8f0c47"/>
      <w:bookmarkEnd w:id="279"/>
    </w:p>
    <w:tbl>
      <w:tblPr>
        <w:tblW w:w="1720" w:type="dxa"/>
        <w:jc w:val="left"/>
        <w:tblInd w:w="0" w:type="dxa"/>
        <w:tblLayout w:type="fixed"/>
        <w:tblCellMar>
          <w:top w:w="0" w:type="dxa"/>
          <w:left w:w="0" w:type="dxa"/>
          <w:bottom w:w="0" w:type="dxa"/>
          <w:right w:w="0" w:type="dxa"/>
        </w:tblCellMar>
      </w:tblPr>
      <w:tblGrid>
        <w:gridCol w:w="275"/>
        <w:gridCol w:w="1445"/>
      </w:tblGrid>
      <w:tr>
        <w:trPr/>
        <w:tc>
          <w:tcPr>
            <w:tcW w:w="275" w:type="dxa"/>
            <w:tcBorders/>
            <w:vAlign w:val="center"/>
          </w:tcPr>
          <w:p>
            <w:pPr>
              <w:pStyle w:val="TableContents"/>
              <w:bidi w:val="0"/>
              <w:spacing w:lineRule="auto" w:line="300" w:before="0" w:after="0"/>
              <w:jc w:val="both"/>
              <w:rPr>
                <w:b/>
              </w:rPr>
            </w:pPr>
            <w:r>
              <w:rPr>
                <w:b/>
              </w:rPr>
              <w:t>A.</w:t>
            </w:r>
          </w:p>
        </w:tc>
        <w:tc>
          <w:tcPr>
            <w:tcW w:w="1445" w:type="dxa"/>
            <w:tcBorders/>
            <w:vAlign w:val="center"/>
          </w:tcPr>
          <w:p>
            <w:pPr>
              <w:pStyle w:val="TableContents"/>
              <w:bidi w:val="0"/>
              <w:spacing w:lineRule="auto" w:line="300" w:before="0" w:after="0"/>
              <w:jc w:val="both"/>
              <w:rPr>
                <w:b/>
              </w:rPr>
            </w:pPr>
            <w:r>
              <w:rPr>
                <w:b/>
              </w:rPr>
              <w:t>Share Capital</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Not applicable.</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280" w:name="zdead4852d11d47bd9409f82cb863fe23"/>
      <w:bookmarkStart w:id="281" w:name="zdead4852d11d47bd9409f82cb863fe23"/>
      <w:bookmarkEnd w:id="281"/>
    </w:p>
    <w:tbl>
      <w:tblPr>
        <w:tblW w:w="4525" w:type="dxa"/>
        <w:jc w:val="left"/>
        <w:tblInd w:w="0" w:type="dxa"/>
        <w:tblLayout w:type="fixed"/>
        <w:tblCellMar>
          <w:top w:w="0" w:type="dxa"/>
          <w:left w:w="0" w:type="dxa"/>
          <w:bottom w:w="0" w:type="dxa"/>
          <w:right w:w="0" w:type="dxa"/>
        </w:tblCellMar>
      </w:tblPr>
      <w:tblGrid>
        <w:gridCol w:w="260"/>
        <w:gridCol w:w="4265"/>
      </w:tblGrid>
      <w:tr>
        <w:trPr/>
        <w:tc>
          <w:tcPr>
            <w:tcW w:w="260" w:type="dxa"/>
            <w:tcBorders/>
            <w:vAlign w:val="center"/>
          </w:tcPr>
          <w:p>
            <w:pPr>
              <w:pStyle w:val="TableContents"/>
              <w:bidi w:val="0"/>
              <w:spacing w:lineRule="auto" w:line="300" w:before="0" w:after="0"/>
              <w:jc w:val="both"/>
              <w:rPr>
                <w:b/>
              </w:rPr>
            </w:pPr>
            <w:r>
              <w:rPr>
                <w:b/>
              </w:rPr>
              <w:t>B.</w:t>
            </w:r>
          </w:p>
        </w:tc>
        <w:tc>
          <w:tcPr>
            <w:tcW w:w="4265" w:type="dxa"/>
            <w:tcBorders/>
            <w:vAlign w:val="center"/>
          </w:tcPr>
          <w:p>
            <w:pPr>
              <w:pStyle w:val="TableContents"/>
              <w:bidi w:val="0"/>
              <w:spacing w:lineRule="auto" w:line="300" w:before="0" w:after="0"/>
              <w:jc w:val="both"/>
              <w:rPr>
                <w:b/>
              </w:rPr>
            </w:pPr>
            <w:r>
              <w:rPr>
                <w:b/>
              </w:rPr>
              <w:t>Memorandum and Articles of Association</w:t>
            </w:r>
          </w:p>
        </w:tc>
      </w:tr>
    </w:tbl>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 copy of our Articles of Association is attached as Exhibit 1.1 to this Annual Report. Other than as set forth below, the information called for by this Item is set forth in Exhibit 2.1 to this Annual Report and is incorporated by reference into this Annual Report.</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82" w:name="zc06952b4c7e84590983e2f07a9b7f21e"/>
      <w:bookmarkStart w:id="283" w:name="zc06952b4c7e84590983e2f07a9b7f21e"/>
      <w:bookmarkEnd w:id="283"/>
    </w:p>
    <w:tbl>
      <w:tblPr>
        <w:tblW w:w="2245" w:type="dxa"/>
        <w:jc w:val="left"/>
        <w:tblInd w:w="0" w:type="dxa"/>
        <w:tblLayout w:type="fixed"/>
        <w:tblCellMar>
          <w:top w:w="0" w:type="dxa"/>
          <w:left w:w="0" w:type="dxa"/>
          <w:bottom w:w="0" w:type="dxa"/>
          <w:right w:w="0" w:type="dxa"/>
        </w:tblCellMar>
      </w:tblPr>
      <w:tblGrid>
        <w:gridCol w:w="275"/>
        <w:gridCol w:w="1970"/>
      </w:tblGrid>
      <w:tr>
        <w:trPr/>
        <w:tc>
          <w:tcPr>
            <w:tcW w:w="275" w:type="dxa"/>
            <w:tcBorders/>
            <w:vAlign w:val="center"/>
          </w:tcPr>
          <w:p>
            <w:pPr>
              <w:pStyle w:val="TableContents"/>
              <w:bidi w:val="0"/>
              <w:spacing w:lineRule="auto" w:line="300" w:before="0" w:after="0"/>
              <w:jc w:val="both"/>
              <w:rPr>
                <w:b/>
              </w:rPr>
            </w:pPr>
            <w:r>
              <w:rPr>
                <w:b/>
              </w:rPr>
              <w:t>C.</w:t>
            </w:r>
          </w:p>
        </w:tc>
        <w:tc>
          <w:tcPr>
            <w:tcW w:w="1970" w:type="dxa"/>
            <w:tcBorders/>
            <w:vAlign w:val="center"/>
          </w:tcPr>
          <w:p>
            <w:pPr>
              <w:pStyle w:val="TableContents"/>
              <w:bidi w:val="0"/>
              <w:spacing w:lineRule="auto" w:line="300" w:before="0" w:after="0"/>
              <w:jc w:val="both"/>
              <w:rPr>
                <w:b/>
              </w:rPr>
            </w:pPr>
            <w:r>
              <w:rPr>
                <w:b/>
              </w:rPr>
              <w:t>Material Contracts</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Except as disclosed below or otherwise disclosed in this Annual Report (including the Exhibits), we are not currently, nor have we been for the two years immediately preceding the date of this Annual Report, party to any material contract, other than contracts entered into in the ordinary course of business.</w:t>
      </w:r>
    </w:p>
    <w:p>
      <w:pPr>
        <w:pStyle w:val="TextBody"/>
        <w:bidi w:val="0"/>
        <w:spacing w:lineRule="auto" w:line="300" w:before="0" w:after="0"/>
        <w:ind w:left="0" w:right="0" w:firstLine="490"/>
        <w:jc w:val="both"/>
        <w:rPr/>
      </w:pPr>
      <w:r>
        <w:rPr/>
        <w:t> </w:t>
      </w:r>
    </w:p>
    <w:p>
      <w:pPr>
        <w:pStyle w:val="Normal"/>
        <w:bidi w:val="0"/>
        <w:spacing w:before="0" w:after="0"/>
        <w:jc w:val="left"/>
        <w:rPr>
          <w:sz w:val="4"/>
          <w:szCs w:val="4"/>
        </w:rPr>
      </w:pPr>
      <w:r>
        <w:rPr>
          <w:sz w:val="4"/>
          <w:szCs w:val="4"/>
        </w:rPr>
      </w:r>
      <w:bookmarkStart w:id="284" w:name="z189d49a88ab64f0abcdb4e0e6a5ef0e2"/>
      <w:bookmarkStart w:id="285" w:name="z189d49a88ab64f0abcdb4e0e6a5ef0e2"/>
      <w:bookmarkEnd w:id="285"/>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lineRule="auto" w:line="300" w:before="0" w:after="0"/>
              <w:jc w:val="both"/>
              <w:rPr/>
            </w:pPr>
            <w:r>
              <w:rPr/>
              <w:t>•</w:t>
            </w:r>
          </w:p>
        </w:tc>
        <w:tc>
          <w:tcPr>
            <w:tcW w:w="10095" w:type="dxa"/>
            <w:tcBorders/>
            <w:vAlign w:val="center"/>
          </w:tcPr>
          <w:p>
            <w:pPr>
              <w:pStyle w:val="TableContents"/>
              <w:bidi w:val="0"/>
              <w:spacing w:lineRule="auto" w:line="300" w:before="0" w:after="0"/>
              <w:jc w:val="both"/>
              <w:rPr/>
            </w:pPr>
            <w:hyperlink r:id="rId23">
              <w:r>
                <w:rPr>
                  <w:rStyle w:val="InternetLink"/>
                </w:rPr>
                <w:t>Form of Indemnification Agreement entered into by and between the Registrant and each director and executive officer (Exhibit 10.5 to the Company's Registration Statement on Form F-1 (File No. 333-256219) filed with the SEC on May 17, 2021).</w:t>
              </w:r>
            </w:hyperlink>
            <w:r>
              <w:rPr/>
              <w:t xml:space="preserve"> See Item 6, "Directors, Senior Management and Employees" for more information about this document.</w:t>
            </w:r>
          </w:p>
        </w:tc>
      </w:tr>
      <w:tr>
        <w:trPr/>
        <w:tc>
          <w:tcPr>
            <w:tcW w:w="110" w:type="dxa"/>
            <w:tcBorders/>
            <w:vAlign w:val="center"/>
          </w:tcPr>
          <w:p>
            <w:pPr>
              <w:pStyle w:val="TableContents"/>
              <w:bidi w:val="0"/>
              <w:spacing w:lineRule="auto" w:line="300" w:before="0" w:after="0"/>
              <w:jc w:val="both"/>
              <w:rPr/>
            </w:pPr>
            <w:r>
              <w:rPr/>
              <w:t>•</w:t>
            </w:r>
          </w:p>
        </w:tc>
        <w:tc>
          <w:tcPr>
            <w:tcW w:w="10095" w:type="dxa"/>
            <w:tcBorders/>
            <w:vAlign w:val="center"/>
          </w:tcPr>
          <w:p>
            <w:pPr>
              <w:pStyle w:val="TableContents"/>
              <w:bidi w:val="0"/>
              <w:spacing w:lineRule="auto" w:line="300" w:before="0" w:after="0"/>
              <w:jc w:val="both"/>
              <w:rPr/>
            </w:pPr>
            <w:hyperlink r:id="rId24">
              <w:r>
                <w:rPr>
                  <w:rStyle w:val="InternetLink"/>
                </w:rPr>
                <w:t>Restated 2012 Share Option Plan (Exhibit 10.1 to the Company's Registration Statement on Form F-1 (File No. 333-256219) filed with the SEC on May 17, 2021).</w:t>
              </w:r>
            </w:hyperlink>
            <w:r>
              <w:rPr/>
              <w:t xml:space="preserve"> See Item 6, "Directors, Senior Management and Employees" for more information about this document.</w:t>
            </w:r>
          </w:p>
        </w:tc>
      </w:tr>
      <w:tr>
        <w:trPr/>
        <w:tc>
          <w:tcPr>
            <w:tcW w:w="110" w:type="dxa"/>
            <w:tcBorders/>
            <w:vAlign w:val="center"/>
          </w:tcPr>
          <w:p>
            <w:pPr>
              <w:pStyle w:val="TableContents"/>
              <w:bidi w:val="0"/>
              <w:spacing w:lineRule="auto" w:line="300" w:before="0" w:after="0"/>
              <w:jc w:val="both"/>
              <w:rPr/>
            </w:pPr>
            <w:r>
              <w:rPr/>
              <w:t>•</w:t>
            </w:r>
          </w:p>
        </w:tc>
        <w:tc>
          <w:tcPr>
            <w:tcW w:w="10095" w:type="dxa"/>
            <w:tcBorders/>
            <w:vAlign w:val="center"/>
          </w:tcPr>
          <w:p>
            <w:pPr>
              <w:pStyle w:val="TableContents"/>
              <w:bidi w:val="0"/>
              <w:spacing w:lineRule="auto" w:line="300" w:before="0" w:after="0"/>
              <w:jc w:val="both"/>
              <w:rPr/>
            </w:pPr>
            <w:hyperlink r:id="rId25">
              <w:r>
                <w:rPr>
                  <w:rStyle w:val="InternetLink"/>
                </w:rPr>
                <w:t>2021 Share Incentive Plan (Exhibit 10.2 to the Company's Registration Statement on Form F-1 (File No. 333-256219) filed with the SEC on May 17, 2021).</w:t>
              </w:r>
            </w:hyperlink>
            <w:r>
              <w:rPr/>
              <w:t xml:space="preserve"> See Item 6, "Directors, Senior Management and Employees" for more information about this document.</w:t>
            </w:r>
          </w:p>
        </w:tc>
      </w:tr>
      <w:tr>
        <w:trPr/>
        <w:tc>
          <w:tcPr>
            <w:tcW w:w="110" w:type="dxa"/>
            <w:tcBorders/>
            <w:vAlign w:val="center"/>
          </w:tcPr>
          <w:p>
            <w:pPr>
              <w:pStyle w:val="TableContents"/>
              <w:bidi w:val="0"/>
              <w:spacing w:lineRule="auto" w:line="300" w:before="0" w:after="0"/>
              <w:jc w:val="both"/>
              <w:rPr/>
            </w:pPr>
            <w:r>
              <w:rPr/>
              <w:t>•</w:t>
            </w:r>
          </w:p>
        </w:tc>
        <w:tc>
          <w:tcPr>
            <w:tcW w:w="10095" w:type="dxa"/>
            <w:tcBorders/>
            <w:vAlign w:val="center"/>
          </w:tcPr>
          <w:p>
            <w:pPr>
              <w:pStyle w:val="TableContents"/>
              <w:bidi w:val="0"/>
              <w:spacing w:lineRule="auto" w:line="300" w:before="0" w:after="0"/>
              <w:jc w:val="both"/>
              <w:rPr/>
            </w:pPr>
            <w:hyperlink r:id="rId26">
              <w:r>
                <w:rPr>
                  <w:rStyle w:val="InternetLink"/>
                </w:rPr>
                <w:t>2021 Employee Share Purchase Plan (Exhibit 10.3 to the Company's Registration Statement on Form F-1 (File No. 333-256219) filed with the SEC on May 17, 2021).</w:t>
              </w:r>
            </w:hyperlink>
            <w:r>
              <w:rPr/>
              <w:t xml:space="preserve"> See Item 6, "Directors, Senior Management and Employees" for more information about this document.</w:t>
            </w:r>
          </w:p>
        </w:tc>
      </w:tr>
      <w:tr>
        <w:trPr/>
        <w:tc>
          <w:tcPr>
            <w:tcW w:w="110" w:type="dxa"/>
            <w:tcBorders/>
            <w:vAlign w:val="center"/>
          </w:tcPr>
          <w:p>
            <w:pPr>
              <w:pStyle w:val="TableContents"/>
              <w:bidi w:val="0"/>
              <w:spacing w:lineRule="auto" w:line="300" w:before="0" w:after="0"/>
              <w:jc w:val="both"/>
              <w:rPr/>
            </w:pPr>
            <w:r>
              <w:rPr/>
              <w:t>•</w:t>
            </w:r>
          </w:p>
        </w:tc>
        <w:tc>
          <w:tcPr>
            <w:tcW w:w="10095" w:type="dxa"/>
            <w:tcBorders/>
            <w:vAlign w:val="center"/>
          </w:tcPr>
          <w:p>
            <w:pPr>
              <w:pStyle w:val="TableContents"/>
              <w:bidi w:val="0"/>
              <w:spacing w:lineRule="auto" w:line="300" w:before="0" w:after="0"/>
              <w:jc w:val="both"/>
              <w:rPr/>
            </w:pPr>
            <w:hyperlink r:id="rId27">
              <w:r>
                <w:rPr>
                  <w:rStyle w:val="InternetLink"/>
                </w:rPr>
                <w:t>Compensation Policy for Officers and Directors (Exhibit 10.4 to the Company's Registration Statement on Form F-1 (File No. 333-256219) filed with the SEC on May 10, 2021).</w:t>
              </w:r>
            </w:hyperlink>
            <w:r>
              <w:rPr/>
              <w:t xml:space="preserve"> See Item 6, "Directors, Senior Management and Employees" for more information about this document.</w:t>
            </w:r>
          </w:p>
        </w:tc>
      </w:tr>
      <w:tr>
        <w:trPr/>
        <w:tc>
          <w:tcPr>
            <w:tcW w:w="110" w:type="dxa"/>
            <w:tcBorders/>
            <w:vAlign w:val="center"/>
          </w:tcPr>
          <w:p>
            <w:pPr>
              <w:pStyle w:val="TableContents"/>
              <w:bidi w:val="0"/>
              <w:spacing w:lineRule="auto" w:line="300" w:before="0" w:after="0"/>
              <w:jc w:val="both"/>
              <w:rPr/>
            </w:pPr>
            <w:r>
              <w:rPr/>
              <w:t>•</w:t>
            </w:r>
          </w:p>
        </w:tc>
        <w:tc>
          <w:tcPr>
            <w:tcW w:w="10095" w:type="dxa"/>
            <w:tcBorders/>
            <w:vAlign w:val="center"/>
          </w:tcPr>
          <w:p>
            <w:pPr>
              <w:pStyle w:val="TableContents"/>
              <w:bidi w:val="0"/>
              <w:spacing w:lineRule="auto" w:line="300" w:before="0" w:after="0"/>
              <w:jc w:val="both"/>
              <w:rPr/>
            </w:pPr>
            <w:hyperlink r:id="rId28">
              <w:r>
                <w:rPr>
                  <w:rStyle w:val="InternetLink"/>
                </w:rPr>
                <w:t>2021 Amended and Restated Investor’s Rights Agreement, dated as of June 6, 2021, by and among the Registrant and the parties named in Schedule 1 thereto (Exhibit 4.2 to the Company's Registration Statement on Form F-1 (File No. 333-256219) filed with the SEC on May 17, 2021).</w:t>
              </w:r>
            </w:hyperlink>
            <w:r>
              <w:rPr/>
              <w:t xml:space="preserve"> See Item 6, "Directors, Senior Management and Employees" for more information about this document.</w:t>
            </w:r>
          </w:p>
        </w:tc>
      </w:tr>
    </w:tbl>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286" w:name="z7e962b3e68ee4b5e8390111d6b282d16"/>
      <w:bookmarkStart w:id="287" w:name="z7e962b3e68ee4b5e8390111d6b282d16"/>
      <w:bookmarkEnd w:id="287"/>
    </w:p>
    <w:tbl>
      <w:tblPr>
        <w:tblW w:w="2260" w:type="dxa"/>
        <w:jc w:val="left"/>
        <w:tblInd w:w="0" w:type="dxa"/>
        <w:tblLayout w:type="fixed"/>
        <w:tblCellMar>
          <w:top w:w="0" w:type="dxa"/>
          <w:left w:w="0" w:type="dxa"/>
          <w:bottom w:w="0" w:type="dxa"/>
          <w:right w:w="0" w:type="dxa"/>
        </w:tblCellMar>
      </w:tblPr>
      <w:tblGrid>
        <w:gridCol w:w="275"/>
        <w:gridCol w:w="1985"/>
      </w:tblGrid>
      <w:tr>
        <w:trPr/>
        <w:tc>
          <w:tcPr>
            <w:tcW w:w="275" w:type="dxa"/>
            <w:tcBorders/>
            <w:vAlign w:val="center"/>
          </w:tcPr>
          <w:p>
            <w:pPr>
              <w:pStyle w:val="TableContents"/>
              <w:bidi w:val="0"/>
              <w:spacing w:lineRule="auto" w:line="300" w:before="0" w:after="0"/>
              <w:jc w:val="both"/>
              <w:rPr>
                <w:b/>
              </w:rPr>
            </w:pPr>
            <w:r>
              <w:rPr>
                <w:b/>
              </w:rPr>
              <w:t>D.</w:t>
            </w:r>
          </w:p>
        </w:tc>
        <w:tc>
          <w:tcPr>
            <w:tcW w:w="1985" w:type="dxa"/>
            <w:tcBorders/>
            <w:vAlign w:val="center"/>
          </w:tcPr>
          <w:p>
            <w:pPr>
              <w:pStyle w:val="TableContents"/>
              <w:bidi w:val="0"/>
              <w:spacing w:lineRule="auto" w:line="300" w:before="0" w:after="0"/>
              <w:jc w:val="both"/>
              <w:rPr>
                <w:b/>
              </w:rPr>
            </w:pPr>
            <w:r>
              <w:rPr>
                <w:b/>
              </w:rPr>
              <w:t>Exchange Controls</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There are currently no Israeli currency control restrictions on remittances of dividends on our ordinary shares, proceeds from the sale of the ordinary shares or interest or other payments to non-residents of Israel, except for shareholders who are subjects of countries that are, have been, or will be, in a state of war with Israel.</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288" w:name="zd77bd8e190d54888af9d90e93152d383"/>
      <w:bookmarkStart w:id="289" w:name="zd77bd8e190d54888af9d90e93152d383"/>
      <w:bookmarkEnd w:id="289"/>
    </w:p>
    <w:tbl>
      <w:tblPr>
        <w:tblW w:w="1210" w:type="dxa"/>
        <w:jc w:val="left"/>
        <w:tblInd w:w="0" w:type="dxa"/>
        <w:tblLayout w:type="fixed"/>
        <w:tblCellMar>
          <w:top w:w="0" w:type="dxa"/>
          <w:left w:w="0" w:type="dxa"/>
          <w:bottom w:w="0" w:type="dxa"/>
          <w:right w:w="0" w:type="dxa"/>
        </w:tblCellMar>
      </w:tblPr>
      <w:tblGrid>
        <w:gridCol w:w="260"/>
        <w:gridCol w:w="950"/>
      </w:tblGrid>
      <w:tr>
        <w:trPr/>
        <w:tc>
          <w:tcPr>
            <w:tcW w:w="260" w:type="dxa"/>
            <w:tcBorders/>
            <w:vAlign w:val="center"/>
          </w:tcPr>
          <w:p>
            <w:pPr>
              <w:pStyle w:val="TableContents"/>
              <w:bidi w:val="0"/>
              <w:spacing w:lineRule="auto" w:line="300" w:before="0" w:after="0"/>
              <w:jc w:val="both"/>
              <w:rPr>
                <w:b/>
              </w:rPr>
            </w:pPr>
            <w:r>
              <w:rPr>
                <w:b/>
              </w:rPr>
              <w:t>E.</w:t>
            </w:r>
          </w:p>
        </w:tc>
        <w:tc>
          <w:tcPr>
            <w:tcW w:w="950" w:type="dxa"/>
            <w:tcBorders/>
            <w:vAlign w:val="center"/>
          </w:tcPr>
          <w:p>
            <w:pPr>
              <w:pStyle w:val="TableContents"/>
              <w:bidi w:val="0"/>
              <w:spacing w:lineRule="auto" w:line="300" w:before="0" w:after="0"/>
              <w:jc w:val="both"/>
              <w:rPr>
                <w:b/>
              </w:rPr>
            </w:pPr>
            <w:r>
              <w:rPr>
                <w:b/>
              </w:rPr>
              <w:t>Taxation</w:t>
            </w:r>
          </w:p>
        </w:tc>
      </w:tr>
    </w:tbl>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Israeli Tax Considerations</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General corporate tax structure in Israel</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Israeli companies are generally subject to corporate tax. The standard corporate tax rate in 2023 was 23%. However, the effective tax rate payable by a company that derives income from a “Preferred Enterprise”,  a “Special Preferred Enterprise”, a “Preferred Technological Enterprise”, or a "Special Preferred Technology Enterprise" (as discussed below) may be considerably less. Capital gains derived by an Israeli company are generally subject to the prevailing corporate tax rate.</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95</w:t>
      </w:r>
    </w:p>
    <w:p>
      <w:pPr>
        <w:pStyle w:val="HorizontalLine"/>
        <w:bidi w:val="0"/>
        <w:spacing w:before="200" w:after="200"/>
        <w:jc w:val="left"/>
        <w:rPr/>
      </w:pPr>
      <w:r>
        <w:rPr/>
      </w:r>
    </w:p>
    <w:p>
      <w:pPr>
        <w:pStyle w:val="TextBody"/>
        <w:bidi w:val="0"/>
        <w:spacing w:lineRule="auto" w:line="300" w:before="0" w:after="0"/>
        <w:jc w:val="both"/>
        <w:rPr>
          <w:i/>
          <w:sz w:val="20"/>
        </w:rPr>
      </w:pPr>
      <w:r>
        <w:rPr>
          <w:i/>
          <w:sz w:val="20"/>
        </w:rPr>
        <w:t>Law for the Encouragement of Capital Investments, 5719-1959</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Law for the Encouragement of Capital Investments, 5719-1959, generally referred to as the Investment Law, provides certain incentives for capital investments in production facilities (or other eligible assets).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The Investment Law was significantly amended effective as of April 1, 2005 (the “2005 Amendment”), as of January 1, 2011 (the “2011 Amendment”) and as of January 1, 2017 (the “2017 Amendment”). Pursuant to the 2005 Amendment, tax benefits granted in accordance with the provisions of the Investment Law prior to its revision by the 2005 Amendment remain in force but any benefits granted subsequently are subject to the provisions of the amended Investment Law.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 The 2017 Amendment introduced new benefits for Preferred Technological Enterprises, alongside the existing tax benefits.</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Tax benefits under the 2011 Amendment</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2011 Amendment introduced new benefits for income generated by a “Preferred Company” through its “Preferred Enterprise” (as such terms are defined in the Investment Law) as of January 1, 2011. The definition of a Preferred Company includes a company incorporated in Israel that is not fully owned by a governmental entity, and that has, among other things, Preferred Enterprise status and is controlled and managed from Israel.</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Pursuant to the 2011 Amendment, a Preferred Company was entitled to a reduced corporate tax rate of 15% with respect to its income derived from its Preferred Enterprise in 2011 and 2012, unless the Preferred Enterprise is located in a certain development zone, in which case the rate was 10%. Under the 2011 Amendment, together with amendments to the Investment Law from 2014 and 2017, such corporate tax rate was reduced from 15% and 10%, respectively, to 12.5% and 7%, respectively, in 2013, 16% and 9% respectively, in 2014, 2015 and 2016, and 16% and 7.5%, respectively, in 2017 and thereafter. Income derived by a Preferred Company from a “Special Preferred Enterprise” (as such term is defined in the Investment Law) would be entitled, during a benefits period of 10 years, to further reduced tax rates of 8%, or 5% if the Special Preferred Enterprise is located in a certain development zone. Since January 1, 2017, the definition for “Special Preferred Enterprise” includes less stringent conditions.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Dividends distributed from preferred income which is attributed to a “Preferred Enterprise”  or to a "Special Preferred Enterprise" should generally be subject to withholding tax at source at the following rates: (i) Israeli resident corporations-0%, (although, if such dividends are subsequently distributed to individuals or a non-Israeli company the below rates detailed in sub sections (ii) and (iii) shall apply), (ii) Israeli resident individuals-20% and (iii) non-Israeli residents (individuals and corporations)- subject to the receipt in advance of a valid certificate from the Israel Tax Authority (“ITA”) allowing for a reduced tax rate, 20% or such lower rate as may be provided under the provisions of any applicable double tax treaty.</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 a “Benefited Enterprise” (as such term is defined under the Investment Law) can elect to continue to benefit from the benefits provided to it before the 2011 Amendment came into effect, provided that certain conditions are met.</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currently do not intend to implement the 2011 Amendment.</w:t>
      </w:r>
    </w:p>
    <w:p>
      <w:pPr>
        <w:pStyle w:val="TextBody"/>
        <w:bidi w:val="0"/>
        <w:spacing w:lineRule="auto" w:line="300" w:before="0" w:after="0"/>
        <w:jc w:val="left"/>
        <w:rPr/>
      </w:pPr>
      <w:r>
        <w:rPr/>
      </w:r>
    </w:p>
    <w:p>
      <w:pPr>
        <w:pStyle w:val="TextBody"/>
        <w:bidi w:val="0"/>
        <w:spacing w:lineRule="auto" w:line="300" w:before="0" w:after="0"/>
        <w:jc w:val="both"/>
        <w:rPr>
          <w:i/>
          <w:sz w:val="20"/>
        </w:rPr>
      </w:pPr>
      <w:r>
        <w:rPr>
          <w:i/>
          <w:sz w:val="20"/>
        </w:rPr>
        <w:t>Tax benefits under the 2017 Amendment that became effective on January 1, 2017</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2017 Amendment was enacted as part of the Economic Efficiency Law that was published on December 29, 2016, and is effective as of January 1, 2017. The 2017 Amendment provided new tax benefits for two types of “Preferred Technological Enterprises,” as described below, and is in addition to the other existing tax beneficial programs under the Investment Law.</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2017 Amendment provides that a technology company satisfying certain conditions should qualify as a Preferred Technological Enterprise (“PTE”) and thereby enjoy a reduced corporate tax rate of 12% on income that qualifies as “Preferred Technological Income,” as defined in the Investment Law. The tax rate is further reduced to 7.5% for a PTE located in development zone “A”. In addition, a PTE will enjoy a reduced corporate tax rate of 12% on capital gain derived from the sale of certain “Benefited Intangible Assets” (as defined in the Investment Law) to a related foreign company if the Benefited Intangible Assets were acquired from a foreign company after January 1, 2017 for at least NIS 200 million, and the sale received prior approval from the National Authority for Technological Innovation previously known as the Israeli Office of the Chief Scientist), to which we refer as IIA.</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96</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The 2017 Amendment further provides that a technology company satisfying certain conditions (group turnover of at least NIS 10 billion) should qualify as a “Special Preferred Technological Enterprise” and will thereby enjoy a reduced corporate tax rate of 6% on “Preferred Technological Income” regardless of the company’s geographic location within Israel. In addition, a Special Preferred Technological Enterprise should enjoy a reduced corporate tax rate of 6% on capital gain derived from the sale of certain “Benefited Intangible Assets” to a related foreign company if the Benefited Intangible Assets were either developed by the Special Preferred Enterprise or acquired from a foreign company after January 1, 2017, and the sale received prior approval from IIA. A Special Preferred Technological Enterprise that acquires Benefited Intangible Assets from a foreign company for more than NIS 500 million should be eligible for these benefits for at least ten years, subject to certain approvals as specified in the Investment Law.</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Dividends distributed to Israeli shareholders by a PTE or a Special Preferred Technology Enterprise, paid out of Preferred Technological Income, should generally subject to withholding tax at source at the rate of 20% (in the case of non-Israeli shareholders- subject to the receipt in advance of a valid certificate from the ITA allowing for a reduced tax rate, 20%, or such a lower rate as may be provided in an applicable tax treaty). However, if such dividends are paid to an Israeli company, no tax is generally required to be withheld (although, if such dividends are subsequently distributed to individuals or a non-Israeli company, the aforesaid should apply). If such dividends are distributed to a foreign company that holds solely or together with other foreign companies 90% or more in the Israeli company and other conditions are met, the withholding tax rate should be 4% (or such lower rate as may be provided in an applicable tax treaty, in either case, subject to the receipt in advance of a valid certificate from the ITA allowing for such reduced tax rate).</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Currently we have not exhausted the benefits we believe we may qualify for as a PTE and continue to examine the degree to which we may qualify as a PTE, the amount of Preferred Technological Income that we may have and other benefits that we may receive from the 2017 Amendment in the future.</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Tax benefits and grants for research and development</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Israeli tax law allows, under certain conditions, a tax deduction for expenditures, including capital expenditures, in scientific research in the fields of industry, agriculture, transportation or energy, for the year in which they are incurred. Expenditures are deemed related to scientific research and development projects, if:</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90" w:name="z4c9a248414ac41b09fc5a0616f4f0580"/>
      <w:bookmarkStart w:id="291" w:name="z4c9a248414ac41b09fc5a0616f4f0580"/>
      <w:bookmarkEnd w:id="29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The expenditures are approved by the relevant Israeli government ministry, determined by the field of research;</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The research and development must be for the promotion of the company; and</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The research and development is carried out by or on behalf of the company seeking such tax deduction.</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The amount of such deductible expenses is reduced by the sum of any funds received through government grants for the finance of such scientific research and development projects. No deduction under these research and development deduction rules is allowed if such deduction is related to an expense invested in an asset depreciable under the general depreciation rules of the Ordinance. Expenditures that are unqualified under the conditions above are deductible in equal amounts over three years.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From time to time we may apply to the Israel Innovation Authority for approval to allow a tax deduction for all or most of research and development expenses during the year incurred. There can be no assurance that such application will be accepted.</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Taxation of our shareholders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i/>
          <w:sz w:val="20"/>
        </w:rPr>
        <w:t>Capital gains taxes applicable to non-Israeli resident shareholders</w:t>
      </w:r>
      <w:r>
        <w:rPr>
          <w:sz w:val="20"/>
        </w:rPr>
        <w:t>. Capital gain tax is imposed on the disposition of capital assets by an Israeli resident for tax purposes, and on the disposition of such assets by a non-Israeli resident for tax purposes if those assets are (i) located in Israel; (ii) are shares or a right to a share in an Israeli resident corporation, or (iii) represent, directly or indirectly, rights to assets the majority of which are located in Israel, unless a specific exemption is available or unless a tax treaty between Israel and the shareholder’s country of residence provides otherwise. The Ordinance distinguishes between “Real Capital Gain” and the “Inflationary Surplus.” Real Capital Gain is the excess of the total capital gain over Inflationary Surplus.</w:t>
      </w:r>
    </w:p>
    <w:p>
      <w:pPr>
        <w:pStyle w:val="TextBody"/>
        <w:bidi w:val="0"/>
        <w:spacing w:lineRule="auto" w:line="300" w:before="0" w:after="0"/>
        <w:ind w:left="0" w:right="0" w:firstLine="49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97</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Inflationary Surplus is a portion of the total capital gain which is equivalent to the increase in the relevant asset’s cost base that is attributable to the increase in the Israeli consumer price index or, in certain circumstances, a foreign currency exchange rate, between the date of purchase and the date of disposition. Inflationary Surplus attributed to the period after December 31, 1993 is not currently subject to tax in Israel.</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Real Capital Gain accrued by individuals from the sale of our shares should generally be taxed at the rate of 25%. However, if the individual shareholder is a “substantial shareholder” (as defined below) at the time of sale or at any time during the preceding 12-month period, such capital gain should be taxed at the rate of 30%. Furthermore, where an individual claimed real interest expenses and linkage differentials on securities, the capital gain on the sale of the securities should be taxed at a rate of 30%. Real Capital Gain derived by corporations should generally be subject to the corporate tax rate (23% in 2023).</w:t>
      </w:r>
    </w:p>
    <w:p>
      <w:pPr>
        <w:pStyle w:val="TextBody"/>
        <w:bidi w:val="0"/>
        <w:spacing w:lineRule="auto" w:line="300" w:before="0" w:after="0"/>
        <w:jc w:val="left"/>
        <w:rPr/>
      </w:pPr>
      <w:r>
        <w:rPr/>
      </w:r>
    </w:p>
    <w:p>
      <w:pPr>
        <w:pStyle w:val="TextBody"/>
        <w:bidi w:val="0"/>
        <w:spacing w:lineRule="auto" w:line="300" w:before="0" w:after="0"/>
        <w:ind w:left="0" w:right="0" w:firstLine="300"/>
        <w:jc w:val="both"/>
        <w:rPr/>
      </w:pPr>
      <w:r>
        <w:rPr/>
        <w:t xml:space="preserve">   </w:t>
      </w:r>
      <w:r>
        <w:rPr>
          <w:sz w:val="20"/>
        </w:rPr>
        <w:t>Individual and corporate shareholders dealing in securities in Israel are taxed at the tax rates applicable to business income (a corporate tax rate for a corporation and a marginal tax rate of up to 47% for an individual in 2023, excluding surtax as discussed below) unless contrary provisions in a relevant tax treaty applies.</w:t>
      </w:r>
    </w:p>
    <w:p>
      <w:pPr>
        <w:pStyle w:val="TextBody"/>
        <w:bidi w:val="0"/>
        <w:spacing w:lineRule="auto" w:line="300" w:before="0" w:after="0"/>
        <w:jc w:val="left"/>
        <w:rPr/>
      </w:pPr>
      <w:r>
        <w:rPr/>
        <w:t> </w:t>
      </w:r>
    </w:p>
    <w:p>
      <w:pPr>
        <w:pStyle w:val="TextBody"/>
        <w:bidi w:val="0"/>
        <w:spacing w:lineRule="auto" w:line="300" w:before="0" w:after="0"/>
        <w:ind w:left="0" w:right="0" w:firstLine="490"/>
        <w:jc w:val="both"/>
        <w:rPr>
          <w:sz w:val="20"/>
        </w:rPr>
      </w:pPr>
      <w:r>
        <w:rPr>
          <w:sz w:val="20"/>
        </w:rPr>
        <w:t>A non-Israeli resident who derives capital gains from the sale of shares in an Israeli resident company that were purchased upon or after the company was listed for trading on a stock exchange outside of Israel, should be exempt from Israeli capital gains tax so long as the capital gain derived from the sale of shares was not attributed to a permanent establishment that the non-Israeli resident maintains in Israel. However, non-Israeli entities (including corporations) should not be entitled to the foregoing exemption if Israeli residents: (i) have a controlling interest of more than 25% in such non-Israeli entity or (ii) are the beneficiaries of, or are entitled to, 25% or more of the revenues or profits of such non-Israeli corporation, whether directly or indirectly. In addition, such exemption is not applicable to a person whose gains from selling or otherwise disposing of the shares are deemed to be business income.</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Additionally, a sale of securities by a non-Israeli resident may be exempt from Israeli capital gains tax under the provisions of an applicable tax treaty, subject to the eligibility of such person to the treaty benefits. For example, under Convention Between the Government of the United States of America and the Government of the State of Israel with respect to Taxes on Income, as amended (the “U.S Israel Tax Treaty”), the sale, exchange or other disposition of shares by a shareholder who is a United States resident (for purposes of the treaty) holding the shares as a capital asset and is entitled to claim the benefits afforded to such a resident by the U.S. Israel Tax Treaty (a “Treaty U.S. Resident”) is generally exempt from Israeli capital gains tax unless: (i) the capital gain arising from such sale, exchange or disposition is attributed to real estate located in Israel; (ii) the capital gain arising from such sale, exchange or disposition is attributed to royalties; (iii) the capital gain arising from the such sale, exchange or disposition is attributed to a permanent establishment in Israel, under certain terms; (iv) such Treaty U.S. Resident holds, directly or indirectly, shares representing 10% or more of the voting capital during any part of the 12 month period preceding the disposition, subject to certain conditions; or (v) such Treaty U.S. Resident, being an individual, was present in Israel for 183 days or more during the relevant taxable year.</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Shareholders may be required to demonstrate that they are exempt from tax on their capital gains in order to avoid withholding at source at the time of sale, by presenting a valid withholding exemption certificate issued by the ITA prior to the applicable payment. In addition, in transactions involving a sale of all of the shares of an Israeli resident company, in the form of a merger or otherwise, the ITA may require from shareholders who are not liable for Israeli tax to sign declarations in forms specified by this authority or obtain a specific exemption from the ITA to confirm their status as a non-Israeli resident for tax purposes, and, in the absence of such declarations or exemptions, may require the purchaser of the shares to withhold taxes.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i/>
          <w:sz w:val="20"/>
        </w:rPr>
        <w:t>Taxation of non-Israeli shareholders on receipt of dividends</w:t>
      </w:r>
      <w:r>
        <w:rPr>
          <w:sz w:val="20"/>
        </w:rPr>
        <w:t>. Non-Israeli residents (either individuals or corporations) are generally subject to Israeli income tax on the receipt of dividends paid on our ordinary shares at the rate of 25%, which tax will be withheld at source, unless relief is provided in a treaty between Israel and the shareholder’s country of residence (subject to the receipt in advance of a valid certificate from the ITA allowing for a reduced tax rate). With respect to a person who is a “substantial shareholder” at the time of receiving the dividend or on any time during the preceding twelve months, the applicable tax rate is 30%. A “substantial shareholder” is generally a person who alone or together with such person’s relative or another person who collaborates with such person on a permanent basis, holds, directly or indirectly, 10% or more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Such dividends are generally subject to Israeli withholding tax at a rate of 25% so long as the shares are registered with a nominee company (whether the recipient is a substantial shareholder or not), or 20% if the dividend is distributed from income attributed to a Preferred Enterprise or PTE or such lower rate as may be provided in an applicable tax treaty, subject to the receipt in advance of a valid certificate from the ITA allowing for a reduced tax rate. For example, under the U.S. Israel Tax Treaty, and subject to the eligibility to the benefits under this treaty, the maximum rate of tax withheld at source in Israel on dividends paid to a holder of our ordinary shares who is a Treaty U.S. Resident is 25%. However, generally, the maximum rate of withholding tax on dividends, not generated by a Preferred Enterprise, that are paid to a United States corporation holding 10% or more of the outstanding voting capital throughout the tax year in which the dividend is distributed as well as during the previous tax year, is 12.5%, provided that not more than 25% of the gross income for such preceding year consists of certain types of dividends and interest. Notwithstanding the foregoing, dividends distributed from income attributed to a Preferred Enterprise are not entitled to such reduction under the tax treaty but are subject to a withholding tax rate of 15% for a shareholder that is a U.S. corporation, provided that the conditions related to 10% or more holding and to our gross income for the previous year (as set forth in the previous sentence) are met. If the dividend is attributable partly to income derived from a Preferred Enterprise, and partly to other sources of income, the withholding rate will be a blended rate reflecting the relative portions of the two types of income. We cannot assure you that we will designate the profits that we may distribute in a way that will reduce shareholders’ tax liability. The aforementioned rates under the U.S. Israel Tax Treaty would not apply if the dividend income is derived through a permanent establishment of the Treaty U.S. Resident in Israel.</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98</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A non-Israeli resident who receives dividends from which full tax was withheld is generally exempt from the obligation to file tax returns in Israel with respect to such income, provided that (i) such income was not generated from business conducted in Israel by the taxpayer, (ii) the taxpayer has no other taxable sources of income in Israel with respect to which a tax return is required to be filed, and (iii) the taxpayer is not obligated to pay surtax (as further explained below).</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i/>
          <w:sz w:val="20"/>
        </w:rPr>
        <w:t>Surtax.</w:t>
      </w:r>
      <w:r>
        <w:rPr>
          <w:sz w:val="20"/>
        </w:rPr>
        <w:t xml:space="preserve"> Subject to the provisions of an applicable tax treaty, individuals who are subject to tax in Israel (whether any such individual is an Israeli resident or non-Israeli resident) are also subject to an additional tax at a rate of 3% on annual taxable income (including, but not limited to, dividends, interest and capital gain) exceeding NIS 698,280 for 2023, which amount is linked to the annual change in the Israeli consumer price index.</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i/>
          <w:sz w:val="20"/>
        </w:rPr>
        <w:t>Estate and Gift Tax.</w:t>
      </w:r>
      <w:r>
        <w:rPr>
          <w:sz w:val="20"/>
        </w:rPr>
        <w:t xml:space="preserve"> Israeli law presently does not impose estate or gift taxes.</w:t>
      </w:r>
    </w:p>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Material U.S. Federal Income Tax Considerations for U.S. Holders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following is a description of certain material United States federal income tax considerations of the ownership and disposition of our ordinary shares. This description addresses only the United States federal income tax consequences to U.S. Holders (as defined below) that hold our ordinary shares as capital assets within the meaning of Section 1221 of the Internal Revenue Code of 1986, as amended (the “Code”), and that have the U.S. dollar as their functional currency. This discussion is based upon the Code, applicable U.S. Treasury regulations, administrative pronouncements and judicial decisions, in each case as in effect on the date hereof, all of which are subject to change (possibly with retroactive effect). No ruling will be requested from the Internal Revenue Service (the “IRS”) regarding the tax consequences of the ownership or disposition of the ordinary shares, and there can be no assurance that the IRS will agree with the discussion set out below. This summary does not address any U.S. tax consequences other than U.S. federal income tax consequences (e.g., the estate and gift tax or the Medicare tax on net investment income) and does not address any alternative minimum tax or state, local or non-U.S. tax consequences.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This description does not address tax considerations applicable to holders that may be subject to special tax rules, including, without limitation:</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292" w:name="z3db486ff85ea4438a7d31bf09eb07bf2"/>
      <w:bookmarkStart w:id="293" w:name="z3db486ff85ea4438a7d31bf09eb07bf2"/>
      <w:bookmarkEnd w:id="29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banks, financial institutions or insurance companies;</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real estate investment trusts or regulated investment companies;</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dealers or brokers;</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traders that elect to mark to market;</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tax-exempt entities or organizations;</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w:t>
            </w:r>
            <w:r>
              <w:rPr/>
              <w:t>individual retirement accounts” and other tax-deferred accounts;</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certain former citizens or long-term residents of the United States;</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persons that are resident or ordinarily resident in or have a permanent establishment in a jurisdiction outside the United States;</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persons that acquired our ordinary shares pursuant to the exercise of any employee share option or otherwise as compensation for the performance of services;</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persons holding our ordinary shares as part of a “hedging,” “integrated” or “conversion” transaction or as a position in a “straddle” for United States federal income tax purposes;</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persons subject to special tax accounting as a result of any item of gross income with respect to the ordinary shares being taken into account in an applicable financial statement;</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partnerships or other pass-through entities and persons holding the ordinary shares through partnerships or other pass-through entities; or</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holders that own directly, indirectly or through attribution 10% or more of the total voting power or value of all of our outstanding shares.</w:t>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99</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For purposes of this description, a “U.S. Holder” is a beneficial owner of our ordinary shares that, for United States federal income tax purposes, is: </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294" w:name="zbf5b94da5db2416aa7be3d83efb596ec"/>
      <w:bookmarkStart w:id="295" w:name="zbf5b94da5db2416aa7be3d83efb596ec"/>
      <w:bookmarkEnd w:id="29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an individual who is a citizen or resident of the United States;</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 corporation (or other entity treated as a corporation for United States federal income tax purposes) created or organized in or under the laws of the United States or any state thereof, including the District of Columbia;</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an estate the income of which is subject to United States federal income taxation regardless of its source; or</w:t>
            </w:r>
          </w:p>
        </w:tc>
      </w:tr>
      <w:tr>
        <w:trPr/>
        <w:tc>
          <w:tcPr>
            <w:tcW w:w="125" w:type="dxa"/>
            <w:tcBorders/>
            <w:vAlign w:val="center"/>
          </w:tcPr>
          <w:p>
            <w:pPr>
              <w:pStyle w:val="TableContents"/>
              <w:bidi w:val="0"/>
              <w:spacing w:lineRule="auto" w:line="300" w:before="0" w:after="0"/>
              <w:jc w:val="both"/>
              <w:rPr/>
            </w:pPr>
            <w:r>
              <w:rPr/>
              <w:t>•</w:t>
            </w:r>
          </w:p>
        </w:tc>
        <w:tc>
          <w:tcPr>
            <w:tcW w:w="10080" w:type="dxa"/>
            <w:tcBorders/>
            <w:vAlign w:val="center"/>
          </w:tcPr>
          <w:p>
            <w:pPr>
              <w:pStyle w:val="TableContents"/>
              <w:bidi w:val="0"/>
              <w:spacing w:lineRule="auto" w:line="300" w:before="0" w:after="0"/>
              <w:jc w:val="both"/>
              <w:rPr/>
            </w:pPr>
            <w:r>
              <w:rPr/>
              <w:t>a trust if such trust has validly elected to be treated as a United States person for United States federal income tax purposes or if (1) a court within the United States is able to exercise primary supervision over its administration and (2) one or more United States persons have the authority to control all of the substantial decisions of such trust.</w:t>
            </w:r>
          </w:p>
        </w:tc>
      </w:tr>
    </w:tbl>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If an entity or arrangement treated as a partnership for United States federal income tax purposes holds our ordinary shares, the tax treatment of a partner in such partnership will generally depend on the status of the partner and the activities of the partnership. Such a partner or partnership should consult its tax advisor as to the particular United States federal income tax consequences of owning and disposing of our ordinary shares in its particular circumstance.</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b/>
          <w:sz w:val="20"/>
        </w:rPr>
      </w:pPr>
      <w:r>
        <w:rPr>
          <w:b/>
          <w:sz w:val="20"/>
        </w:rPr>
        <w:t>You should consult your tax advisor with respect to the United States federal, state, local and foreign tax consequences of owning and disposing of our ordinary shares.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Distributions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Subject to the discussion under “-Passive Foreign Investment Company Considerations” below, the gross amount of any distribution made to you with respect to our ordinary shares before reduction for any Israeli taxes withheld therefrom, generally will be includible in your income as dividend income on the date on which the dividends are actually or constructively received, to the extent such distribution is paid out of our current or accumulated earnings and profits as determined under United States federal income tax principles. To the extent that the amount of any distribution by us exceeds our current and accumulated earnings and profits as determined under United States federal income tax principles, it will be treated first as a tax-free return of your adjusted tax basis in our ordinary shares and thereafter as capital gain. However, we do not expect to maintain calculations of our earnings and profits under United States federal income tax principles and, therefore, you should expect that the entire amount of any distribution generally will be taxable as dividend income to you. Non-corporate U.S. Holders may qualify for the lower rates of taxation with respect to dividends on ordinary shares applicable to long-term capital gains (i.e., gains from the sale of capital assets held for more than one year), provided that we are not a PFIC (as discussed below under “-Passive Foreign Investment Company Considerations”) with respect to you in our taxable year in which the dividend was paid or in the prior taxable year and certain other conditions are met, including certain holding period requirements and the absence of certain risk reduction transactions. However, such dividends will not be eligible for the dividends received deduction generally allowed to corporate U.S. Holders. You should consult your tax advisor regarding the availability of the lower rate for dividends paid with respect to our shares.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The amount of any distribution paid in foreign currency will be equal to the U.S. dollar value of such currency, translated at the spot rate of exchange on the date such distribution is received, regardless of whether the payment is in fact converted into U.S. dollars at that time.</w:t>
      </w:r>
    </w:p>
    <w:p>
      <w:pPr>
        <w:pStyle w:val="TextBody"/>
        <w:bidi w:val="0"/>
        <w:spacing w:lineRule="auto" w:line="300" w:before="0" w:after="0"/>
        <w:jc w:val="both"/>
        <w:rPr/>
      </w:pPr>
      <w:r>
        <w:rPr/>
        <w:t> </w:t>
      </w:r>
    </w:p>
    <w:p>
      <w:pPr>
        <w:pStyle w:val="TextBody"/>
        <w:bidi w:val="0"/>
        <w:spacing w:lineRule="auto" w:line="300" w:before="0" w:after="0"/>
        <w:ind w:left="0" w:right="0" w:firstLine="500"/>
        <w:jc w:val="both"/>
        <w:rPr>
          <w:sz w:val="20"/>
        </w:rPr>
      </w:pPr>
      <w:r>
        <w:rPr>
          <w:sz w:val="20"/>
        </w:rPr>
        <w:t>Dividends paid to you with respect to our ordinary shares generally will be treated as foreign source income, which may be relevant in calculating your foreign tax credit limitation. Subject to certain conditions and limitations, Israeli tax withheld on dividends may be credited against your United States federal income tax liability or, at your election, be deducted from your U.S. federal taxable income. Dividends that we distribute generally should constitute “passive category income” for purposes of the foreign tax credit. However, if we are a “United States-owned foreign corporation,” solely for foreign tax credit purposes, a portion of the dividends allocable to our U.S. source earnings and profits may be recharacterized as U.S. source. A “United States-owned foreign corporation” is any foreign corporation in which United States persons own, directly or indirectly, 50% or more (by vote or by value) of the stock. In general, United States-owned foreign corporations with less than 10% of earnings and profits attributable to sources within the United States are excepted from these rules. In the event we are treated as a “United States-owned foreign corporation,” if 10% or more of our earnings and profits are attributable to sources within the United States, a portion of the dividends paid on our ordinary shares allocable to our U.S. source earnings and profits will be treated as U.S. source, and, as such, a U.S. Holder may not offset any foreign tax withheld as a credit against U.S. federal income tax imposed on that portion of dividends. A foreign tax credit for foreign taxes imposed on distributions may be denied if you do not satisfy certain minimum holding period requirements. Furthermore, pursuant to applicable United States Treasury regulations, if a U.S. Holder is not eligible for the benefits of an applicable income tax treaty or does not elect to apply such treaty, then such holder may not be able to claim a foreign tax credit arising from any foreign tax imposed on a distribution on our ordinary shares, depending on the nature of such foreign tax, although the IRS has provided temporary relief from the application of certain aspects of these regulations until new guidance or regulations are issued. The rules relating to the determination of the foreign tax credit are complex, and you should consult your tax advisor regarding the availability of a U.S. foreign tax credit in your particular circumstances including your eligibility for benefits under an applicable income tax treaty and the potential impact of the applicable United States Treasury regulations and the temporary IRS.</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100</w:t>
      </w:r>
    </w:p>
    <w:p>
      <w:pPr>
        <w:pStyle w:val="HorizontalLine"/>
        <w:bidi w:val="0"/>
        <w:spacing w:before="200" w:after="200"/>
        <w:jc w:val="left"/>
        <w:rPr/>
      </w:pPr>
      <w:r>
        <w:rPr/>
      </w:r>
    </w:p>
    <w:p>
      <w:pPr>
        <w:pStyle w:val="TextBody"/>
        <w:bidi w:val="0"/>
        <w:spacing w:lineRule="auto" w:line="300" w:before="0" w:after="0"/>
        <w:jc w:val="both"/>
        <w:rPr>
          <w:b/>
          <w:i/>
          <w:sz w:val="20"/>
        </w:rPr>
      </w:pPr>
      <w:r>
        <w:rPr>
          <w:b/>
          <w:i/>
          <w:sz w:val="20"/>
        </w:rPr>
        <w:t>Sale, Exchange or Other Disposition of Ordinary Shares</w:t>
      </w:r>
    </w:p>
    <w:p>
      <w:pPr>
        <w:pStyle w:val="TextBody"/>
        <w:bidi w:val="0"/>
        <w:spacing w:lineRule="auto" w:line="300" w:before="0" w:after="0"/>
        <w:jc w:val="both"/>
        <w:rPr/>
      </w:pPr>
      <w:r>
        <w:rPr/>
        <w:t> </w:t>
      </w:r>
    </w:p>
    <w:p>
      <w:pPr>
        <w:pStyle w:val="TextBody"/>
        <w:bidi w:val="0"/>
        <w:spacing w:lineRule="auto" w:line="300" w:before="0" w:after="0"/>
        <w:ind w:left="0" w:right="0" w:firstLine="500"/>
        <w:jc w:val="both"/>
        <w:rPr>
          <w:sz w:val="20"/>
        </w:rPr>
      </w:pPr>
      <w:r>
        <w:rPr>
          <w:sz w:val="20"/>
        </w:rPr>
        <w:t>Subject to the discussion under “-Passive Foreign Investment Company Considerations” below, you generally will recognize gain or loss on the sale, exchange or other disposition of our ordinary shares equal to the difference between the amount realized on such sale, exchange or other disposition and your adjusted tax basis in our ordinary shares, and such gain or loss will be capital gain or loss. If you are a non-corporate U.S. Holder, capital gain from the sale, exchange or other disposition of ordinary shares is generally eligible for a preferential rate of taxation applicable to capital gains, if your holding period for such ordinary shares exceeds one year (i.e., such gain is long-term capital gain). The deductibility of capital losses for United States federal income tax purposes is subject to limitations under the Code. Any such gain or loss that a U.S. Holder recognizes generally will be treated as U.S. source income or loss for foreign tax credit limitation purposes. Because gain for the sale or other taxable disposition of our ordinary shares will be treated as U.S. source income, and a U.S. Holder may use foreign tax credits against only the portion of United States federal income tax liability that is attributed to foreign source income in the same category, your ability to utilize a foreign tax credit with respect to the Israeli tax imposed on any such sale or other taxable disposition, if any, may be significantly limited. In addition, pursuant to applicable United States Treasury regulations, if you are not eligible for the benefits of an applicable income tax treaty or do not elect to apply such treaty, then you may not be able to claim a foreign tax credit arising from any foreign tax imposed on the disposition of our ordinary shares, depending on the nature of such foreign tax, although the IRS has provided temporary relief from the application of certain aspects of these regulations until new guidance or regulations are issued. The rules governing the treatment of foreign taxes imposed on a United States Holder and foreign tax credits are complex, and U.S. Holders should consult their tax advisors as to whether the Israeli tax on gains may be creditable or deductible in light of their particular circumstances, including their eligibility for benefits under an applicable treaty and the potential impact of applicable United States Treasury regulations and the temporary IRS relief.</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If the consideration received upon the sale or other disposition of our ordinary shares is paid in foreign currency, the amount realized will be the U.S. dollar value of the payment received, translated at the spot rate of exchange on the date of the sale or other disposition. If the ordinary shares are treated as traded on an established securities market and you are either a cash basis taxpayer or an accrual basis taxpayer who has made a special election (which must be applied consistently from year to year and cannot be changed without the consent of the IRS), the U.S. dollar value of the amount realized in foreign currency will be determined by translating the amount received at the spot rate of exchange on the settlement date of the sale. If our ordinary shares are not treated as traded on an established securities market, or you are an accrual basis taxpayer that does not elect to determine the amount realized using the spot rate of exchange on the settlement date, you will recognize foreign currency gain or loss to the extent of any difference between the U.S. dollar amount realized on the date of sale or disposition (as determined above) and the U.S. dollar value of the currency received translated at the spot rate of exchange on the settlement date, and such gain or loss generally will constitute U.S. source ordinary income or loss.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The adjusted tax basis in an ordinary share generally will be equal to the cost of such ordinary share. If you used foreign currency to purchase the ordinary shares, the cost of the ordinary shares will be the U.S. dollar value of the foreign currency purchase price on the date of purchase, translated at the spot rate of exchange on that date. If our ordinary shares are treated as traded on an established securities market and you are either a cash basis taxpayer or an accrual basis taxpayer who has made the special election described above, the U.S. dollar value of the cost of such ordinary shares will be determined by translating the amount paid at the spot rate of exchange on the settlement date of the purchase.</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Passive Foreign Investment Company Considerations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If a non-U.S. company is classified as a PFIC in any taxable year, a U.S. Holder of such PFIC’s shares will be subject to special rules generally intended to reduce or eliminate any benefits from the deferral of U.S. federal income tax that such U.S. Holder could derive from investing in a non-U.S. company that does not distribute all of its earnings on a current basis.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In general, a non-U.S. corporation will be classified as a PFIC for any taxable year if at least (i) 75% of its gross income is classified as “passive income” or (ii) 50% of its gross assets (determined on the basis of a quarterly average) produce or are held for the production of passive income (the “asset test”). Passive income for this purpose generally includes dividends, interest, royalties, rents, gains from commodities and securities transactions and the excess of gains over losses from the disposition of assets which produce passive income. For these purposes, cash and other assets readily convertible into cash are considered passive assets, and the company’s goodwill and other unbooked intangibles are generally taken into account. In making this determination, the non-U.S. corporation is treated as earning its proportionate share of any income and owning its proportionate share of any assets of any corporation in which it directly or indirectly holds 25% or more (by value) of the stock.</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Based on the composition of our income, assets and operations, we do not believe that we were a PFIC for the taxable year ended December 31, 2023. However, our status as a PFIC requires a factual determination that depends on, among other things, our income, assets and operations in each year. Fluctuations in the market price of our ordinary shares may cause our classification as a PFIC for the current or future taxable years to change because the value of our assets for purposes of the asset test, including the value of our goodwill and unbooked intangibles, may be determined by reference to the market price of our shares from time to time (which may be volatile). Among other matters, if our market capitalization subsequently declines, it may make our classification as a PFIC more likely for the current or future taxable years. The composition of our income and assets may also be affected by how, and how quickly, we use our liquid assets. Therefore, there can be no assurance that we will not be treated as a PFIC for our current taxable year or any future taxable year.</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101</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Under the PFIC rules, if we were considered a PFIC at any time that you hold our ordinary shares, we would continue to be treated as a PFIC with respect to your investment in all succeeding years during which you own our ordinary shares (regardless of whether we continue to meet the tests described above) unless (i) we have ceased to be a PFIC and (ii) you have made a “deemed sale” election under the PFIC rules. If such election is made, you will be deemed to have sold your ordinary shares at their fair market value on the last day of the last taxable year in which we were a PFIC, and any gain from the deemed sale would be subject to the rules described in the following paragraph. After the deemed sale election, so long as we do not become a PFIC in a subsequent taxable year, the ordinary shares with respect to which such election was made will not be treated as shares in a PFIC. You should consult your tax advisor as to the possibility and consequences of making a deemed sale election if we are (or were to become) and then cease to be a PFIC, and such election becomes available.</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If we are considered a PFIC at any time that you hold ordinary shares, unless you make one of the elections described below, any gain recognized by you on a sale or other disposition of the ordinary shares, as well as the amount of any “excess distribution” (defined below) received by you, would be allocated ratably over your holding period for the ordinary shares. The amounts allocated to the taxable year of the sale or other disposition (or the taxable year of receipt, in the case of an excess distribution)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For purposes of these rules, an excess distribution is the amount by which any distribution received by you on your ordinary shares in a taxable year exceeds 125% of the average of the annual distributions on the ordinary shares during the preceding three taxable years or your holding period, whichever is shorter. Distributions below the 125% threshold are treated as dividends taxable in the year of receipt and are not subject to prior highest tax rates or the interest charge.</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If we are treated as a PFIC with respect to you for any taxable year, you will be deemed to own shares in any entities in which we directly or indirectly own equity that are also PFICs, and you may be subject to the tax consequences described above with respect to the shares of such lower-tier PFIC you would be deemed to own.</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Mark-to-market elections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 xml:space="preserve">If we are a PFIC for any taxable year during which you hold ordinary shares, then in lieu of being subject to the tax and interest charge rules discussed above, you may make an election to include gain on the ordinary shares as ordinary income under a mark-to-market method, provided that such ordinary shares are “marketable.” The ordinary shares will be marketable if they are “regularly traded” on a qualified exchange or other market, as defined in applicable U.S. Treasury regulations, such as the Nasdaq Global Select Market. For these purposes, the ordinary shares will be considered regularly traded during any calendar year during which they are traded, other than in </w:t>
      </w:r>
      <w:r>
        <w:rPr>
          <w:i/>
          <w:sz w:val="20"/>
        </w:rPr>
        <w:t xml:space="preserve">de minimis </w:t>
      </w:r>
      <w:r>
        <w:rPr>
          <w:sz w:val="20"/>
        </w:rPr>
        <w:t>quantities, on at least 15 days during each calendar quarter. Any trades that have as their principal purpose meeting this requirement will be disregarded. However, because a mark-to-market election cannot be made for any lower-tier PFICs that we may own, you will generally continue to be subject to the PFIC rules discussed above with respect to your indirect interest in any investments we hold that are treated as an equity interest in a PFIC for United States federal income tax purposes. As a result, it is possible that any mark-to-market election will be of limited benefit. If you make an effective mark-to-market election, in each year that we are a PFIC, you will include in ordinary income the excess of the fair market value of your ordinary shares at the end of the year over your adjusted tax basis in the ordinary shares. You will be entitled to deduct as an ordinary loss in each such year the excess of your adjusted tax basis in the ordinary shares over their fair market value at the end of the year, but only to the extent of the net amount previously included in income as a result of the mark-to-market election. If you make an effective mark-to-market election, in each year that we are a PFIC, any gain that you recognize upon the sale or other disposition of your ordinary shares will be treated as ordinary income and any loss will be treated as ordinary loss, but only to the extent of the net amount of previously included income as a result of the mark-to-market election.</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490"/>
        <w:jc w:val="both"/>
        <w:rPr>
          <w:sz w:val="20"/>
        </w:rPr>
      </w:pPr>
      <w:r>
        <w:rPr>
          <w:sz w:val="20"/>
        </w:rPr>
        <w:t>Your adjusted tax basis in the ordinary shares will be increased by the amount of any income inclusion and decreased by the amount of any deductions under the mark-to-market rules discussed above. If you make an effective mark-to-market election, it will be effective for the taxable year for which the election is made and all subsequent taxable years unless the ordinary shares are no longer regularly traded on a qualified exchange or the IRS consents to the revocation of the election. You should consult your tax advisor about the availability of the mark-to-market election, and whether making the election would be advisable in your particular circumstances.</w:t>
      </w:r>
    </w:p>
    <w:p>
      <w:pPr>
        <w:pStyle w:val="TextBody"/>
        <w:bidi w:val="0"/>
        <w:spacing w:lineRule="auto" w:line="300" w:before="0" w:after="0"/>
        <w:jc w:val="both"/>
        <w:rPr/>
      </w:pPr>
      <w:r>
        <w:rPr/>
        <w:t> </w:t>
      </w:r>
    </w:p>
    <w:p>
      <w:pPr>
        <w:pStyle w:val="TextBody"/>
        <w:bidi w:val="0"/>
        <w:spacing w:lineRule="auto" w:line="300" w:before="0" w:after="0"/>
        <w:jc w:val="both"/>
        <w:rPr>
          <w:i/>
          <w:sz w:val="20"/>
        </w:rPr>
      </w:pPr>
      <w:r>
        <w:rPr>
          <w:i/>
          <w:sz w:val="20"/>
        </w:rPr>
        <w:t>Qualified electing fund elections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In certain circumstances, a U.S. equity holder in a PFIC may avoid the adverse tax and interest-charge regime described above by making a “qualified electing fund” election to include in income its share of the corporation’s income on a current basis. However, you may make a qualified electing fund election with respect to the ordinary shares only if we agree to furnish you annually with a PFIC annual information statement as specified in the applicable U.S. Treasury regulations. We do not intend to provide the information necessary for you to make a qualified electing fund election if we are classified as a PFIC. Therefore, you should assume that you will not receive such information from us and would therefore be unable to make a qualified electing fund election with respect to any of our ordinary shares were we to be or become a PFIC.</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102</w:t>
      </w:r>
    </w:p>
    <w:p>
      <w:pPr>
        <w:pStyle w:val="HorizontalLine"/>
        <w:bidi w:val="0"/>
        <w:spacing w:before="200" w:after="200"/>
        <w:jc w:val="left"/>
        <w:rPr/>
      </w:pPr>
      <w:r>
        <w:rPr/>
      </w:r>
    </w:p>
    <w:p>
      <w:pPr>
        <w:pStyle w:val="TextBody"/>
        <w:bidi w:val="0"/>
        <w:spacing w:lineRule="auto" w:line="300" w:before="0" w:after="0"/>
        <w:jc w:val="both"/>
        <w:rPr>
          <w:i/>
          <w:sz w:val="20"/>
        </w:rPr>
      </w:pPr>
      <w:r>
        <w:rPr>
          <w:i/>
          <w:sz w:val="20"/>
        </w:rPr>
        <w:t>Tax reporting</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If you own ordinary shares during any year in which we are a PFIC and you recognize gain on a disposition of such ordinary shares or receive distributions with respect to such ordinary shares, you generally will be required to file an IRS Form 8621 with respect to us, generally with your federal income tax return for that year. If we are a PFIC for a given taxable year, then you should consult your tax advisor concerning your annual filing requirements.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b/>
          <w:sz w:val="20"/>
        </w:rPr>
      </w:pPr>
      <w:r>
        <w:rPr>
          <w:b/>
          <w:sz w:val="20"/>
        </w:rPr>
        <w:t>You should consult your tax advisor regarding whether we are a PFIC as well as the potential U.S. federal income tax consequences of holding and disposing of our ordinary shares if we are or become classified as a PFIC, including the possibility of making a mark-to-market election in your particular circumstances.</w:t>
      </w:r>
    </w:p>
    <w:p>
      <w:pPr>
        <w:pStyle w:val="TextBody"/>
        <w:bidi w:val="0"/>
        <w:spacing w:lineRule="auto" w:line="300" w:before="0" w:after="0"/>
        <w:jc w:val="left"/>
        <w:rPr/>
      </w:pPr>
      <w:r>
        <w:rPr/>
      </w:r>
    </w:p>
    <w:p>
      <w:pPr>
        <w:pStyle w:val="TextBody"/>
        <w:bidi w:val="0"/>
        <w:spacing w:lineRule="auto" w:line="300" w:before="0" w:after="0"/>
        <w:jc w:val="both"/>
        <w:rPr>
          <w:b/>
          <w:i/>
          <w:sz w:val="20"/>
        </w:rPr>
      </w:pPr>
      <w:r>
        <w:rPr>
          <w:b/>
          <w:i/>
          <w:sz w:val="20"/>
        </w:rPr>
        <w:t>Backup Withholding Tax and Information Reporting Requirements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Dividend payments on and proceeds paid from the sale or other taxable disposition of the ordinary shares may be subject to information reporting to the IRS. In addition, a U.S. Holder may be subject to backup withholding on cash payments received in connection with dividend payments and proceeds from the sale or other taxable disposition of ordinary shares made within the United States or through certain U.S. related financial intermediaries.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Backup withholding will not apply, however, to a U.S. Holder who furnishes a correct taxpayer identification number, provides other required certification and otherwise complies with the applicable requirements of the backup withholding rules or who is otherwise exempt from backup withholding (and, when required, demonstrates such exemption). Backup withholding is not an additional tax. Rather, any amount withheld under the backup withholding rules will be creditable or refundable against the U.S. Holder’s U.S. federal income tax liability, provided the required information is timely furnished to the IRS.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Foreign Asset Reporting</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Certain U.S. Holders are required to report their holdings of certain foreign financial assets, including equity of foreign entities, if the aggregate value of all of these assets exceeds certain threshold amounts by filing an IRS Form 8938 with their federal income tax return. Our ordinary shares are expected to constitute foreign financial assets subject to these requirements unless the ordinary shares are held in an account at certain financial institutions. U.S. Holders are urged to consult their tax advisors regarding their information reporting obligations, if any, with respect to their ownership and disposition of our ordinary shares and the significant penalties for non-compliance.</w:t>
      </w:r>
    </w:p>
    <w:p>
      <w:pPr>
        <w:pStyle w:val="TextBody"/>
        <w:bidi w:val="0"/>
        <w:spacing w:lineRule="auto" w:line="300" w:before="0" w:after="0"/>
        <w:jc w:val="left"/>
        <w:rPr/>
      </w:pPr>
      <w:r>
        <w:rPr/>
      </w:r>
    </w:p>
    <w:p>
      <w:pPr>
        <w:pStyle w:val="TextBody"/>
        <w:bidi w:val="0"/>
        <w:spacing w:lineRule="auto" w:line="300" w:before="0" w:after="0"/>
        <w:ind w:left="0" w:right="0" w:firstLine="490"/>
        <w:jc w:val="both"/>
        <w:rPr>
          <w:b/>
          <w:sz w:val="20"/>
        </w:rPr>
      </w:pPr>
      <w:r>
        <w:rPr>
          <w:b/>
          <w:sz w:val="20"/>
        </w:rPr>
        <w:t>The above description is not intended to constitute a complete analysis of all tax consequences relating to the ownership and disposition of our ordinary shares. You should consult your tax advisor concerning the tax consequences of your particular situation.</w:t>
      </w:r>
    </w:p>
    <w:p>
      <w:pPr>
        <w:pStyle w:val="TextBody"/>
        <w:bidi w:val="0"/>
        <w:spacing w:lineRule="auto" w:line="300" w:before="0" w:after="0"/>
        <w:ind w:left="0" w:right="0" w:firstLine="490"/>
        <w:jc w:val="both"/>
        <w:rPr/>
      </w:pPr>
      <w:r>
        <w:rPr/>
        <w:t>  </w:t>
      </w:r>
    </w:p>
    <w:p>
      <w:pPr>
        <w:pStyle w:val="Normal"/>
        <w:bidi w:val="0"/>
        <w:spacing w:before="0" w:after="0"/>
        <w:jc w:val="left"/>
        <w:rPr>
          <w:sz w:val="4"/>
          <w:szCs w:val="4"/>
        </w:rPr>
      </w:pPr>
      <w:r>
        <w:rPr>
          <w:sz w:val="4"/>
          <w:szCs w:val="4"/>
        </w:rPr>
      </w:r>
      <w:bookmarkStart w:id="296" w:name="z3f42a3f5c8fd4ea0a944433024539c6c"/>
      <w:bookmarkStart w:id="297" w:name="z3f42a3f5c8fd4ea0a944433024539c6c"/>
      <w:bookmarkEnd w:id="297"/>
    </w:p>
    <w:tbl>
      <w:tblPr>
        <w:tblW w:w="3280" w:type="dxa"/>
        <w:jc w:val="left"/>
        <w:tblInd w:w="0" w:type="dxa"/>
        <w:tblLayout w:type="fixed"/>
        <w:tblCellMar>
          <w:top w:w="0" w:type="dxa"/>
          <w:left w:w="0" w:type="dxa"/>
          <w:bottom w:w="0" w:type="dxa"/>
          <w:right w:w="0" w:type="dxa"/>
        </w:tblCellMar>
      </w:tblPr>
      <w:tblGrid>
        <w:gridCol w:w="245"/>
        <w:gridCol w:w="3035"/>
      </w:tblGrid>
      <w:tr>
        <w:trPr/>
        <w:tc>
          <w:tcPr>
            <w:tcW w:w="245" w:type="dxa"/>
            <w:tcBorders/>
            <w:vAlign w:val="center"/>
          </w:tcPr>
          <w:p>
            <w:pPr>
              <w:pStyle w:val="TableContents"/>
              <w:bidi w:val="0"/>
              <w:spacing w:lineRule="auto" w:line="300" w:before="0" w:after="0"/>
              <w:jc w:val="both"/>
              <w:rPr>
                <w:b/>
              </w:rPr>
            </w:pPr>
            <w:r>
              <w:rPr>
                <w:b/>
              </w:rPr>
              <w:t>F.</w:t>
            </w:r>
          </w:p>
        </w:tc>
        <w:tc>
          <w:tcPr>
            <w:tcW w:w="3035" w:type="dxa"/>
            <w:tcBorders/>
            <w:vAlign w:val="center"/>
          </w:tcPr>
          <w:p>
            <w:pPr>
              <w:pStyle w:val="TableContents"/>
              <w:bidi w:val="0"/>
              <w:spacing w:lineRule="auto" w:line="300" w:before="0" w:after="0"/>
              <w:jc w:val="both"/>
              <w:rPr>
                <w:b/>
              </w:rPr>
            </w:pPr>
            <w:r>
              <w:rPr>
                <w:b/>
              </w:rPr>
              <w:t>Dividends and Paying Agents</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Not applicable.</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298" w:name="zd22aba1860a5437d9e78e38f90773d7b"/>
      <w:bookmarkStart w:id="299" w:name="zd22aba1860a5437d9e78e38f90773d7b"/>
      <w:bookmarkEnd w:id="299"/>
    </w:p>
    <w:tbl>
      <w:tblPr>
        <w:tblW w:w="2500" w:type="dxa"/>
        <w:jc w:val="left"/>
        <w:tblInd w:w="0" w:type="dxa"/>
        <w:tblLayout w:type="fixed"/>
        <w:tblCellMar>
          <w:top w:w="0" w:type="dxa"/>
          <w:left w:w="0" w:type="dxa"/>
          <w:bottom w:w="0" w:type="dxa"/>
          <w:right w:w="0" w:type="dxa"/>
        </w:tblCellMar>
      </w:tblPr>
      <w:tblGrid>
        <w:gridCol w:w="275"/>
        <w:gridCol w:w="2225"/>
      </w:tblGrid>
      <w:tr>
        <w:trPr/>
        <w:tc>
          <w:tcPr>
            <w:tcW w:w="275" w:type="dxa"/>
            <w:tcBorders/>
            <w:vAlign w:val="center"/>
          </w:tcPr>
          <w:p>
            <w:pPr>
              <w:pStyle w:val="TableContents"/>
              <w:bidi w:val="0"/>
              <w:spacing w:lineRule="auto" w:line="300" w:before="0" w:after="0"/>
              <w:jc w:val="both"/>
              <w:rPr>
                <w:b/>
              </w:rPr>
            </w:pPr>
            <w:r>
              <w:rPr>
                <w:b/>
              </w:rPr>
              <w:t>G.</w:t>
            </w:r>
          </w:p>
        </w:tc>
        <w:tc>
          <w:tcPr>
            <w:tcW w:w="2225" w:type="dxa"/>
            <w:tcBorders/>
            <w:vAlign w:val="center"/>
          </w:tcPr>
          <w:p>
            <w:pPr>
              <w:pStyle w:val="TableContents"/>
              <w:bidi w:val="0"/>
              <w:spacing w:lineRule="auto" w:line="300" w:before="0" w:after="0"/>
              <w:jc w:val="both"/>
              <w:rPr>
                <w:b/>
              </w:rPr>
            </w:pPr>
            <w:r>
              <w:rPr>
                <w:b/>
              </w:rPr>
              <w:t>Statement by Experts</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Not applicable.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00" w:name="z36f67d0c54b2494a84044fd1d22769dc"/>
      <w:bookmarkStart w:id="301" w:name="z36f67d0c54b2494a84044fd1d22769dc"/>
      <w:bookmarkEnd w:id="301"/>
    </w:p>
    <w:tbl>
      <w:tblPr>
        <w:tblW w:w="2590" w:type="dxa"/>
        <w:jc w:val="left"/>
        <w:tblInd w:w="0" w:type="dxa"/>
        <w:tblLayout w:type="fixed"/>
        <w:tblCellMar>
          <w:top w:w="0" w:type="dxa"/>
          <w:left w:w="0" w:type="dxa"/>
          <w:bottom w:w="0" w:type="dxa"/>
          <w:right w:w="0" w:type="dxa"/>
        </w:tblCellMar>
      </w:tblPr>
      <w:tblGrid>
        <w:gridCol w:w="275"/>
        <w:gridCol w:w="2315"/>
      </w:tblGrid>
      <w:tr>
        <w:trPr/>
        <w:tc>
          <w:tcPr>
            <w:tcW w:w="275" w:type="dxa"/>
            <w:tcBorders/>
            <w:vAlign w:val="center"/>
          </w:tcPr>
          <w:p>
            <w:pPr>
              <w:pStyle w:val="TableContents"/>
              <w:bidi w:val="0"/>
              <w:spacing w:lineRule="auto" w:line="300" w:before="0" w:after="0"/>
              <w:jc w:val="both"/>
              <w:rPr>
                <w:b/>
              </w:rPr>
            </w:pPr>
            <w:r>
              <w:rPr>
                <w:b/>
              </w:rPr>
              <w:t>H.</w:t>
            </w:r>
          </w:p>
        </w:tc>
        <w:tc>
          <w:tcPr>
            <w:tcW w:w="2315" w:type="dxa"/>
            <w:tcBorders/>
            <w:vAlign w:val="center"/>
          </w:tcPr>
          <w:p>
            <w:pPr>
              <w:pStyle w:val="TableContents"/>
              <w:bidi w:val="0"/>
              <w:spacing w:lineRule="auto" w:line="300" w:before="0" w:after="0"/>
              <w:jc w:val="both"/>
              <w:rPr>
                <w:b/>
              </w:rPr>
            </w:pPr>
            <w:r>
              <w:rPr>
                <w:b/>
              </w:rPr>
              <w:t>Documents on Display</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We are subject to the informational requirements of the Exchange Act. Accordingly, we are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103</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 xml:space="preserve">We maintain a corporate website at </w:t>
      </w:r>
      <w:r>
        <w:rPr>
          <w:i/>
          <w:sz w:val="20"/>
        </w:rPr>
        <w:t>http://www.walkme.com</w:t>
      </w:r>
      <w:r>
        <w:rPr>
          <w:sz w:val="20"/>
        </w:rPr>
        <w:t xml:space="preserve">. Information contained on, or that can be accessed through our website does not constitute a part of this Annual Report on Form 20-F. We also make available on our website’s investor relations page at </w:t>
      </w:r>
      <w:r>
        <w:rPr>
          <w:i/>
          <w:sz w:val="20"/>
        </w:rPr>
        <w:t>http://ir.walkme.com</w:t>
      </w:r>
      <w:r>
        <w:rPr>
          <w:sz w:val="20"/>
        </w:rPr>
        <w:t>, free of charge, our Annual Report and the text of our reports on Form 6-K, including any amendments to these reports, as well as certain other SEC filings, as soon as reasonably practicable after they are electronically filed with or furnished to the SEC. The information contained on our website is not incorporated by reference in this Annual Report.</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are not be required under the Exchange Act to file periodic reports and financial statements with the SEC as frequently or as promptly as U.S. companies whose securities are registered under the Exchange Act. However, we will file with the SEC, within four months after the end of each subsequent fiscal year, or such applicable time as required by the SEC, an annual report on Form 20-F containing financial statements audited by an independent registered public accounting firm. We also intend to furnish certain other material information to the SEC under cover of Form 6-K.</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will send our transfer agent a copy of all notices of shareholders’ meetings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302" w:name="z3415f760542c496595691405326795fa"/>
      <w:bookmarkStart w:id="303" w:name="z3415f760542c496595691405326795fa"/>
      <w:bookmarkEnd w:id="303"/>
    </w:p>
    <w:tbl>
      <w:tblPr>
        <w:tblW w:w="2605" w:type="dxa"/>
        <w:jc w:val="left"/>
        <w:tblInd w:w="0" w:type="dxa"/>
        <w:tblLayout w:type="fixed"/>
        <w:tblCellMar>
          <w:top w:w="0" w:type="dxa"/>
          <w:left w:w="0" w:type="dxa"/>
          <w:bottom w:w="0" w:type="dxa"/>
          <w:right w:w="0" w:type="dxa"/>
        </w:tblCellMar>
      </w:tblPr>
      <w:tblGrid>
        <w:gridCol w:w="185"/>
        <w:gridCol w:w="2420"/>
      </w:tblGrid>
      <w:tr>
        <w:trPr/>
        <w:tc>
          <w:tcPr>
            <w:tcW w:w="185" w:type="dxa"/>
            <w:tcBorders/>
            <w:vAlign w:val="center"/>
          </w:tcPr>
          <w:p>
            <w:pPr>
              <w:pStyle w:val="TableContents"/>
              <w:bidi w:val="0"/>
              <w:spacing w:lineRule="auto" w:line="300" w:before="0" w:after="0"/>
              <w:jc w:val="both"/>
              <w:rPr>
                <w:b/>
              </w:rPr>
            </w:pPr>
            <w:r>
              <w:rPr>
                <w:b/>
              </w:rPr>
              <w:t>I.</w:t>
            </w:r>
          </w:p>
        </w:tc>
        <w:tc>
          <w:tcPr>
            <w:tcW w:w="2420" w:type="dxa"/>
            <w:tcBorders/>
            <w:vAlign w:val="center"/>
          </w:tcPr>
          <w:p>
            <w:pPr>
              <w:pStyle w:val="TableContents"/>
              <w:bidi w:val="0"/>
              <w:spacing w:lineRule="auto" w:line="300" w:before="0" w:after="0"/>
              <w:jc w:val="both"/>
              <w:rPr>
                <w:b/>
              </w:rPr>
            </w:pPr>
            <w:r>
              <w:rPr>
                <w:b/>
              </w:rPr>
              <w:t>Subsidiary Information</w:t>
            </w:r>
          </w:p>
        </w:tc>
      </w:tr>
    </w:tbl>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Not applicable.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04" w:name="z5d8891e9ad9848718dbca00525839da9"/>
      <w:bookmarkStart w:id="305" w:name="z5d8891e9ad9848718dbca00525839da9"/>
      <w:bookmarkEnd w:id="305"/>
    </w:p>
    <w:tbl>
      <w:tblPr>
        <w:tblW w:w="3805" w:type="dxa"/>
        <w:jc w:val="left"/>
        <w:tblInd w:w="0" w:type="dxa"/>
        <w:tblLayout w:type="fixed"/>
        <w:tblCellMar>
          <w:top w:w="0" w:type="dxa"/>
          <w:left w:w="0" w:type="dxa"/>
          <w:bottom w:w="0" w:type="dxa"/>
          <w:right w:w="0" w:type="dxa"/>
        </w:tblCellMar>
      </w:tblPr>
      <w:tblGrid>
        <w:gridCol w:w="215"/>
        <w:gridCol w:w="3590"/>
      </w:tblGrid>
      <w:tr>
        <w:trPr/>
        <w:tc>
          <w:tcPr>
            <w:tcW w:w="215" w:type="dxa"/>
            <w:tcBorders/>
            <w:vAlign w:val="center"/>
          </w:tcPr>
          <w:p>
            <w:pPr>
              <w:pStyle w:val="TableContents"/>
              <w:bidi w:val="0"/>
              <w:spacing w:lineRule="auto" w:line="300" w:before="0" w:after="0"/>
              <w:jc w:val="both"/>
              <w:rPr>
                <w:b/>
              </w:rPr>
            </w:pPr>
            <w:r>
              <w:rPr>
                <w:b/>
              </w:rPr>
              <w:t>J.</w:t>
            </w:r>
          </w:p>
        </w:tc>
        <w:tc>
          <w:tcPr>
            <w:tcW w:w="3590" w:type="dxa"/>
            <w:tcBorders/>
            <w:vAlign w:val="center"/>
          </w:tcPr>
          <w:p>
            <w:pPr>
              <w:pStyle w:val="TableContents"/>
              <w:bidi w:val="0"/>
              <w:spacing w:lineRule="auto" w:line="300" w:before="0" w:after="0"/>
              <w:jc w:val="both"/>
              <w:rPr>
                <w:b/>
              </w:rPr>
            </w:pPr>
            <w:r>
              <w:rPr>
                <w:b/>
              </w:rPr>
              <w:t>Annual Report to Security Holders</w:t>
            </w:r>
          </w:p>
        </w:tc>
      </w:tr>
    </w:tbl>
    <w:p>
      <w:pPr>
        <w:pStyle w:val="TextBody"/>
        <w:bidi w:val="0"/>
        <w:spacing w:lineRule="auto" w:line="300" w:before="0" w:after="0"/>
        <w:jc w:val="left"/>
        <w:rPr/>
      </w:pPr>
      <w:r>
        <w:rPr/>
      </w:r>
    </w:p>
    <w:p>
      <w:pPr>
        <w:pStyle w:val="TextBody"/>
        <w:bidi w:val="0"/>
        <w:spacing w:lineRule="auto" w:line="300" w:before="0" w:after="0"/>
        <w:ind w:left="0" w:right="0" w:firstLine="500"/>
        <w:jc w:val="both"/>
        <w:rPr>
          <w:sz w:val="20"/>
        </w:rPr>
      </w:pPr>
      <w:r>
        <w:rPr>
          <w:sz w:val="20"/>
        </w:rPr>
        <w:t>Not applicable.</w:t>
      </w:r>
    </w:p>
    <w:p>
      <w:pPr>
        <w:pStyle w:val="TextBody"/>
        <w:bidi w:val="0"/>
        <w:spacing w:lineRule="auto" w:line="300" w:before="0" w:after="0"/>
        <w:jc w:val="left"/>
        <w:rPr/>
      </w:pPr>
      <w:r>
        <w:rPr/>
      </w:r>
    </w:p>
    <w:p>
      <w:pPr>
        <w:pStyle w:val="TextBody"/>
        <w:bidi w:val="0"/>
        <w:spacing w:lineRule="auto" w:line="300" w:before="0" w:after="0"/>
        <w:jc w:val="both"/>
        <w:rPr>
          <w:b/>
          <w:sz w:val="20"/>
        </w:rPr>
      </w:pPr>
      <w:bookmarkStart w:id="306" w:name="Item11"/>
      <w:bookmarkEnd w:id="306"/>
      <w:r>
        <w:rPr>
          <w:b/>
          <w:sz w:val="20"/>
        </w:rPr>
        <w:t>Item 11. Quantitative and Qualitative Disclosures about Market Risk</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are exposed to market risk from changes in exchange rates, interest rates and inflation. All of these market risks arise in the ordinary course of business, as we do not engage in speculative trading activities. The following analysis provides additional information regarding these risks.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Interest rate risk</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investments are subject to market risk due to changes in interest rates, which may affect our interest income and fair market value of our investments. To minimize this risk, we maintain our portfolio in a variety of high-grade securities, including U.S. treasury bonds and government agencies. The primary objectives of our investment activities are to support liquidity, preserve principal and to maximize income without significantly increasing risk.</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As of December 31, 2023, we had $321.8 million of cash and cash equivalent, bank deposits and marketable securities. Interest-earning instruments carry a degree of interest rate risk. A hypothetical 10% change in interest rates would not have had a material impact on our financial results for the years ended December 31, 2022 and 2023. We do not enter into investments for trading or speculative purposes and have not used any derivative financial instruments to manage our interest rate risk exposure.</w:t>
      </w:r>
    </w:p>
    <w:p>
      <w:pPr>
        <w:pStyle w:val="TextBody"/>
        <w:bidi w:val="0"/>
        <w:spacing w:lineRule="auto" w:line="300" w:before="0" w:after="0"/>
        <w:jc w:val="left"/>
        <w:rPr/>
      </w:pPr>
      <w:r>
        <w:rPr/>
      </w:r>
    </w:p>
    <w:p>
      <w:pPr>
        <w:pStyle w:val="TextBody"/>
        <w:bidi w:val="0"/>
        <w:spacing w:lineRule="auto" w:line="300" w:before="0" w:after="0"/>
        <w:ind w:left="0" w:right="0" w:firstLine="490"/>
        <w:jc w:val="both"/>
        <w:rPr>
          <w:b/>
          <w:i/>
          <w:sz w:val="20"/>
        </w:rPr>
      </w:pPr>
      <w:r>
        <w:rPr>
          <w:b/>
          <w:i/>
          <w:sz w:val="20"/>
        </w:rPr>
        <w:t>Foreign Currency Exchange Risk</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reporting currency and the functional currency of our non-U.S. subsidiaries is U.S. dollar, with the exception of Walkme K.K our Japanese subsidiary, for which the Japanese Yen is the functional currency. The majority of our revenues were denominated in U.S. dollars and the remainder in other currencies. However, a significant portion of our operating costs in Israel, consisting principally of salaries and employee-related costs, and operating lease and facility expenses are denominated in NIS. This foreign currency exposure gives rise to market risk associated with exchange rate movements of the U.S. dollar against the NIS.</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104</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To reduce the impact of foreign currency exchange risks associated with forecasted future cash flows and certain existing assets and liabilities and the volatility in our consolidated statements of operations, we have established a hedging policy. Currently, our hedging activity relates to U.S. dollar/NIS exchange rate exposure. We do not enter into derivative instruments for trading or speculative purposes. We account for our derivative instruments as either assets or liabilities and carry them at fair value in the consolidated balance sheets. The accounting for changes in the fair value of the derivative depends on the intended use of the derivative and the resulting designation. Our hedging activities reduce but do not eliminate the impact of currency exchange rate movements.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 decrease of 10% in the U.S. dollar/NIS exchange rate would have increased our cost of revenue and operating expenses by 1.7% for the year ended December 31, 2023. If the NIS fluctuates significantly against the U.S. dollar, it may have a negative impact on our results of operations.</w:t>
      </w:r>
    </w:p>
    <w:p>
      <w:pPr>
        <w:pStyle w:val="TextBody"/>
        <w:bidi w:val="0"/>
        <w:spacing w:lineRule="auto" w:line="300" w:before="0" w:after="0"/>
        <w:jc w:val="both"/>
        <w:rPr/>
      </w:pPr>
      <w:r>
        <w:rPr/>
        <w:t> </w:t>
      </w:r>
    </w:p>
    <w:p>
      <w:pPr>
        <w:pStyle w:val="TextBody"/>
        <w:bidi w:val="0"/>
        <w:spacing w:lineRule="auto" w:line="300" w:before="0" w:after="0"/>
        <w:jc w:val="both"/>
        <w:rPr>
          <w:b/>
          <w:sz w:val="20"/>
        </w:rPr>
      </w:pPr>
      <w:bookmarkStart w:id="307" w:name="Item12"/>
      <w:bookmarkEnd w:id="307"/>
      <w:r>
        <w:rPr>
          <w:b/>
          <w:sz w:val="20"/>
        </w:rPr>
        <w:t>Item 12. Description of Securities Other than Equity Securities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Not applicable.</w:t>
      </w:r>
    </w:p>
    <w:p>
      <w:pPr>
        <w:pStyle w:val="TextBody"/>
        <w:bidi w:val="0"/>
        <w:spacing w:lineRule="auto" w:line="300" w:before="0" w:after="0"/>
        <w:jc w:val="both"/>
        <w:rPr/>
      </w:pPr>
      <w:r>
        <w:rPr/>
        <w:t> </w:t>
      </w:r>
    </w:p>
    <w:p>
      <w:pPr>
        <w:pStyle w:val="TextBody"/>
        <w:bidi w:val="0"/>
        <w:spacing w:lineRule="auto" w:line="300" w:before="0" w:after="0"/>
        <w:jc w:val="center"/>
        <w:rPr>
          <w:b/>
          <w:sz w:val="20"/>
        </w:rPr>
      </w:pPr>
      <w:bookmarkStart w:id="308" w:name="PARTII"/>
      <w:bookmarkEnd w:id="308"/>
      <w:r>
        <w:rPr>
          <w:b/>
          <w:sz w:val="20"/>
        </w:rPr>
        <w:t>PART II</w:t>
      </w:r>
    </w:p>
    <w:p>
      <w:pPr>
        <w:pStyle w:val="TextBody"/>
        <w:bidi w:val="0"/>
        <w:spacing w:lineRule="auto" w:line="300" w:before="0" w:after="0"/>
        <w:jc w:val="both"/>
        <w:rPr/>
      </w:pPr>
      <w:r>
        <w:rPr/>
        <w:t> </w:t>
      </w:r>
    </w:p>
    <w:p>
      <w:pPr>
        <w:pStyle w:val="TextBody"/>
        <w:bidi w:val="0"/>
        <w:spacing w:lineRule="auto" w:line="300" w:before="0" w:after="0"/>
        <w:jc w:val="both"/>
        <w:rPr>
          <w:b/>
          <w:sz w:val="20"/>
        </w:rPr>
      </w:pPr>
      <w:bookmarkStart w:id="309" w:name="Item13"/>
      <w:bookmarkEnd w:id="309"/>
      <w:r>
        <w:rPr>
          <w:b/>
          <w:sz w:val="20"/>
        </w:rPr>
        <w:t>Item 13. Defaults, Dividend Arrearages and Delinquencies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None.</w:t>
      </w:r>
    </w:p>
    <w:p>
      <w:pPr>
        <w:pStyle w:val="TextBody"/>
        <w:bidi w:val="0"/>
        <w:spacing w:lineRule="auto" w:line="300" w:before="0" w:after="0"/>
        <w:jc w:val="left"/>
        <w:rPr/>
      </w:pPr>
      <w:r>
        <w:rPr/>
      </w:r>
    </w:p>
    <w:p>
      <w:pPr>
        <w:pStyle w:val="TextBody"/>
        <w:bidi w:val="0"/>
        <w:spacing w:lineRule="auto" w:line="300" w:before="0" w:after="0"/>
        <w:jc w:val="both"/>
        <w:rPr>
          <w:b/>
          <w:sz w:val="20"/>
        </w:rPr>
      </w:pPr>
      <w:bookmarkStart w:id="310" w:name="Item14"/>
      <w:bookmarkEnd w:id="310"/>
      <w:r>
        <w:rPr>
          <w:b/>
          <w:sz w:val="20"/>
        </w:rPr>
        <w:t>Item 14. Material Modifications to the Rights of Security Holders and Use of Proceeds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None.</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Use of Proceeds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On June 18, 2021, we completed an IPO of 9,250,000 ordinary shares sold at an initial public offering price of $31.00 per share. The ordinary shares offered and sold in the IPO were registered under the Securities Act pursuant to our Registration Statement on Form F-1 (File No. 333-256219), which was declared effective by the SEC on June 15, 2021.</w:t>
      </w:r>
    </w:p>
    <w:p>
      <w:pPr>
        <w:pStyle w:val="TextBody"/>
        <w:bidi w:val="0"/>
        <w:spacing w:lineRule="auto" w:line="300" w:before="0" w:after="0"/>
        <w:jc w:val="left"/>
        <w:rPr/>
      </w:pPr>
      <w:r>
        <w:rPr/>
      </w:r>
    </w:p>
    <w:p>
      <w:pPr>
        <w:pStyle w:val="TextBody"/>
        <w:bidi w:val="0"/>
        <w:spacing w:lineRule="auto" w:line="300" w:before="0" w:after="0"/>
        <w:ind w:left="0" w:right="0" w:firstLine="490"/>
        <w:jc w:val="both"/>
        <w:rPr>
          <w:sz w:val="20"/>
        </w:rPr>
      </w:pPr>
      <w:r>
        <w:rPr>
          <w:sz w:val="20"/>
        </w:rPr>
        <w:t>The IPO generated gross proceeds of $286,750,000. We had underwriting discounts and commissions of $18,638,750 and other issuance costs of $4,200,000. We paid out of Company proceeds all of our fees, costs and expenses in connection with the IPO.</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490"/>
        <w:jc w:val="both"/>
        <w:rPr>
          <w:sz w:val="20"/>
        </w:rPr>
      </w:pPr>
      <w:r>
        <w:rPr>
          <w:sz w:val="20"/>
        </w:rPr>
        <w:t>No offering expenses were paid directly or indirectly to any of our directors or officers (or their associates), persons owning 10% or more of our ordinary shares or any other affiliates.</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490"/>
        <w:jc w:val="both"/>
        <w:rPr>
          <w:sz w:val="20"/>
        </w:rPr>
      </w:pPr>
      <w:r>
        <w:rPr>
          <w:sz w:val="20"/>
        </w:rPr>
        <w:t>There has been no material change in the expected use of the net proceeds from our IPO as described in our final prospectus filed with the SEC on June 16, 2021 pursuant to Rule 424(b).</w:t>
      </w:r>
    </w:p>
    <w:p>
      <w:pPr>
        <w:pStyle w:val="TextBody"/>
        <w:bidi w:val="0"/>
        <w:spacing w:lineRule="auto" w:line="300" w:before="0" w:after="0"/>
        <w:jc w:val="both"/>
        <w:rPr/>
      </w:pPr>
      <w:r>
        <w:rPr/>
        <w:t> </w:t>
      </w:r>
    </w:p>
    <w:p>
      <w:pPr>
        <w:pStyle w:val="TextBody"/>
        <w:bidi w:val="0"/>
        <w:spacing w:lineRule="auto" w:line="300" w:before="0" w:after="0"/>
        <w:jc w:val="both"/>
        <w:rPr/>
      </w:pPr>
      <w:r>
        <w:rPr/>
        <w:t> </w:t>
      </w:r>
      <w:bookmarkStart w:id="311" w:name="Item15"/>
      <w:bookmarkEnd w:id="311"/>
      <w:r>
        <w:rPr>
          <w:b/>
          <w:sz w:val="20"/>
        </w:rPr>
        <w:t>Item 15. Controls and Procedures</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Disclosure Controls and Procedures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maintain disclosure controls and procedures (as such term is defined in Rules 13a-15(e) and 15d-15(e) under the Securities Exchange Act of 1934, as amended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December 31, 2023. Based upon that evaluation, our Chief Executive Officer and Chief Financial Officer concluded that, as of December 31, 2023, our disclosure controls and procedures were effective to accomplish their objectives at the reasonable assurance level.</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105</w:t>
      </w:r>
    </w:p>
    <w:p>
      <w:pPr>
        <w:pStyle w:val="HorizontalLine"/>
        <w:bidi w:val="0"/>
        <w:spacing w:before="200" w:after="200"/>
        <w:jc w:val="left"/>
        <w:rPr/>
      </w:pPr>
      <w:r>
        <w:rPr/>
      </w:r>
    </w:p>
    <w:p>
      <w:pPr>
        <w:pStyle w:val="TextBody"/>
        <w:bidi w:val="0"/>
        <w:spacing w:lineRule="auto" w:line="300" w:before="0" w:after="0"/>
        <w:jc w:val="both"/>
        <w:rPr>
          <w:b/>
          <w:i/>
          <w:sz w:val="20"/>
        </w:rPr>
      </w:pPr>
      <w:r>
        <w:rPr>
          <w:b/>
          <w:i/>
          <w:sz w:val="20"/>
        </w:rPr>
        <w:t>Management’s Annual Report on Internal Control over Financial Reporting</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management is responsible for establishing and maintaining adequate internal control over our financial reporting (as such term is defined in Rule 13a-15(f) and 15d-15(f) under the Exchange Act). Our management conducted an assessment of the effectiveness of our internal control over financial reporting based on the criteria set forth in “Internal Control - Integrated Framework (2013)” issued by the Committee of Sponsoring Organizations of the Treadway Commission. Based on this assessment, our management concluded that, as of December 31, 2023, our internal control over financial reporting was effective.</w:t>
      </w:r>
    </w:p>
    <w:p>
      <w:pPr>
        <w:pStyle w:val="TextBody"/>
        <w:bidi w:val="0"/>
        <w:spacing w:lineRule="auto" w:line="300" w:before="0" w:after="0"/>
        <w:jc w:val="both"/>
        <w:rPr/>
      </w:pPr>
      <w:r>
        <w:rPr/>
        <w:t> </w:t>
      </w:r>
    </w:p>
    <w:p>
      <w:pPr>
        <w:pStyle w:val="TextBody"/>
        <w:bidi w:val="0"/>
        <w:spacing w:lineRule="auto" w:line="300" w:before="0" w:after="0"/>
        <w:jc w:val="both"/>
        <w:rPr>
          <w:b/>
          <w:i/>
          <w:sz w:val="20"/>
        </w:rPr>
      </w:pPr>
      <w:r>
        <w:rPr>
          <w:b/>
          <w:i/>
          <w:sz w:val="20"/>
        </w:rPr>
        <w:t>Attestation Report of the Registered Public Accounting Firm</w:t>
      </w:r>
    </w:p>
    <w:p>
      <w:pPr>
        <w:pStyle w:val="TextBody"/>
        <w:bidi w:val="0"/>
        <w:spacing w:lineRule="auto" w:line="300" w:before="0" w:after="0"/>
        <w:jc w:val="left"/>
        <w:rPr/>
      </w:pPr>
      <w:r>
        <w:rPr/>
      </w:r>
    </w:p>
    <w:p>
      <w:pPr>
        <w:pStyle w:val="TextBody"/>
        <w:bidi w:val="0"/>
        <w:spacing w:lineRule="auto" w:line="300" w:before="0" w:after="0"/>
        <w:ind w:left="0" w:right="0" w:firstLine="500"/>
        <w:jc w:val="both"/>
        <w:rPr>
          <w:sz w:val="20"/>
        </w:rPr>
      </w:pPr>
      <w:r>
        <w:rPr>
          <w:sz w:val="20"/>
        </w:rPr>
        <w:t>This Annual Report on Form 20-F does not include an attestation report of our independent registered public accounting firm due to a transition period established by rules of the SEC for emerging growth companies.</w:t>
      </w:r>
    </w:p>
    <w:p>
      <w:pPr>
        <w:pStyle w:val="TextBody"/>
        <w:bidi w:val="0"/>
        <w:spacing w:lineRule="auto" w:line="300" w:before="0" w:after="0"/>
        <w:jc w:val="left"/>
        <w:rPr/>
      </w:pPr>
      <w:r>
        <w:rPr/>
      </w:r>
    </w:p>
    <w:p>
      <w:pPr>
        <w:pStyle w:val="TextBody"/>
        <w:bidi w:val="0"/>
        <w:spacing w:lineRule="auto" w:line="300" w:before="0" w:after="0"/>
        <w:jc w:val="both"/>
        <w:rPr/>
      </w:pPr>
      <w:r>
        <w:rPr/>
        <w:t> </w:t>
      </w:r>
      <w:r>
        <w:rPr>
          <w:b/>
          <w:i/>
          <w:sz w:val="20"/>
        </w:rPr>
        <w:t>Changes in Internal Control over Financial Reporting</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There were no changes in our internal controls over financial reporting (as such term is defined in Rules 13a-15(f) and 15d-15(f) under the Exchange Act) that occurred during the period covered by this Annual Report that have materially affected, or are reasonably likely to materially affect, our internal control over financial reporting.</w:t>
      </w:r>
    </w:p>
    <w:p>
      <w:pPr>
        <w:pStyle w:val="TextBody"/>
        <w:bidi w:val="0"/>
        <w:spacing w:lineRule="auto" w:line="300" w:before="0" w:after="0"/>
        <w:jc w:val="both"/>
        <w:rPr/>
      </w:pPr>
      <w:r>
        <w:rPr/>
        <w:t> </w:t>
      </w:r>
    </w:p>
    <w:p>
      <w:pPr>
        <w:pStyle w:val="TextBody"/>
        <w:bidi w:val="0"/>
        <w:spacing w:lineRule="auto" w:line="300" w:before="0" w:after="0"/>
        <w:jc w:val="both"/>
        <w:rPr>
          <w:b/>
          <w:sz w:val="20"/>
        </w:rPr>
      </w:pPr>
      <w:bookmarkStart w:id="312" w:name="Item16"/>
      <w:bookmarkEnd w:id="312"/>
      <w:r>
        <w:rPr>
          <w:b/>
          <w:sz w:val="20"/>
        </w:rPr>
        <w:t>Item 16. [Reserved]</w:t>
      </w:r>
    </w:p>
    <w:p>
      <w:pPr>
        <w:pStyle w:val="TextBody"/>
        <w:bidi w:val="0"/>
        <w:spacing w:lineRule="auto" w:line="300" w:before="0" w:after="0"/>
        <w:jc w:val="both"/>
        <w:rPr/>
      </w:pPr>
      <w:r>
        <w:rPr/>
        <w:t> </w:t>
      </w:r>
    </w:p>
    <w:p>
      <w:pPr>
        <w:pStyle w:val="TextBody"/>
        <w:bidi w:val="0"/>
        <w:spacing w:lineRule="auto" w:line="300" w:before="0" w:after="0"/>
        <w:jc w:val="both"/>
        <w:rPr>
          <w:b/>
          <w:sz w:val="20"/>
        </w:rPr>
      </w:pPr>
      <w:bookmarkStart w:id="313" w:name="Item16A"/>
      <w:bookmarkEnd w:id="313"/>
      <w:r>
        <w:rPr>
          <w:b/>
          <w:sz w:val="20"/>
        </w:rPr>
        <w:t>Item 16A. Audit Committee Financial Expert</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Our board of directors has determined that each of Ron Gutler, Michele Bettencourt and Roy Saar is an audit committee financial expert as defined by the SEC rules and has the requisite financial experience as defined by Nasdaq corporate governance rules.</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490"/>
        <w:jc w:val="both"/>
        <w:rPr>
          <w:sz w:val="20"/>
        </w:rPr>
      </w:pPr>
      <w:r>
        <w:rPr>
          <w:sz w:val="20"/>
        </w:rPr>
        <w:t>Our board of directors has determined that each member of our audit committee is “independent” as such term is defined under the Nasdaq corporate governance rules and under Rule 10A-3(b)(1) under the Exchange Act, which is different from the general test for independence of board and committee members.</w:t>
      </w:r>
    </w:p>
    <w:p>
      <w:pPr>
        <w:pStyle w:val="TextBody"/>
        <w:bidi w:val="0"/>
        <w:spacing w:lineRule="auto" w:line="300" w:before="0" w:after="0"/>
        <w:jc w:val="left"/>
        <w:rPr/>
      </w:pPr>
      <w:r>
        <w:rPr/>
      </w:r>
    </w:p>
    <w:p>
      <w:pPr>
        <w:pStyle w:val="TextBody"/>
        <w:bidi w:val="0"/>
        <w:spacing w:lineRule="auto" w:line="300" w:before="0" w:after="0"/>
        <w:jc w:val="both"/>
        <w:rPr>
          <w:b/>
          <w:sz w:val="20"/>
        </w:rPr>
      </w:pPr>
      <w:bookmarkStart w:id="314" w:name="Item16B"/>
      <w:bookmarkEnd w:id="314"/>
      <w:r>
        <w:rPr>
          <w:b/>
          <w:sz w:val="20"/>
        </w:rPr>
        <w:t>Item 16B. Code of Ethics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have adopted a Code of Ethics and Conduct that applies to all our employees, officers and directors, including our principal executive, principal financial and principal accounting officers. Our Code of Ethics and Conduct addresses, among other things, competition and fair dealing, gifts and entertainment, conflicts of interest, international business laws, financial matters and external reporting, company assets, confidentiality and corporate opportunity requirements and the process for reporting violations of the Code of Ethics and Conduct. Our Code of Ethics and Conduct is intended to meet the definition of “code of ethics” under Item 16B of 20-F under the Exchange Act.</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490"/>
        <w:jc w:val="both"/>
        <w:rPr>
          <w:sz w:val="20"/>
        </w:rPr>
      </w:pPr>
      <w:r>
        <w:rPr>
          <w:sz w:val="20"/>
        </w:rPr>
        <w:t xml:space="preserve">We will publicly disclose any amendment to, or waiver from, a provision of our Code of Ethics and Conduct that applies to our directors or executive officers to the extent required under the rules of the SEC or Nasdaq. Our Code of Ethics and Conduct is available on our website at </w:t>
      </w:r>
      <w:r>
        <w:rPr>
          <w:sz w:val="20"/>
          <w:u w:val="single"/>
        </w:rPr>
        <w:t>https://ir.walkme.com/corporate-governance/governance-overview</w:t>
      </w:r>
      <w:r>
        <w:rPr>
          <w:sz w:val="20"/>
        </w:rPr>
        <w:t>. The information contained on or through our website, or any other website referred to herein, is not incorporated by reference in this Annual Report.</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500"/>
        <w:jc w:val="both"/>
        <w:rPr>
          <w:sz w:val="20"/>
        </w:rPr>
      </w:pPr>
      <w:r>
        <w:rPr>
          <w:sz w:val="20"/>
        </w:rPr>
        <w:t>We granted no waivers under our Code of Ethics and Conduct in 2023.</w:t>
      </w:r>
    </w:p>
    <w:p>
      <w:pPr>
        <w:pStyle w:val="TextBody"/>
        <w:bidi w:val="0"/>
        <w:spacing w:lineRule="auto" w:line="300" w:before="0" w:after="0"/>
        <w:jc w:val="both"/>
        <w:rPr/>
      </w:pPr>
      <w:r>
        <w:rPr/>
        <w:t> </w:t>
      </w:r>
    </w:p>
    <w:p>
      <w:pPr>
        <w:pStyle w:val="TextBody"/>
        <w:bidi w:val="0"/>
        <w:spacing w:lineRule="auto" w:line="300" w:before="0" w:after="0"/>
        <w:jc w:val="both"/>
        <w:rPr>
          <w:b/>
          <w:sz w:val="20"/>
        </w:rPr>
      </w:pPr>
      <w:bookmarkStart w:id="315" w:name="Item16C"/>
      <w:bookmarkEnd w:id="315"/>
      <w:r>
        <w:rPr>
          <w:b/>
          <w:sz w:val="20"/>
        </w:rPr>
        <w:t>Item 16C. Principal Accountant Fees and Services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consolidated financial statements of WalkMe Ltd. as of December 31, 2022 and 2023, and for each of the three years in the period ended December 31, 2023, appearing in this Annual Report have been audited by Kost Forer Gabbay &amp; Kasierer, a member of Ernst &amp; Young Global, independent registered public accounting firm, as set forth in their report thereon appearing elsewhere herein, and are included in reliance upon such report given on the authority of such firm as experts in accounting and auditing. The current address of Kost Forer Gabbay &amp; Kasierer is 144 Menachem Begin Road, Building A, Tel Aviv 6492101, Israel.</w:t>
      </w:r>
    </w:p>
    <w:p>
      <w:pPr>
        <w:pStyle w:val="TextBody"/>
        <w:bidi w:val="0"/>
        <w:spacing w:lineRule="auto" w:line="300" w:before="0" w:after="0"/>
        <w:ind w:left="0" w:right="0" w:firstLine="49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106</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The table below sets out the total amount of services rendered to us by Kost Forer Gabbay &amp; Kasierer, a member of Ernst &amp; Young Global, for services performed in the years ended December 31, 2022 and 2023, and breaks down these amounts by category of service:</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316" w:name="z07fe429b468144278c2fb524e18d9074"/>
      <w:bookmarkStart w:id="317" w:name="z07fe429b468144278c2fb524e18d9074"/>
      <w:bookmarkEnd w:id="317"/>
    </w:p>
    <w:tbl>
      <w:tblPr>
        <w:tblW w:w="4643" w:type="dxa"/>
        <w:jc w:val="left"/>
        <w:tblInd w:w="0" w:type="dxa"/>
        <w:tblLayout w:type="fixed"/>
        <w:tblCellMar>
          <w:top w:w="0" w:type="dxa"/>
          <w:left w:w="0" w:type="dxa"/>
          <w:bottom w:w="0" w:type="dxa"/>
          <w:right w:w="0" w:type="dxa"/>
        </w:tblCellMar>
      </w:tblPr>
      <w:tblGrid>
        <w:gridCol w:w="1850"/>
        <w:gridCol w:w="60"/>
        <w:gridCol w:w="321"/>
        <w:gridCol w:w="871"/>
        <w:gridCol w:w="137"/>
        <w:gridCol w:w="137"/>
        <w:gridCol w:w="321"/>
        <w:gridCol w:w="871"/>
        <w:gridCol w:w="75"/>
      </w:tblGrid>
      <w:tr>
        <w:trPr/>
        <w:tc>
          <w:tcPr>
            <w:tcW w:w="1850"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before="0" w:after="283"/>
              <w:jc w:val="left"/>
              <w:rPr/>
            </w:pPr>
            <w:r>
              <w:rPr/>
              <w:t> </w:t>
            </w:r>
          </w:p>
        </w:tc>
        <w:tc>
          <w:tcPr>
            <w:tcW w:w="2658"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before="0" w:after="283"/>
              <w:jc w:val="left"/>
              <w:rPr/>
            </w:pPr>
            <w:r>
              <w:rPr/>
              <w:t> </w:t>
            </w:r>
          </w:p>
        </w:tc>
        <w:tc>
          <w:tcPr>
            <w:tcW w:w="1192"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92"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before="0" w:after="283"/>
              <w:jc w:val="left"/>
              <w:rPr/>
            </w:pPr>
            <w:r>
              <w:rPr/>
              <w:t> </w:t>
            </w:r>
          </w:p>
        </w:tc>
        <w:tc>
          <w:tcPr>
            <w:tcW w:w="2658" w:type="dxa"/>
            <w:gridSpan w:val="6"/>
            <w:tcBorders/>
            <w:vAlign w:val="center"/>
          </w:tcPr>
          <w:p>
            <w:pPr>
              <w:pStyle w:val="TableContents"/>
              <w:bidi w:val="0"/>
              <w:spacing w:lineRule="auto" w:line="300" w:before="0" w:after="0"/>
              <w:jc w:val="center"/>
              <w:rPr/>
            </w:pPr>
            <w:r>
              <w:rPr/>
              <w:t>(in thousands)</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jc w:val="both"/>
              <w:rPr/>
            </w:pPr>
            <w:r>
              <w:rPr/>
              <w:t>Audit Fees</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lineRule="auto" w:line="300" w:before="0" w:after="0"/>
              <w:jc w:val="left"/>
              <w:rPr/>
            </w:pPr>
            <w:r>
              <w:rPr/>
              <w:t>$</w:t>
            </w:r>
          </w:p>
        </w:tc>
        <w:tc>
          <w:tcPr>
            <w:tcW w:w="871" w:type="dxa"/>
            <w:tcBorders/>
            <w:shd w:fill="CCEEFF" w:val="clear"/>
            <w:vAlign w:val="center"/>
          </w:tcPr>
          <w:p>
            <w:pPr>
              <w:pStyle w:val="TableContents"/>
              <w:bidi w:val="0"/>
              <w:spacing w:lineRule="auto" w:line="300" w:before="0" w:after="0"/>
              <w:jc w:val="right"/>
              <w:rPr/>
            </w:pPr>
            <w:r>
              <w:rPr/>
              <w:t>500</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lineRule="auto" w:line="300" w:before="0" w:after="0"/>
              <w:jc w:val="left"/>
              <w:rPr/>
            </w:pPr>
            <w:r>
              <w:rPr/>
              <w:t>$</w:t>
            </w:r>
          </w:p>
        </w:tc>
        <w:tc>
          <w:tcPr>
            <w:tcW w:w="871" w:type="dxa"/>
            <w:tcBorders/>
            <w:shd w:fill="CCEEFF" w:val="clear"/>
            <w:vAlign w:val="center"/>
          </w:tcPr>
          <w:p>
            <w:pPr>
              <w:pStyle w:val="TableContents"/>
              <w:bidi w:val="0"/>
              <w:spacing w:lineRule="auto" w:line="300" w:before="0" w:after="0"/>
              <w:jc w:val="right"/>
              <w:rPr/>
            </w:pPr>
            <w:r>
              <w:rPr/>
              <w:t>500</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jc w:val="both"/>
              <w:rPr/>
            </w:pPr>
            <w:r>
              <w:rPr/>
              <w:t>Audit Related Fees</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lineRule="auto" w:line="300" w:before="0" w:after="0"/>
              <w:jc w:val="right"/>
              <w:rPr/>
            </w:pPr>
            <w:r>
              <w:rPr/>
              <w:t>-</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lineRule="auto" w:line="300" w:before="0" w:after="0"/>
              <w:jc w:val="right"/>
              <w:rPr/>
            </w:pPr>
            <w:r>
              <w:rPr/>
              <w:t>4</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jc w:val="both"/>
              <w:rPr/>
            </w:pPr>
            <w:r>
              <w:rPr/>
              <w:t>Tax Fees</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lineRule="auto" w:line="300" w:before="0" w:after="0"/>
              <w:jc w:val="right"/>
              <w:rPr/>
            </w:pPr>
            <w:r>
              <w:rPr/>
              <w:t>39</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lineRule="auto" w:line="300" w:before="0" w:after="0"/>
              <w:jc w:val="right"/>
              <w:rPr/>
            </w:pPr>
            <w:r>
              <w:rPr/>
              <w:t>76</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jc w:val="both"/>
              <w:rPr/>
            </w:pPr>
            <w:r>
              <w:rPr/>
              <w:t>Total</w:t>
            </w:r>
          </w:p>
        </w:tc>
        <w:tc>
          <w:tcPr>
            <w:tcW w:w="60" w:type="dxa"/>
            <w:tcBorders/>
            <w:vAlign w:val="center"/>
          </w:tcPr>
          <w:p>
            <w:pPr>
              <w:pStyle w:val="TableContents"/>
              <w:bidi w:val="0"/>
              <w:spacing w:before="0" w:after="283"/>
              <w:jc w:val="left"/>
              <w:rPr/>
            </w:pPr>
            <w:r>
              <w:rPr/>
              <w:t> </w:t>
            </w:r>
          </w:p>
        </w:tc>
        <w:tc>
          <w:tcPr>
            <w:tcW w:w="321" w:type="dxa"/>
            <w:tcBorders>
              <w:bottom w:val="single" w:sz="12" w:space="0" w:color="000000"/>
            </w:tcBorders>
            <w:tcMar>
              <w:bottom w:w="28" w:type="dxa"/>
            </w:tcMar>
            <w:vAlign w:val="center"/>
          </w:tcPr>
          <w:p>
            <w:pPr>
              <w:pStyle w:val="TableContents"/>
              <w:bidi w:val="0"/>
              <w:spacing w:lineRule="auto" w:line="300" w:before="0" w:after="0"/>
              <w:jc w:val="left"/>
              <w:rPr/>
            </w:pPr>
            <w:r>
              <w:rPr/>
              <w:t>$</w:t>
            </w:r>
          </w:p>
        </w:tc>
        <w:tc>
          <w:tcPr>
            <w:tcW w:w="871" w:type="dxa"/>
            <w:tcBorders>
              <w:bottom w:val="single" w:sz="12" w:space="0" w:color="000000"/>
            </w:tcBorders>
            <w:tcMar>
              <w:bottom w:w="28" w:type="dxa"/>
            </w:tcMar>
            <w:vAlign w:val="center"/>
          </w:tcPr>
          <w:p>
            <w:pPr>
              <w:pStyle w:val="TableContents"/>
              <w:bidi w:val="0"/>
              <w:spacing w:lineRule="auto" w:line="300" w:before="0" w:after="0"/>
              <w:jc w:val="right"/>
              <w:rPr/>
            </w:pPr>
            <w:r>
              <w:rPr/>
              <w:t>539</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21" w:type="dxa"/>
            <w:tcBorders>
              <w:bottom w:val="single" w:sz="12" w:space="0" w:color="000000"/>
            </w:tcBorders>
            <w:tcMar>
              <w:bottom w:w="28" w:type="dxa"/>
            </w:tcMar>
            <w:vAlign w:val="center"/>
          </w:tcPr>
          <w:p>
            <w:pPr>
              <w:pStyle w:val="TableContents"/>
              <w:bidi w:val="0"/>
              <w:spacing w:lineRule="auto" w:line="300" w:before="0" w:after="0"/>
              <w:jc w:val="left"/>
              <w:rPr/>
            </w:pPr>
            <w:r>
              <w:rPr/>
              <w:t>$</w:t>
            </w:r>
          </w:p>
        </w:tc>
        <w:tc>
          <w:tcPr>
            <w:tcW w:w="871" w:type="dxa"/>
            <w:tcBorders>
              <w:bottom w:val="single" w:sz="12" w:space="0" w:color="000000"/>
            </w:tcBorders>
            <w:tcMar>
              <w:bottom w:w="28" w:type="dxa"/>
            </w:tcMar>
            <w:vAlign w:val="center"/>
          </w:tcPr>
          <w:p>
            <w:pPr>
              <w:pStyle w:val="TableContents"/>
              <w:bidi w:val="0"/>
              <w:spacing w:lineRule="auto" w:line="300" w:before="0" w:after="0"/>
              <w:jc w:val="right"/>
              <w:rPr/>
            </w:pPr>
            <w:r>
              <w:rPr/>
              <w:t>580</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Audit Fees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Audit fees for the years ended December 31, 2023 and 2022 consisted of fees for professional services provided in connection with the audit of our annual consolidated financial statements and audit services that are normally provided by an independent registered public accounting firm in connection with statutory and regulatory filings or engagements for those years.</w:t>
      </w:r>
    </w:p>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Tax Fees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Tax fees for the years ended December 31, 2023 and 2022 refer to professional services rendered by our auditors, which include ongoing tax advisory, tax compliance and tax consulting associated with transfer pricing.</w:t>
      </w:r>
    </w:p>
    <w:p>
      <w:pPr>
        <w:pStyle w:val="TextBody"/>
        <w:bidi w:val="0"/>
        <w:spacing w:lineRule="auto" w:line="300" w:before="0" w:after="0"/>
        <w:jc w:val="both"/>
        <w:rPr/>
      </w:pPr>
      <w:r>
        <w:rPr/>
        <w:t> </w:t>
      </w:r>
    </w:p>
    <w:p>
      <w:pPr>
        <w:pStyle w:val="TextBody"/>
        <w:bidi w:val="0"/>
        <w:spacing w:lineRule="auto" w:line="300" w:before="0" w:after="0"/>
        <w:jc w:val="both"/>
        <w:rPr>
          <w:b/>
          <w:sz w:val="20"/>
        </w:rPr>
      </w:pPr>
      <w:r>
        <w:rPr>
          <w:b/>
          <w:sz w:val="20"/>
        </w:rPr>
        <w:t>Pre-Approval Policies and Procedures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advance approval of the Audit Committee or members thereof, to whom approval authority has been delegated, is required for all audit and non-audit services provided by our auditors.</w:t>
      </w:r>
    </w:p>
    <w:p>
      <w:pPr>
        <w:pStyle w:val="TextBody"/>
        <w:bidi w:val="0"/>
        <w:spacing w:lineRule="auto" w:line="300" w:before="0" w:after="0"/>
        <w:ind w:left="0" w:right="0" w:firstLine="490"/>
        <w:jc w:val="both"/>
        <w:rPr/>
      </w:pPr>
      <w:r>
        <w:rPr/>
        <w:t> </w:t>
      </w:r>
    </w:p>
    <w:p>
      <w:pPr>
        <w:pStyle w:val="TextBody"/>
        <w:bidi w:val="0"/>
        <w:spacing w:lineRule="auto" w:line="300" w:before="0" w:after="0"/>
        <w:ind w:left="0" w:right="0" w:firstLine="490"/>
        <w:jc w:val="both"/>
        <w:rPr>
          <w:sz w:val="20"/>
        </w:rPr>
      </w:pPr>
      <w:r>
        <w:rPr>
          <w:sz w:val="20"/>
        </w:rPr>
        <w:t>All services provided by our auditors are approved in advance by either the Audit Committee or members thereof, to whom authority has been delegated, in accordance with the Audit Committee’s pre-approval policy.</w:t>
      </w:r>
    </w:p>
    <w:p>
      <w:pPr>
        <w:pStyle w:val="TextBody"/>
        <w:bidi w:val="0"/>
        <w:spacing w:lineRule="auto" w:line="300" w:before="0" w:after="0"/>
        <w:jc w:val="both"/>
        <w:rPr/>
      </w:pPr>
      <w:r>
        <w:rPr/>
        <w:t> </w:t>
      </w:r>
    </w:p>
    <w:p>
      <w:pPr>
        <w:pStyle w:val="TextBody"/>
        <w:bidi w:val="0"/>
        <w:spacing w:lineRule="auto" w:line="300" w:before="0" w:after="0"/>
        <w:jc w:val="both"/>
        <w:rPr>
          <w:b/>
          <w:sz w:val="20"/>
        </w:rPr>
      </w:pPr>
      <w:bookmarkStart w:id="318" w:name="Item16D"/>
      <w:bookmarkEnd w:id="318"/>
      <w:r>
        <w:rPr>
          <w:b/>
          <w:sz w:val="20"/>
        </w:rPr>
        <w:t>Item 16D. Exemptions from the Listing Standards for Audit Committees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Not applicable.</w:t>
      </w:r>
    </w:p>
    <w:p>
      <w:pPr>
        <w:pStyle w:val="TextBody"/>
        <w:bidi w:val="0"/>
        <w:spacing w:lineRule="auto" w:line="300" w:before="0" w:after="0"/>
        <w:jc w:val="both"/>
        <w:rPr/>
      </w:pPr>
      <w:r>
        <w:rPr/>
        <w:t> </w:t>
      </w:r>
    </w:p>
    <w:p>
      <w:pPr>
        <w:pStyle w:val="TextBody"/>
        <w:bidi w:val="0"/>
        <w:spacing w:lineRule="auto" w:line="300" w:before="0" w:after="0"/>
        <w:jc w:val="both"/>
        <w:rPr>
          <w:b/>
          <w:sz w:val="20"/>
        </w:rPr>
      </w:pPr>
      <w:bookmarkStart w:id="319" w:name="Item16E"/>
      <w:bookmarkEnd w:id="319"/>
      <w:r>
        <w:rPr>
          <w:b/>
          <w:sz w:val="20"/>
        </w:rPr>
        <w:t>Item 16E. Purchases of Equity Securities by the Issuer and Affiliated Purchasers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None.</w:t>
      </w:r>
    </w:p>
    <w:p>
      <w:pPr>
        <w:pStyle w:val="TextBody"/>
        <w:bidi w:val="0"/>
        <w:spacing w:lineRule="auto" w:line="300" w:before="0" w:after="0"/>
        <w:jc w:val="both"/>
        <w:rPr/>
      </w:pPr>
      <w:r>
        <w:rPr/>
        <w:t> </w:t>
      </w:r>
    </w:p>
    <w:p>
      <w:pPr>
        <w:pStyle w:val="TextBody"/>
        <w:bidi w:val="0"/>
        <w:spacing w:lineRule="auto" w:line="300" w:before="0" w:after="0"/>
        <w:jc w:val="both"/>
        <w:rPr>
          <w:b/>
          <w:sz w:val="20"/>
        </w:rPr>
      </w:pPr>
      <w:bookmarkStart w:id="320" w:name="Item16F"/>
      <w:bookmarkEnd w:id="320"/>
      <w:r>
        <w:rPr>
          <w:b/>
          <w:sz w:val="20"/>
        </w:rPr>
        <w:t>Item 16F. Change in Registrant’s Certifying Accountant</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None.</w:t>
      </w:r>
    </w:p>
    <w:p>
      <w:pPr>
        <w:pStyle w:val="TextBody"/>
        <w:bidi w:val="0"/>
        <w:spacing w:lineRule="auto" w:line="300" w:before="0" w:after="0"/>
        <w:jc w:val="left"/>
        <w:rPr/>
      </w:pPr>
      <w:r>
        <w:rPr/>
      </w:r>
    </w:p>
    <w:p>
      <w:pPr>
        <w:pStyle w:val="TextBody"/>
        <w:bidi w:val="0"/>
        <w:spacing w:lineRule="auto" w:line="300" w:before="0" w:after="0"/>
        <w:jc w:val="both"/>
        <w:rPr>
          <w:b/>
          <w:sz w:val="20"/>
        </w:rPr>
      </w:pPr>
      <w:bookmarkStart w:id="321" w:name="Item16G"/>
      <w:bookmarkEnd w:id="321"/>
      <w:r>
        <w:rPr>
          <w:b/>
          <w:sz w:val="20"/>
        </w:rPr>
        <w:t>Item 16G. Corporate Governance</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are a “foreign private issuer” (as such term is defined in Rule 3b-4 under the Exchange Act) and our ordinary shares are listed on the Nasdaq Global Select Market. Under the Listing Rules of the Nasdaq Stock Market, listed companies that are foreign private issuers are permitted to follow home country practice in lieu of the corporate governance provisions specified by the Listing Rules of the Nasdaq Stock Market with limited exceptions. We rely on this “home country practice exemption” with respect to the quorum requirement for shareholder meetings. Whereas under the Listing Rules of the Nasdaq Stock Market, a quorum requires the presence, in person or by proxy, of holders of at least 331/3% of the total issued outstanding voting power of our shares at each general meeting of shareholders, pursuant to our Articles of Association, and as permitted under the Companies Law, the quorum required for a general meeting of shareholders consists of at least two shareholders present in person or by proxy in accordance with the Companies Law, who hold or represent at least 331/3% of the total outstanding voting power of our shares, except if (i) any such general meeting of shareholders was initiated by and convened pursuant to a resolution adopted by the board of directors and (ii) at the time of such general meeting, we qualify to use the forms and rules of a “foreign private issuer,” the requisite quorum will consist of two or more shareholders present in person or by proxy who hold or represent at least 25% of the total outstanding voting power of our shares (and if the meeting is adjourned for a lack of quorum, the quorum for such adjourned meeting will be, subject to certain exceptions, any number of shareholders).</w:t>
      </w:r>
    </w:p>
    <w:p>
      <w:pPr>
        <w:pStyle w:val="TextBody"/>
        <w:bidi w:val="0"/>
        <w:spacing w:lineRule="auto" w:line="300" w:before="0" w:after="0"/>
        <w:jc w:val="both"/>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107</w:t>
      </w:r>
    </w:p>
    <w:p>
      <w:pPr>
        <w:pStyle w:val="HorizontalLine"/>
        <w:bidi w:val="0"/>
        <w:spacing w:before="200" w:after="200"/>
        <w:jc w:val="left"/>
        <w:rPr/>
      </w:pPr>
      <w:r>
        <w:rPr/>
      </w:r>
    </w:p>
    <w:p>
      <w:pPr>
        <w:pStyle w:val="TextBody"/>
        <w:bidi w:val="0"/>
        <w:spacing w:lineRule="auto" w:line="300" w:before="0" w:after="0"/>
        <w:ind w:left="0" w:right="0" w:firstLine="490"/>
        <w:jc w:val="both"/>
        <w:rPr>
          <w:sz w:val="20"/>
        </w:rPr>
      </w:pPr>
      <w:r>
        <w:rPr>
          <w:sz w:val="20"/>
        </w:rPr>
        <w:t>We otherwise comply with and intend to continue to comply with the rules generally applicable to U.S. domestic companies listed on the Nasdaq Global Select Market. We may in the future, however, decide to use other foreign private issuer exemptions with respect to some or all of the Listing Rules of the Nasdaq Stock Market. Following our home country governance practices may provide less protection than is accorded to investors under the Listing Rules of the Nasdaq Stock Market applicable to domestic issuers.</w:t>
      </w:r>
    </w:p>
    <w:p>
      <w:pPr>
        <w:pStyle w:val="TextBody"/>
        <w:bidi w:val="0"/>
        <w:spacing w:lineRule="auto" w:line="300" w:before="0" w:after="0"/>
        <w:jc w:val="both"/>
        <w:rPr/>
      </w:pPr>
      <w:r>
        <w:rPr/>
        <w:t> </w:t>
      </w:r>
    </w:p>
    <w:p>
      <w:pPr>
        <w:pStyle w:val="TextBody"/>
        <w:bidi w:val="0"/>
        <w:spacing w:lineRule="auto" w:line="300" w:before="0" w:after="0"/>
        <w:jc w:val="both"/>
        <w:rPr>
          <w:b/>
          <w:sz w:val="20"/>
        </w:rPr>
      </w:pPr>
      <w:bookmarkStart w:id="322" w:name="Item16H"/>
      <w:bookmarkEnd w:id="322"/>
      <w:r>
        <w:rPr>
          <w:b/>
          <w:sz w:val="20"/>
        </w:rPr>
        <w:t>Item 16H. Mine Safety Disclosure</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Not applicable.</w:t>
      </w:r>
    </w:p>
    <w:p>
      <w:pPr>
        <w:pStyle w:val="TextBody"/>
        <w:bidi w:val="0"/>
        <w:spacing w:lineRule="auto" w:line="300" w:before="0" w:after="0"/>
        <w:jc w:val="both"/>
        <w:rPr/>
      </w:pPr>
      <w:r>
        <w:rPr/>
        <w:t> </w:t>
      </w:r>
    </w:p>
    <w:p>
      <w:pPr>
        <w:pStyle w:val="TextBody"/>
        <w:bidi w:val="0"/>
        <w:spacing w:lineRule="auto" w:line="300" w:before="0" w:after="0"/>
        <w:jc w:val="both"/>
        <w:rPr>
          <w:b/>
          <w:sz w:val="20"/>
        </w:rPr>
      </w:pPr>
      <w:bookmarkStart w:id="323" w:name="Item16I"/>
      <w:bookmarkEnd w:id="323"/>
      <w:r>
        <w:rPr>
          <w:b/>
          <w:sz w:val="20"/>
        </w:rPr>
        <w:t>Item 16I. Disclosure Regarding Foreign Jurisdictions that Prevent Inspections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Not applicable.</w:t>
      </w:r>
    </w:p>
    <w:p>
      <w:pPr>
        <w:pStyle w:val="TextBody"/>
        <w:bidi w:val="0"/>
        <w:spacing w:lineRule="auto" w:line="300" w:before="0" w:after="0"/>
        <w:jc w:val="both"/>
        <w:rPr/>
      </w:pPr>
      <w:r>
        <w:rPr/>
        <w:t> </w:t>
      </w:r>
    </w:p>
    <w:p>
      <w:pPr>
        <w:pStyle w:val="TextBody"/>
        <w:bidi w:val="0"/>
        <w:spacing w:lineRule="auto" w:line="300" w:before="0" w:after="0"/>
        <w:jc w:val="both"/>
        <w:rPr>
          <w:b/>
          <w:sz w:val="20"/>
        </w:rPr>
      </w:pPr>
      <w:bookmarkStart w:id="324" w:name="Item16J"/>
      <w:bookmarkEnd w:id="324"/>
      <w:r>
        <w:rPr>
          <w:b/>
          <w:sz w:val="20"/>
        </w:rPr>
        <w:t>Item 16J. Insider Trading Policies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Not applicable.</w:t>
      </w:r>
    </w:p>
    <w:p>
      <w:pPr>
        <w:pStyle w:val="TextBody"/>
        <w:bidi w:val="0"/>
        <w:spacing w:lineRule="auto" w:line="300" w:before="0" w:after="0"/>
        <w:jc w:val="left"/>
        <w:rPr/>
      </w:pPr>
      <w:r>
        <w:rPr/>
      </w:r>
    </w:p>
    <w:p>
      <w:pPr>
        <w:pStyle w:val="TextBody"/>
        <w:bidi w:val="0"/>
        <w:spacing w:lineRule="auto" w:line="300" w:before="0" w:after="0"/>
        <w:jc w:val="both"/>
        <w:rPr>
          <w:b/>
          <w:sz w:val="20"/>
        </w:rPr>
      </w:pPr>
      <w:bookmarkStart w:id="325" w:name="Item16K"/>
      <w:bookmarkEnd w:id="325"/>
      <w:r>
        <w:rPr>
          <w:b/>
          <w:sz w:val="20"/>
        </w:rPr>
        <w:t>Item 16K. Cybersecurity</w:t>
      </w:r>
    </w:p>
    <w:p>
      <w:pPr>
        <w:pStyle w:val="TextBody"/>
        <w:bidi w:val="0"/>
        <w:spacing w:lineRule="auto" w:line="300" w:before="0" w:after="0"/>
        <w:jc w:val="left"/>
        <w:rPr/>
      </w:pPr>
      <w:r>
        <w:rPr/>
      </w:r>
    </w:p>
    <w:p>
      <w:pPr>
        <w:pStyle w:val="TextBody"/>
        <w:bidi w:val="0"/>
        <w:spacing w:lineRule="auto" w:line="300" w:before="0" w:after="0"/>
        <w:ind w:left="0" w:right="0" w:firstLine="500"/>
        <w:jc w:val="both"/>
        <w:rPr>
          <w:rFonts w:ascii="Times New Roman;Times;serif" w:hAnsi="Times New Roman;Times;serif"/>
          <w:i/>
          <w:sz w:val="20"/>
          <w:u w:val="single"/>
        </w:rPr>
      </w:pPr>
      <w:r>
        <w:rPr>
          <w:rFonts w:ascii="Times New Roman;Times;serif" w:hAnsi="Times New Roman;Times;serif"/>
          <w:i/>
          <w:sz w:val="20"/>
          <w:u w:val="single"/>
        </w:rPr>
        <w:t>Cybersecurity Risk Management and Strategy</w:t>
      </w:r>
    </w:p>
    <w:p>
      <w:pPr>
        <w:pStyle w:val="TextBody"/>
        <w:bidi w:val="0"/>
        <w:spacing w:lineRule="auto" w:line="300" w:before="0" w:after="0"/>
        <w:ind w:left="0" w:right="0" w:firstLine="720"/>
        <w:jc w:val="both"/>
        <w:rPr>
          <w:i/>
          <w:u w:val="single"/>
        </w:rPr>
      </w:pPr>
      <w:r>
        <w:rPr>
          <w:i/>
          <w:u w:val="single"/>
        </w:rPr>
      </w:r>
    </w:p>
    <w:p>
      <w:pPr>
        <w:pStyle w:val="TextBody"/>
        <w:bidi w:val="0"/>
        <w:spacing w:lineRule="auto" w:line="300" w:before="0" w:after="0"/>
        <w:ind w:left="0" w:right="0" w:firstLine="500"/>
        <w:jc w:val="both"/>
        <w:rPr>
          <w:sz w:val="20"/>
        </w:rPr>
      </w:pPr>
      <w:r>
        <w:rPr>
          <w:sz w:val="20"/>
        </w:rPr>
        <w:t>We have developed and implemented a cybersecurity risk management program intended to protect the confidentiality, integrity, and availability of our critical systems and information.</w:t>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500"/>
        <w:jc w:val="both"/>
        <w:rPr>
          <w:sz w:val="20"/>
        </w:rPr>
      </w:pPr>
      <w:r>
        <w:rPr>
          <w:sz w:val="20"/>
        </w:rPr>
        <w:t>As part of our risk management program, we reference various security industry frameworks and other guidance to help us assess, identify and manage cybersecurity risks.</w:t>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500"/>
        <w:jc w:val="both"/>
        <w:rPr>
          <w:sz w:val="20"/>
        </w:rPr>
      </w:pPr>
      <w:r>
        <w:rPr>
          <w:sz w:val="20"/>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500"/>
        <w:jc w:val="both"/>
        <w:rPr>
          <w:sz w:val="20"/>
        </w:rPr>
      </w:pPr>
      <w:r>
        <w:rPr>
          <w:sz w:val="20"/>
        </w:rPr>
        <w:t>Key elements of our cybersecurity risk management program include but are not limited to the following:</w:t>
      </w:r>
    </w:p>
    <w:p>
      <w:pPr>
        <w:pStyle w:val="TextBody"/>
        <w:bidi w:val="0"/>
        <w:spacing w:lineRule="auto" w:line="300" w:before="0" w:after="0"/>
        <w:ind w:left="0" w:right="0" w:firstLine="720"/>
        <w:jc w:val="both"/>
        <w:rPr/>
      </w:pPr>
      <w:r>
        <w:rPr/>
      </w:r>
    </w:p>
    <w:p>
      <w:pPr>
        <w:pStyle w:val="Normal"/>
        <w:bidi w:val="0"/>
        <w:spacing w:before="0" w:after="0"/>
        <w:jc w:val="left"/>
        <w:rPr>
          <w:sz w:val="4"/>
          <w:szCs w:val="4"/>
        </w:rPr>
      </w:pPr>
      <w:r>
        <w:rPr>
          <w:sz w:val="4"/>
          <w:szCs w:val="4"/>
        </w:rPr>
      </w:r>
      <w:bookmarkStart w:id="326" w:name="zf57504c0ec3f434083e58631a190217e"/>
      <w:bookmarkStart w:id="327" w:name="zf57504c0ec3f434083e58631a190217e"/>
      <w:bookmarkEnd w:id="32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risk assessments designed to help identify material cybersecurity risks to our critical systems, information, products, services, and our broader enterprise IT environment;</w:t>
            </w:r>
          </w:p>
        </w:tc>
      </w:tr>
    </w:tbl>
    <w:p>
      <w:pPr>
        <w:pStyle w:val="Normal"/>
        <w:bidi w:val="0"/>
        <w:spacing w:before="0" w:after="0"/>
        <w:jc w:val="left"/>
        <w:rPr>
          <w:sz w:val="4"/>
          <w:szCs w:val="4"/>
        </w:rPr>
      </w:pPr>
      <w:r>
        <w:rPr>
          <w:sz w:val="4"/>
          <w:szCs w:val="4"/>
        </w:rPr>
      </w:r>
      <w:bookmarkStart w:id="328" w:name="ze9f5d441d4fb423095a72843479b8ef3"/>
      <w:bookmarkStart w:id="329" w:name="ze9f5d441d4fb423095a72843479b8ef3"/>
      <w:bookmarkEnd w:id="32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 security team principally responsible for managing (1) our cybersecurity risk assessment processes, (2) our security controls, and (3) our response to cybersecurity incidents;</w:t>
            </w:r>
          </w:p>
        </w:tc>
      </w:tr>
    </w:tbl>
    <w:p>
      <w:pPr>
        <w:pStyle w:val="Normal"/>
        <w:bidi w:val="0"/>
        <w:spacing w:before="0" w:after="0"/>
        <w:jc w:val="left"/>
        <w:rPr>
          <w:sz w:val="4"/>
          <w:szCs w:val="4"/>
        </w:rPr>
      </w:pPr>
      <w:r>
        <w:rPr>
          <w:sz w:val="4"/>
          <w:szCs w:val="4"/>
        </w:rPr>
      </w:r>
      <w:bookmarkStart w:id="330" w:name="zf6308cf84f1e4f09abe03a1dff795bdb"/>
      <w:bookmarkStart w:id="331" w:name="zf6308cf84f1e4f09abe03a1dff795bdb"/>
      <w:bookmarkEnd w:id="331"/>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use of external service providers, where appropriate, to assess, test or otherwise assist with aspects of our security processes;</w:t>
            </w:r>
          </w:p>
        </w:tc>
      </w:tr>
    </w:tbl>
    <w:p>
      <w:pPr>
        <w:pStyle w:val="Normal"/>
        <w:bidi w:val="0"/>
        <w:spacing w:before="0" w:after="0"/>
        <w:jc w:val="left"/>
        <w:rPr>
          <w:sz w:val="4"/>
          <w:szCs w:val="4"/>
        </w:rPr>
      </w:pPr>
      <w:r>
        <w:rPr>
          <w:sz w:val="4"/>
          <w:szCs w:val="4"/>
        </w:rPr>
      </w:r>
      <w:bookmarkStart w:id="332" w:name="z1cc3b3f31a80446cb3cff783cb56576a"/>
      <w:bookmarkStart w:id="333" w:name="z1cc3b3f31a80446cb3cff783cb56576a"/>
      <w:bookmarkEnd w:id="333"/>
    </w:p>
    <w:tbl>
      <w:tblPr>
        <w:tblW w:w="10158" w:type="dxa"/>
        <w:jc w:val="left"/>
        <w:tblInd w:w="0" w:type="dxa"/>
        <w:tblLayout w:type="fixed"/>
        <w:tblCellMar>
          <w:top w:w="0" w:type="dxa"/>
          <w:left w:w="0" w:type="dxa"/>
          <w:bottom w:w="0" w:type="dxa"/>
          <w:right w:w="0" w:type="dxa"/>
        </w:tblCellMar>
      </w:tblPr>
      <w:tblGrid>
        <w:gridCol w:w="38"/>
        <w:gridCol w:w="170"/>
        <w:gridCol w:w="995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0"/>
              <w:jc w:val="both"/>
              <w:rPr/>
            </w:pPr>
            <w:r>
              <w:rPr/>
              <w:t>cybersecurity awareness training of our employees, incident response personnel, and senior management;</w:t>
            </w:r>
          </w:p>
        </w:tc>
      </w:tr>
    </w:tbl>
    <w:p>
      <w:pPr>
        <w:pStyle w:val="Normal"/>
        <w:bidi w:val="0"/>
        <w:spacing w:before="0" w:after="0"/>
        <w:jc w:val="left"/>
        <w:rPr>
          <w:sz w:val="4"/>
          <w:szCs w:val="4"/>
        </w:rPr>
      </w:pPr>
      <w:r>
        <w:rPr>
          <w:sz w:val="4"/>
          <w:szCs w:val="4"/>
        </w:rPr>
      </w:r>
      <w:bookmarkStart w:id="334" w:name="zbd22bfc5b0634798bb063a9db1b001dc"/>
      <w:bookmarkStart w:id="335" w:name="zbd22bfc5b0634798bb063a9db1b001dc"/>
      <w:bookmarkEnd w:id="33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 cybersecurity incident response plan that includes procedures for responding to cybersecurity incidents; and</w:t>
            </w:r>
          </w:p>
        </w:tc>
      </w:tr>
    </w:tbl>
    <w:p>
      <w:pPr>
        <w:pStyle w:val="Normal"/>
        <w:bidi w:val="0"/>
        <w:spacing w:before="0" w:after="0"/>
        <w:jc w:val="left"/>
        <w:rPr>
          <w:sz w:val="4"/>
          <w:szCs w:val="4"/>
        </w:rPr>
      </w:pPr>
      <w:r>
        <w:rPr>
          <w:sz w:val="4"/>
          <w:szCs w:val="4"/>
        </w:rPr>
      </w:r>
      <w:bookmarkStart w:id="336" w:name="ze1830976106b4dd39e231bfccf5a31b1"/>
      <w:bookmarkStart w:id="337" w:name="ze1830976106b4dd39e231bfccf5a31b1"/>
      <w:bookmarkEnd w:id="33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 third-party risk management process for service providers, suppliers, and vendors based on their criticality and risk profile.</w:t>
            </w:r>
          </w:p>
        </w:tc>
      </w:tr>
    </w:tbl>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500"/>
        <w:jc w:val="both"/>
        <w:rPr>
          <w:sz w:val="20"/>
        </w:rPr>
      </w:pPr>
      <w:r>
        <w:rPr>
          <w:sz w:val="20"/>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w:t>
      </w:r>
      <w:r>
        <w:rPr>
          <w:i/>
          <w:sz w:val="20"/>
        </w:rPr>
        <w:t>Risk Factors – If we or our third-party service providers experience a security breach or unauthorized parties otherwise obtain access to our customers’ data, our data or our platform, our solution may be perceived as not being secure, our reputation may be harmed, demand for our platform and products may be reduced, and we may incur significant liabilities”.</w:t>
      </w:r>
    </w:p>
    <w:p>
      <w:pPr>
        <w:pStyle w:val="TextBody"/>
        <w:bidi w:val="0"/>
        <w:spacing w:lineRule="auto" w:line="300" w:before="0" w:after="0"/>
        <w:ind w:left="0" w:right="0" w:firstLine="720"/>
        <w:jc w:val="both"/>
        <w:rPr>
          <w:i/>
        </w:rPr>
      </w:pPr>
      <w:r>
        <w:rPr>
          <w:i/>
        </w:rPr>
      </w:r>
    </w:p>
    <w:p>
      <w:pPr>
        <w:pStyle w:val="TextBody"/>
        <w:bidi w:val="0"/>
        <w:spacing w:before="200" w:after="200"/>
        <w:jc w:val="center"/>
        <w:rPr>
          <w:b w:val="false"/>
          <w:i w:val="false"/>
          <w:caps w:val="false"/>
          <w:smallCaps w:val="false"/>
          <w:sz w:val="20"/>
        </w:rPr>
      </w:pPr>
      <w:r>
        <w:rPr>
          <w:b w:val="false"/>
          <w:i w:val="false"/>
          <w:caps w:val="false"/>
          <w:smallCaps w:val="false"/>
          <w:sz w:val="20"/>
        </w:rPr>
        <w:t>108</w:t>
      </w:r>
    </w:p>
    <w:p>
      <w:pPr>
        <w:pStyle w:val="HorizontalLine"/>
        <w:bidi w:val="0"/>
        <w:spacing w:before="200" w:after="200"/>
        <w:jc w:val="left"/>
        <w:rPr/>
      </w:pPr>
      <w:r>
        <w:rPr/>
      </w:r>
    </w:p>
    <w:p>
      <w:pPr>
        <w:pStyle w:val="TextBody"/>
        <w:bidi w:val="0"/>
        <w:spacing w:lineRule="auto" w:line="300" w:before="0" w:after="0"/>
        <w:ind w:left="0" w:right="0" w:firstLine="500"/>
        <w:jc w:val="both"/>
        <w:rPr>
          <w:rFonts w:ascii="Times New Roman;Times;serif" w:hAnsi="Times New Roman;Times;serif"/>
          <w:i/>
          <w:sz w:val="20"/>
          <w:u w:val="single"/>
        </w:rPr>
      </w:pPr>
      <w:r>
        <w:rPr>
          <w:rFonts w:ascii="Times New Roman;Times;serif" w:hAnsi="Times New Roman;Times;serif"/>
          <w:i/>
          <w:sz w:val="20"/>
          <w:u w:val="single"/>
        </w:rPr>
        <w:t>Cybersecurity Governance</w:t>
      </w:r>
    </w:p>
    <w:p>
      <w:pPr>
        <w:pStyle w:val="TextBody"/>
        <w:bidi w:val="0"/>
        <w:spacing w:lineRule="auto" w:line="300" w:before="0" w:after="0"/>
        <w:ind w:left="0" w:right="0" w:firstLine="720"/>
        <w:jc w:val="both"/>
        <w:rPr>
          <w:i/>
          <w:u w:val="single"/>
        </w:rPr>
      </w:pPr>
      <w:r>
        <w:rPr>
          <w:i/>
          <w:u w:val="single"/>
        </w:rPr>
      </w:r>
    </w:p>
    <w:p>
      <w:pPr>
        <w:pStyle w:val="TextBody"/>
        <w:bidi w:val="0"/>
        <w:spacing w:lineRule="auto" w:line="300" w:before="0" w:after="0"/>
        <w:ind w:left="0" w:right="0" w:firstLine="500"/>
        <w:jc w:val="both"/>
        <w:rPr>
          <w:sz w:val="20"/>
        </w:rPr>
      </w:pPr>
      <w:r>
        <w:rPr>
          <w:sz w:val="20"/>
        </w:rPr>
        <w:t>Our Board considers cybersecurity risk as part of its risk oversight function and has delegated to the Audit Committee oversight of cybersecurity and other information technology risks. The Audit Committee oversees management’s implementation of our cybersecurity risk management program.</w:t>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500"/>
        <w:jc w:val="both"/>
        <w:rPr>
          <w:sz w:val="20"/>
        </w:rPr>
      </w:pPr>
      <w:r>
        <w:rPr>
          <w:sz w:val="20"/>
        </w:rPr>
        <w:t>The Committee receives regular reports from management, including from our Chief Information Security Officer, or CISO, on our cybersecurity risks. In addition, management updates the Committee, as necessary, regarding any significant cybersecurity incidents. The Committee reports to the full Board regarding its activities, including those related to cybersecurity. The full Board also receives briefings from management on our cyber risk management program.</w:t>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500"/>
        <w:jc w:val="both"/>
        <w:rPr>
          <w:sz w:val="20"/>
        </w:rPr>
      </w:pPr>
      <w:r>
        <w:rPr>
          <w:sz w:val="20"/>
        </w:rPr>
        <w:t>Our management team, including our CISO,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w:t>
      </w:r>
    </w:p>
    <w:p>
      <w:pPr>
        <w:pStyle w:val="TextBody"/>
        <w:bidi w:val="0"/>
        <w:spacing w:lineRule="auto" w:line="300" w:before="0" w:after="0"/>
        <w:ind w:left="0" w:right="0" w:firstLine="720"/>
        <w:jc w:val="both"/>
        <w:rPr/>
      </w:pPr>
      <w:r>
        <w:rPr/>
      </w:r>
    </w:p>
    <w:p>
      <w:pPr>
        <w:pStyle w:val="TextBody"/>
        <w:bidi w:val="0"/>
        <w:spacing w:lineRule="auto" w:line="300" w:before="0" w:after="0"/>
        <w:ind w:left="0" w:right="0" w:firstLine="500"/>
        <w:jc w:val="both"/>
        <w:rPr>
          <w:sz w:val="20"/>
        </w:rPr>
      </w:pPr>
      <w:r>
        <w:rPr>
          <w:sz w:val="20"/>
        </w:rPr>
        <w:t>Our management team stays informed about and monitors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pStyle w:val="TextBody"/>
        <w:bidi w:val="0"/>
        <w:spacing w:lineRule="auto" w:line="300" w:before="0" w:after="0"/>
        <w:jc w:val="left"/>
        <w:rPr/>
      </w:pPr>
      <w:r>
        <w:rPr/>
      </w:r>
    </w:p>
    <w:p>
      <w:pPr>
        <w:pStyle w:val="TextBody"/>
        <w:bidi w:val="0"/>
        <w:spacing w:lineRule="auto" w:line="300" w:before="0" w:after="0"/>
        <w:jc w:val="center"/>
        <w:rPr>
          <w:b/>
          <w:sz w:val="20"/>
        </w:rPr>
      </w:pPr>
      <w:bookmarkStart w:id="338" w:name="PARTIII"/>
      <w:bookmarkEnd w:id="338"/>
      <w:r>
        <w:rPr>
          <w:b/>
          <w:sz w:val="20"/>
        </w:rPr>
        <w:t>PART III</w:t>
      </w:r>
    </w:p>
    <w:p>
      <w:pPr>
        <w:pStyle w:val="TextBody"/>
        <w:bidi w:val="0"/>
        <w:spacing w:lineRule="auto" w:line="300" w:before="0" w:after="0"/>
        <w:jc w:val="both"/>
        <w:rPr/>
      </w:pPr>
      <w:r>
        <w:rPr/>
        <w:t> </w:t>
      </w:r>
    </w:p>
    <w:p>
      <w:pPr>
        <w:pStyle w:val="TextBody"/>
        <w:bidi w:val="0"/>
        <w:spacing w:lineRule="auto" w:line="300" w:before="0" w:after="0"/>
        <w:jc w:val="both"/>
        <w:rPr>
          <w:b/>
          <w:sz w:val="20"/>
        </w:rPr>
      </w:pPr>
      <w:bookmarkStart w:id="339" w:name="Item17"/>
      <w:bookmarkEnd w:id="339"/>
      <w:r>
        <w:rPr>
          <w:b/>
          <w:sz w:val="20"/>
        </w:rPr>
        <w:t>Item 17. Financial Statements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We have provided financial statements pursuant to Item 18.</w:t>
      </w:r>
    </w:p>
    <w:p>
      <w:pPr>
        <w:pStyle w:val="TextBody"/>
        <w:bidi w:val="0"/>
        <w:spacing w:lineRule="auto" w:line="300" w:before="0" w:after="0"/>
        <w:jc w:val="both"/>
        <w:rPr/>
      </w:pPr>
      <w:r>
        <w:rPr/>
        <w:t> </w:t>
      </w:r>
    </w:p>
    <w:p>
      <w:pPr>
        <w:pStyle w:val="TextBody"/>
        <w:bidi w:val="0"/>
        <w:spacing w:lineRule="auto" w:line="300" w:before="0" w:after="0"/>
        <w:jc w:val="both"/>
        <w:rPr>
          <w:b/>
          <w:sz w:val="20"/>
        </w:rPr>
      </w:pPr>
      <w:bookmarkStart w:id="340" w:name="Item18"/>
      <w:bookmarkEnd w:id="340"/>
      <w:r>
        <w:rPr>
          <w:b/>
          <w:sz w:val="20"/>
        </w:rPr>
        <w:t>Item 18. Financial Statements</w:t>
      </w:r>
    </w:p>
    <w:p>
      <w:pPr>
        <w:pStyle w:val="TextBody"/>
        <w:bidi w:val="0"/>
        <w:spacing w:lineRule="auto" w:line="300" w:before="0" w:after="0"/>
        <w:jc w:val="both"/>
        <w:rPr/>
      </w:pPr>
      <w:r>
        <w:rPr/>
        <w:t> </w:t>
      </w:r>
    </w:p>
    <w:p>
      <w:pPr>
        <w:pStyle w:val="TextBody"/>
        <w:bidi w:val="0"/>
        <w:spacing w:lineRule="auto" w:line="300" w:before="0" w:after="0"/>
        <w:ind w:left="0" w:right="0" w:firstLine="490"/>
        <w:jc w:val="both"/>
        <w:rPr>
          <w:sz w:val="20"/>
        </w:rPr>
      </w:pPr>
      <w:r>
        <w:rPr>
          <w:sz w:val="20"/>
        </w:rPr>
        <w:t>The audited consolidated financial statements as required under Item 18 are attached hereto starting on page F-1 of this Annual Report. The audit report of Kost Forer Gabbay &amp; Kasierer (a member of Ernst &amp; Young Global), an independent registered public accounting firm, is included herein preceding the audited consolidated financial statements.</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109</w:t>
      </w:r>
    </w:p>
    <w:p>
      <w:pPr>
        <w:pStyle w:val="HorizontalLine"/>
        <w:bidi w:val="0"/>
        <w:spacing w:before="200" w:after="200"/>
        <w:jc w:val="left"/>
        <w:rPr/>
      </w:pPr>
      <w:r>
        <w:rPr/>
      </w:r>
    </w:p>
    <w:p>
      <w:pPr>
        <w:pStyle w:val="TextBody"/>
        <w:bidi w:val="0"/>
        <w:spacing w:lineRule="auto" w:line="300" w:before="0" w:after="0"/>
        <w:jc w:val="both"/>
        <w:rPr>
          <w:b/>
          <w:sz w:val="20"/>
        </w:rPr>
      </w:pPr>
      <w:bookmarkStart w:id="341" w:name="Item19"/>
      <w:bookmarkEnd w:id="341"/>
      <w:r>
        <w:rPr>
          <w:b/>
          <w:sz w:val="20"/>
        </w:rPr>
        <w:t>Item 19. Exhibits</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342" w:name="z5a0ab3d05a0e4697ac9cfd48f6b04021"/>
      <w:bookmarkStart w:id="343" w:name="z5a0ab3d05a0e4697ac9cfd48f6b04021"/>
      <w:bookmarkEnd w:id="343"/>
    </w:p>
    <w:tbl>
      <w:tblPr>
        <w:tblW w:w="10205" w:type="dxa"/>
        <w:jc w:val="left"/>
        <w:tblInd w:w="0" w:type="dxa"/>
        <w:tblLayout w:type="fixed"/>
        <w:tblCellMar>
          <w:top w:w="0" w:type="dxa"/>
          <w:left w:w="0" w:type="dxa"/>
          <w:bottom w:w="0" w:type="dxa"/>
          <w:right w:w="0" w:type="dxa"/>
        </w:tblCellMar>
      </w:tblPr>
      <w:tblGrid>
        <w:gridCol w:w="877"/>
        <w:gridCol w:w="60"/>
        <w:gridCol w:w="4779"/>
        <w:gridCol w:w="60"/>
        <w:gridCol w:w="590"/>
        <w:gridCol w:w="60"/>
        <w:gridCol w:w="879"/>
        <w:gridCol w:w="62"/>
        <w:gridCol w:w="906"/>
        <w:gridCol w:w="60"/>
        <w:gridCol w:w="723"/>
        <w:gridCol w:w="60"/>
        <w:gridCol w:w="1089"/>
      </w:tblGrid>
      <w:tr>
        <w:trPr/>
        <w:tc>
          <w:tcPr>
            <w:tcW w:w="877"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4779"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590"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1847" w:type="dxa"/>
            <w:gridSpan w:val="3"/>
            <w:tcBorders>
              <w:bottom w:val="single" w:sz="12" w:space="0" w:color="000000"/>
            </w:tcBorders>
            <w:tcMar>
              <w:bottom w:w="28" w:type="dxa"/>
            </w:tcMar>
            <w:vAlign w:val="center"/>
          </w:tcPr>
          <w:p>
            <w:pPr>
              <w:pStyle w:val="TableContents"/>
              <w:bidi w:val="0"/>
              <w:spacing w:lineRule="auto" w:line="300" w:before="0" w:after="0"/>
              <w:jc w:val="center"/>
              <w:rPr>
                <w:b/>
              </w:rPr>
            </w:pPr>
            <w:r>
              <w:rPr>
                <w:b/>
              </w:rPr>
              <w:t>Incorporation by Reference</w:t>
            </w:r>
          </w:p>
        </w:tc>
        <w:tc>
          <w:tcPr>
            <w:tcW w:w="60" w:type="dxa"/>
            <w:tcBorders>
              <w:bottom w:val="single" w:sz="12" w:space="0" w:color="000000"/>
            </w:tcBorders>
            <w:tcMar>
              <w:bottom w:w="28" w:type="dxa"/>
            </w:tcMar>
            <w:vAlign w:val="center"/>
          </w:tcPr>
          <w:p>
            <w:pPr>
              <w:pStyle w:val="TableContents"/>
              <w:bidi w:val="0"/>
              <w:spacing w:lineRule="auto" w:line="300" w:before="0" w:after="0"/>
              <w:jc w:val="left"/>
              <w:rPr/>
            </w:pPr>
            <w:r>
              <w:rPr/>
              <w:t> </w:t>
            </w:r>
          </w:p>
        </w:tc>
        <w:tc>
          <w:tcPr>
            <w:tcW w:w="723"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1089" w:type="dxa"/>
            <w:tcBorders/>
            <w:vAlign w:val="center"/>
          </w:tcPr>
          <w:p>
            <w:pPr>
              <w:pStyle w:val="TableContents"/>
              <w:bidi w:val="0"/>
              <w:spacing w:lineRule="auto" w:line="300" w:before="0" w:after="0"/>
              <w:jc w:val="both"/>
              <w:rPr>
                <w:b/>
              </w:rPr>
            </w:pPr>
            <w:r>
              <w:rPr>
                <w:b/>
              </w:rPr>
              <w:t>Filed /</w:t>
            </w:r>
          </w:p>
        </w:tc>
      </w:tr>
      <w:tr>
        <w:trPr/>
        <w:tc>
          <w:tcPr>
            <w:tcW w:w="877" w:type="dxa"/>
            <w:tcBorders>
              <w:bottom w:val="single" w:sz="12" w:space="0" w:color="000000"/>
            </w:tcBorders>
            <w:tcMar>
              <w:bottom w:w="28" w:type="dxa"/>
            </w:tcMar>
            <w:vAlign w:val="center"/>
          </w:tcPr>
          <w:p>
            <w:pPr>
              <w:pStyle w:val="TableContents"/>
              <w:bidi w:val="0"/>
              <w:spacing w:lineRule="auto" w:line="300" w:before="0" w:after="0"/>
              <w:jc w:val="both"/>
              <w:rPr>
                <w:b/>
              </w:rPr>
            </w:pPr>
            <w:r>
              <w:rPr>
                <w:b/>
              </w:rPr>
              <w:t>Exhibit No.</w:t>
            </w:r>
          </w:p>
        </w:tc>
        <w:tc>
          <w:tcPr>
            <w:tcW w:w="60" w:type="dxa"/>
            <w:tcBorders/>
            <w:vAlign w:val="center"/>
          </w:tcPr>
          <w:p>
            <w:pPr>
              <w:pStyle w:val="TableContents"/>
              <w:bidi w:val="0"/>
              <w:spacing w:before="0" w:after="283"/>
              <w:jc w:val="left"/>
              <w:rPr/>
            </w:pPr>
            <w:r>
              <w:rPr/>
            </w:r>
          </w:p>
        </w:tc>
        <w:tc>
          <w:tcPr>
            <w:tcW w:w="4779" w:type="dxa"/>
            <w:tcBorders>
              <w:bottom w:val="single" w:sz="12" w:space="0" w:color="000000"/>
            </w:tcBorders>
            <w:tcMar>
              <w:bottom w:w="28" w:type="dxa"/>
            </w:tcMar>
            <w:vAlign w:val="center"/>
          </w:tcPr>
          <w:p>
            <w:pPr>
              <w:pStyle w:val="TableContents"/>
              <w:bidi w:val="0"/>
              <w:spacing w:lineRule="auto" w:line="300" w:before="0" w:after="0"/>
              <w:jc w:val="both"/>
              <w:rPr>
                <w:b/>
              </w:rPr>
            </w:pPr>
            <w:r>
              <w:rPr>
                <w:b/>
              </w:rPr>
              <w:t>Description</w:t>
            </w:r>
          </w:p>
        </w:tc>
        <w:tc>
          <w:tcPr>
            <w:tcW w:w="60" w:type="dxa"/>
            <w:tcBorders/>
            <w:vAlign w:val="center"/>
          </w:tcPr>
          <w:p>
            <w:pPr>
              <w:pStyle w:val="TableContents"/>
              <w:bidi w:val="0"/>
              <w:spacing w:lineRule="auto" w:line="300" w:before="0" w:after="0"/>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both"/>
              <w:rPr>
                <w:b/>
              </w:rPr>
            </w:pPr>
            <w:r>
              <w:rPr>
                <w:b/>
              </w:rPr>
              <w:t>Form</w:t>
            </w:r>
          </w:p>
        </w:tc>
        <w:tc>
          <w:tcPr>
            <w:tcW w:w="60" w:type="dxa"/>
            <w:tcBorders/>
            <w:vAlign w:val="center"/>
          </w:tcPr>
          <w:p>
            <w:pPr>
              <w:pStyle w:val="TableContents"/>
              <w:bidi w:val="0"/>
              <w:spacing w:lineRule="auto" w:line="300" w:before="0" w:after="0"/>
              <w:jc w:val="left"/>
              <w:rPr/>
            </w:pPr>
            <w:r>
              <w:rPr/>
              <w:t> </w:t>
            </w:r>
          </w:p>
        </w:tc>
        <w:tc>
          <w:tcPr>
            <w:tcW w:w="879" w:type="dxa"/>
            <w:tcBorders>
              <w:bottom w:val="single" w:sz="12" w:space="0" w:color="000000"/>
            </w:tcBorders>
            <w:tcMar>
              <w:bottom w:w="28" w:type="dxa"/>
            </w:tcMar>
            <w:vAlign w:val="center"/>
          </w:tcPr>
          <w:p>
            <w:pPr>
              <w:pStyle w:val="TableContents"/>
              <w:bidi w:val="0"/>
              <w:spacing w:lineRule="auto" w:line="300" w:before="0" w:after="0"/>
              <w:jc w:val="both"/>
              <w:rPr>
                <w:b/>
              </w:rPr>
            </w:pPr>
            <w:r>
              <w:rPr>
                <w:b/>
              </w:rPr>
              <w:t>File No.</w:t>
            </w:r>
          </w:p>
        </w:tc>
        <w:tc>
          <w:tcPr>
            <w:tcW w:w="62" w:type="dxa"/>
            <w:tcBorders/>
            <w:vAlign w:val="center"/>
          </w:tcPr>
          <w:p>
            <w:pPr>
              <w:pStyle w:val="TableContents"/>
              <w:bidi w:val="0"/>
              <w:spacing w:lineRule="auto" w:line="300" w:before="0" w:after="0"/>
              <w:jc w:val="left"/>
              <w:rPr/>
            </w:pPr>
            <w:r>
              <w:rPr/>
              <w:t> </w:t>
            </w:r>
          </w:p>
        </w:tc>
        <w:tc>
          <w:tcPr>
            <w:tcW w:w="906" w:type="dxa"/>
            <w:tcBorders>
              <w:bottom w:val="single" w:sz="12" w:space="0" w:color="000000"/>
            </w:tcBorders>
            <w:tcMar>
              <w:bottom w:w="28" w:type="dxa"/>
            </w:tcMar>
            <w:vAlign w:val="center"/>
          </w:tcPr>
          <w:p>
            <w:pPr>
              <w:pStyle w:val="TableContents"/>
              <w:bidi w:val="0"/>
              <w:spacing w:lineRule="auto" w:line="300" w:before="0" w:after="0"/>
              <w:jc w:val="both"/>
              <w:rPr>
                <w:b/>
              </w:rPr>
            </w:pPr>
            <w:r>
              <w:rPr>
                <w:b/>
              </w:rPr>
              <w:t>Exhibit No.</w:t>
            </w:r>
          </w:p>
        </w:tc>
        <w:tc>
          <w:tcPr>
            <w:tcW w:w="60" w:type="dxa"/>
            <w:tcBorders/>
            <w:vAlign w:val="center"/>
          </w:tcPr>
          <w:p>
            <w:pPr>
              <w:pStyle w:val="TableContents"/>
              <w:bidi w:val="0"/>
              <w:spacing w:lineRule="auto" w:line="300" w:before="0" w:after="0"/>
              <w:jc w:val="left"/>
              <w:rPr/>
            </w:pPr>
            <w:r>
              <w:rPr/>
              <w:t> </w:t>
            </w:r>
          </w:p>
        </w:tc>
        <w:tc>
          <w:tcPr>
            <w:tcW w:w="723" w:type="dxa"/>
            <w:tcBorders>
              <w:bottom w:val="single" w:sz="12" w:space="0" w:color="000000"/>
            </w:tcBorders>
            <w:tcMar>
              <w:bottom w:w="28" w:type="dxa"/>
            </w:tcMar>
            <w:vAlign w:val="center"/>
          </w:tcPr>
          <w:p>
            <w:pPr>
              <w:pStyle w:val="TableContents"/>
              <w:bidi w:val="0"/>
              <w:spacing w:lineRule="auto" w:line="300" w:before="0" w:after="0"/>
              <w:jc w:val="both"/>
              <w:rPr>
                <w:b/>
              </w:rPr>
            </w:pPr>
            <w:r>
              <w:rPr>
                <w:b/>
              </w:rPr>
              <w:t>Filing Date</w:t>
            </w:r>
          </w:p>
        </w:tc>
        <w:tc>
          <w:tcPr>
            <w:tcW w:w="60" w:type="dxa"/>
            <w:tcBorders/>
            <w:vAlign w:val="center"/>
          </w:tcPr>
          <w:p>
            <w:pPr>
              <w:pStyle w:val="TableContents"/>
              <w:bidi w:val="0"/>
              <w:spacing w:lineRule="auto" w:line="300" w:before="0" w:after="0"/>
              <w:jc w:val="left"/>
              <w:rPr/>
            </w:pPr>
            <w:r>
              <w:rPr/>
              <w:t> </w:t>
            </w:r>
          </w:p>
        </w:tc>
        <w:tc>
          <w:tcPr>
            <w:tcW w:w="1089" w:type="dxa"/>
            <w:tcBorders>
              <w:bottom w:val="single" w:sz="12" w:space="0" w:color="000000"/>
            </w:tcBorders>
            <w:tcMar>
              <w:bottom w:w="28" w:type="dxa"/>
            </w:tcMar>
            <w:vAlign w:val="center"/>
          </w:tcPr>
          <w:p>
            <w:pPr>
              <w:pStyle w:val="TableContents"/>
              <w:bidi w:val="0"/>
              <w:spacing w:lineRule="auto" w:line="300" w:before="0" w:after="0"/>
              <w:jc w:val="both"/>
              <w:rPr>
                <w:b/>
              </w:rPr>
            </w:pPr>
            <w:r>
              <w:rPr>
                <w:b/>
              </w:rPr>
              <w:t>Furnished</w:t>
            </w:r>
          </w:p>
        </w:tc>
      </w:tr>
      <w:tr>
        <w:trPr/>
        <w:tc>
          <w:tcPr>
            <w:tcW w:w="877" w:type="dxa"/>
            <w:tcBorders/>
            <w:vAlign w:val="center"/>
          </w:tcPr>
          <w:p>
            <w:pPr>
              <w:pStyle w:val="TableContents"/>
              <w:bidi w:val="0"/>
              <w:spacing w:lineRule="auto" w:line="300" w:before="0" w:after="0"/>
              <w:jc w:val="both"/>
              <w:rPr/>
            </w:pPr>
            <w:hyperlink r:id="rId29">
              <w:r>
                <w:rPr>
                  <w:rStyle w:val="InternetLink"/>
                </w:rPr>
                <w:t>1.1</w:t>
              </w:r>
            </w:hyperlink>
          </w:p>
        </w:tc>
        <w:tc>
          <w:tcPr>
            <w:tcW w:w="60" w:type="dxa"/>
            <w:tcBorders/>
            <w:vAlign w:val="center"/>
          </w:tcPr>
          <w:p>
            <w:pPr>
              <w:pStyle w:val="TableContents"/>
              <w:bidi w:val="0"/>
              <w:spacing w:before="0" w:after="283"/>
              <w:jc w:val="left"/>
              <w:rPr/>
            </w:pPr>
            <w:r>
              <w:rPr/>
            </w:r>
          </w:p>
        </w:tc>
        <w:tc>
          <w:tcPr>
            <w:tcW w:w="4779" w:type="dxa"/>
            <w:tcBorders/>
            <w:vAlign w:val="center"/>
          </w:tcPr>
          <w:p>
            <w:pPr>
              <w:pStyle w:val="TableContents"/>
              <w:bidi w:val="0"/>
              <w:spacing w:lineRule="auto" w:line="300" w:before="0" w:after="0"/>
              <w:jc w:val="both"/>
              <w:rPr/>
            </w:pPr>
            <w:hyperlink r:id="rId30">
              <w:r>
                <w:rPr>
                  <w:rStyle w:val="InternetLink"/>
                </w:rPr>
                <w:t>Amended and Restated Articles of Association of the Registrant.</w:t>
              </w:r>
            </w:hyperlink>
          </w:p>
        </w:tc>
        <w:tc>
          <w:tcPr>
            <w:tcW w:w="60" w:type="dxa"/>
            <w:tcBorders/>
            <w:vAlign w:val="center"/>
          </w:tcPr>
          <w:p>
            <w:pPr>
              <w:pStyle w:val="TableContents"/>
              <w:bidi w:val="0"/>
              <w:spacing w:lineRule="auto" w:line="300" w:before="0" w:after="0"/>
              <w:jc w:val="left"/>
              <w:rPr/>
            </w:pPr>
            <w:r>
              <w:rPr/>
              <w:t> </w:t>
            </w:r>
          </w:p>
        </w:tc>
        <w:tc>
          <w:tcPr>
            <w:tcW w:w="590" w:type="dxa"/>
            <w:tcBorders/>
            <w:vAlign w:val="center"/>
          </w:tcPr>
          <w:p>
            <w:pPr>
              <w:pStyle w:val="TableContents"/>
              <w:bidi w:val="0"/>
              <w:spacing w:lineRule="auto" w:line="300" w:before="0" w:after="0"/>
              <w:jc w:val="both"/>
              <w:rPr/>
            </w:pPr>
            <w:r>
              <w:rPr/>
              <w:t>20-F</w:t>
            </w:r>
          </w:p>
        </w:tc>
        <w:tc>
          <w:tcPr>
            <w:tcW w:w="60" w:type="dxa"/>
            <w:tcBorders/>
            <w:vAlign w:val="center"/>
          </w:tcPr>
          <w:p>
            <w:pPr>
              <w:pStyle w:val="TableContents"/>
              <w:bidi w:val="0"/>
              <w:spacing w:lineRule="auto" w:line="300" w:before="0" w:after="0"/>
              <w:jc w:val="left"/>
              <w:rPr/>
            </w:pPr>
            <w:r>
              <w:rPr/>
              <w:t> </w:t>
            </w:r>
          </w:p>
        </w:tc>
        <w:tc>
          <w:tcPr>
            <w:tcW w:w="879" w:type="dxa"/>
            <w:tcBorders/>
            <w:vAlign w:val="center"/>
          </w:tcPr>
          <w:p>
            <w:pPr>
              <w:pStyle w:val="TableContents"/>
              <w:bidi w:val="0"/>
              <w:spacing w:lineRule="auto" w:line="300" w:before="0" w:after="0"/>
              <w:jc w:val="both"/>
              <w:rPr/>
            </w:pPr>
            <w:r>
              <w:rPr/>
              <w:t>001-40490</w:t>
            </w:r>
          </w:p>
        </w:tc>
        <w:tc>
          <w:tcPr>
            <w:tcW w:w="62" w:type="dxa"/>
            <w:tcBorders/>
            <w:vAlign w:val="center"/>
          </w:tcPr>
          <w:p>
            <w:pPr>
              <w:pStyle w:val="TableContents"/>
              <w:bidi w:val="0"/>
              <w:spacing w:lineRule="auto" w:line="300" w:before="0" w:after="0"/>
              <w:jc w:val="left"/>
              <w:rPr/>
            </w:pPr>
            <w:r>
              <w:rPr/>
              <w:t> </w:t>
            </w:r>
          </w:p>
        </w:tc>
        <w:tc>
          <w:tcPr>
            <w:tcW w:w="906" w:type="dxa"/>
            <w:tcBorders/>
            <w:vAlign w:val="center"/>
          </w:tcPr>
          <w:p>
            <w:pPr>
              <w:pStyle w:val="TableContents"/>
              <w:bidi w:val="0"/>
              <w:spacing w:lineRule="auto" w:line="300" w:before="0" w:after="0"/>
              <w:jc w:val="both"/>
              <w:rPr/>
            </w:pPr>
            <w:r>
              <w:rPr/>
              <w:t>1.1</w:t>
            </w:r>
          </w:p>
        </w:tc>
        <w:tc>
          <w:tcPr>
            <w:tcW w:w="60" w:type="dxa"/>
            <w:tcBorders/>
            <w:vAlign w:val="center"/>
          </w:tcPr>
          <w:p>
            <w:pPr>
              <w:pStyle w:val="TableContents"/>
              <w:bidi w:val="0"/>
              <w:spacing w:lineRule="auto" w:line="300" w:before="0" w:after="0"/>
              <w:jc w:val="left"/>
              <w:rPr/>
            </w:pPr>
            <w:r>
              <w:rPr/>
              <w:t> </w:t>
            </w:r>
          </w:p>
        </w:tc>
        <w:tc>
          <w:tcPr>
            <w:tcW w:w="723" w:type="dxa"/>
            <w:tcBorders/>
            <w:vAlign w:val="center"/>
          </w:tcPr>
          <w:p>
            <w:pPr>
              <w:pStyle w:val="TableContents"/>
              <w:bidi w:val="0"/>
              <w:spacing w:lineRule="auto" w:line="300" w:before="0" w:after="0"/>
              <w:jc w:val="both"/>
              <w:rPr/>
            </w:pPr>
            <w:r>
              <w:rPr/>
              <w:t>3/24/2022 </w:t>
            </w:r>
          </w:p>
        </w:tc>
        <w:tc>
          <w:tcPr>
            <w:tcW w:w="60" w:type="dxa"/>
            <w:tcBorders/>
            <w:vAlign w:val="center"/>
          </w:tcPr>
          <w:p>
            <w:pPr>
              <w:pStyle w:val="TableContents"/>
              <w:bidi w:val="0"/>
              <w:spacing w:lineRule="auto" w:line="300" w:before="0" w:after="0"/>
              <w:jc w:val="left"/>
              <w:rPr/>
            </w:pPr>
            <w:r>
              <w:rPr/>
              <w:t> </w:t>
            </w:r>
          </w:p>
        </w:tc>
        <w:tc>
          <w:tcPr>
            <w:tcW w:w="1089" w:type="dxa"/>
            <w:tcBorders/>
            <w:vAlign w:val="center"/>
          </w:tcPr>
          <w:p>
            <w:pPr>
              <w:pStyle w:val="TableContents"/>
              <w:bidi w:val="0"/>
              <w:spacing w:lineRule="auto" w:line="300" w:before="0" w:after="0"/>
              <w:jc w:val="both"/>
              <w:rPr/>
            </w:pPr>
            <w:r>
              <w:rPr/>
              <w:t> </w:t>
            </w:r>
          </w:p>
        </w:tc>
      </w:tr>
      <w:tr>
        <w:trPr/>
        <w:tc>
          <w:tcPr>
            <w:tcW w:w="877" w:type="dxa"/>
            <w:tcBorders/>
            <w:vAlign w:val="center"/>
          </w:tcPr>
          <w:p>
            <w:pPr>
              <w:pStyle w:val="TableContents"/>
              <w:bidi w:val="0"/>
              <w:spacing w:lineRule="auto" w:line="300" w:before="0" w:after="0"/>
              <w:jc w:val="both"/>
              <w:rPr/>
            </w:pPr>
            <w:hyperlink w:anchor="exhibit_2-1.htm">
              <w:r>
                <w:rPr>
                  <w:rStyle w:val="InternetLink"/>
                </w:rPr>
                <w:t>2.1</w:t>
              </w:r>
            </w:hyperlink>
          </w:p>
        </w:tc>
        <w:tc>
          <w:tcPr>
            <w:tcW w:w="60" w:type="dxa"/>
            <w:tcBorders/>
            <w:vAlign w:val="center"/>
          </w:tcPr>
          <w:p>
            <w:pPr>
              <w:pStyle w:val="TableContents"/>
              <w:bidi w:val="0"/>
              <w:spacing w:before="0" w:after="283"/>
              <w:jc w:val="left"/>
              <w:rPr/>
            </w:pPr>
            <w:hyperlink w:anchor="exhibit_2-1.htm">
              <w:r>
                <w:rPr/>
              </w:r>
            </w:hyperlink>
          </w:p>
        </w:tc>
        <w:tc>
          <w:tcPr>
            <w:tcW w:w="4779" w:type="dxa"/>
            <w:tcBorders/>
            <w:vAlign w:val="center"/>
          </w:tcPr>
          <w:p>
            <w:pPr>
              <w:pStyle w:val="TableContents"/>
              <w:bidi w:val="0"/>
              <w:spacing w:lineRule="auto" w:line="300" w:before="0" w:after="0"/>
              <w:jc w:val="both"/>
              <w:rPr/>
            </w:pPr>
            <w:hyperlink w:anchor="exhibit_2-1.htm">
              <w:r>
                <w:rPr>
                  <w:rStyle w:val="InternetLink"/>
                </w:rPr>
                <w:t>Description of Securities.</w:t>
              </w:r>
            </w:hyperlink>
          </w:p>
        </w:tc>
        <w:tc>
          <w:tcPr>
            <w:tcW w:w="60" w:type="dxa"/>
            <w:tcBorders/>
            <w:vAlign w:val="center"/>
          </w:tcPr>
          <w:p>
            <w:pPr>
              <w:pStyle w:val="TableContents"/>
              <w:bidi w:val="0"/>
              <w:spacing w:lineRule="auto" w:line="300" w:before="0" w:after="0"/>
              <w:jc w:val="left"/>
              <w:rPr/>
            </w:pPr>
            <w:r>
              <w:rPr/>
              <w:t> </w:t>
            </w:r>
          </w:p>
        </w:tc>
        <w:tc>
          <w:tcPr>
            <w:tcW w:w="59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879" w:type="dxa"/>
            <w:tcBorders/>
            <w:vAlign w:val="center"/>
          </w:tcPr>
          <w:p>
            <w:pPr>
              <w:pStyle w:val="TableContents"/>
              <w:bidi w:val="0"/>
              <w:spacing w:before="0" w:after="283"/>
              <w:jc w:val="left"/>
              <w:rPr/>
            </w:pPr>
            <w:r>
              <w:rPr/>
            </w:r>
          </w:p>
        </w:tc>
        <w:tc>
          <w:tcPr>
            <w:tcW w:w="62" w:type="dxa"/>
            <w:tcBorders/>
            <w:vAlign w:val="center"/>
          </w:tcPr>
          <w:p>
            <w:pPr>
              <w:pStyle w:val="TableContents"/>
              <w:bidi w:val="0"/>
              <w:spacing w:before="0" w:after="283"/>
              <w:jc w:val="left"/>
              <w:rPr/>
            </w:pPr>
            <w:r>
              <w:rPr/>
            </w:r>
          </w:p>
        </w:tc>
        <w:tc>
          <w:tcPr>
            <w:tcW w:w="906"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723"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lineRule="auto" w:line="300" w:before="0" w:after="0"/>
              <w:jc w:val="left"/>
              <w:rPr/>
            </w:pPr>
            <w:r>
              <w:rPr/>
              <w:t> </w:t>
            </w:r>
          </w:p>
        </w:tc>
        <w:tc>
          <w:tcPr>
            <w:tcW w:w="1089" w:type="dxa"/>
            <w:tcBorders/>
            <w:vAlign w:val="center"/>
          </w:tcPr>
          <w:p>
            <w:pPr>
              <w:pStyle w:val="TableContents"/>
              <w:bidi w:val="0"/>
              <w:spacing w:before="0" w:after="283"/>
              <w:jc w:val="left"/>
              <w:rPr/>
            </w:pPr>
            <w:r>
              <w:rPr/>
              <w:t>*</w:t>
            </w:r>
          </w:p>
        </w:tc>
      </w:tr>
      <w:tr>
        <w:trPr/>
        <w:tc>
          <w:tcPr>
            <w:tcW w:w="877" w:type="dxa"/>
            <w:tcBorders/>
            <w:vAlign w:val="center"/>
          </w:tcPr>
          <w:p>
            <w:pPr>
              <w:pStyle w:val="TableContents"/>
              <w:bidi w:val="0"/>
              <w:spacing w:lineRule="auto" w:line="300" w:before="0" w:after="0"/>
              <w:jc w:val="both"/>
              <w:rPr/>
            </w:pPr>
            <w:hyperlink r:id="rId31">
              <w:r>
                <w:rPr>
                  <w:rStyle w:val="InternetLink"/>
                </w:rPr>
                <w:t>2.2</w:t>
              </w:r>
            </w:hyperlink>
          </w:p>
        </w:tc>
        <w:tc>
          <w:tcPr>
            <w:tcW w:w="60" w:type="dxa"/>
            <w:tcBorders/>
            <w:vAlign w:val="center"/>
          </w:tcPr>
          <w:p>
            <w:pPr>
              <w:pStyle w:val="TableContents"/>
              <w:bidi w:val="0"/>
              <w:spacing w:before="0" w:after="283"/>
              <w:jc w:val="left"/>
              <w:rPr/>
            </w:pPr>
            <w:hyperlink r:id="rId32">
              <w:r>
                <w:rPr/>
              </w:r>
            </w:hyperlink>
          </w:p>
        </w:tc>
        <w:tc>
          <w:tcPr>
            <w:tcW w:w="4779" w:type="dxa"/>
            <w:tcBorders/>
            <w:vAlign w:val="center"/>
          </w:tcPr>
          <w:p>
            <w:pPr>
              <w:pStyle w:val="TableContents"/>
              <w:bidi w:val="0"/>
              <w:spacing w:lineRule="auto" w:line="300" w:before="0" w:after="0"/>
              <w:jc w:val="both"/>
              <w:rPr/>
            </w:pPr>
            <w:hyperlink r:id="rId33">
              <w:r>
                <w:rPr>
                  <w:rStyle w:val="InternetLink"/>
                </w:rPr>
                <w:t>Specimen share certificate.</w:t>
              </w:r>
            </w:hyperlink>
          </w:p>
        </w:tc>
        <w:tc>
          <w:tcPr>
            <w:tcW w:w="60" w:type="dxa"/>
            <w:tcBorders/>
            <w:vAlign w:val="center"/>
          </w:tcPr>
          <w:p>
            <w:pPr>
              <w:pStyle w:val="TableContents"/>
              <w:bidi w:val="0"/>
              <w:spacing w:lineRule="auto" w:line="300" w:before="0" w:after="0"/>
              <w:jc w:val="left"/>
              <w:rPr/>
            </w:pPr>
            <w:r>
              <w:rPr/>
              <w:t> </w:t>
            </w:r>
          </w:p>
        </w:tc>
        <w:tc>
          <w:tcPr>
            <w:tcW w:w="590" w:type="dxa"/>
            <w:tcBorders/>
            <w:vAlign w:val="center"/>
          </w:tcPr>
          <w:p>
            <w:pPr>
              <w:pStyle w:val="TableContents"/>
              <w:bidi w:val="0"/>
              <w:spacing w:lineRule="auto" w:line="300" w:before="0" w:after="0"/>
              <w:jc w:val="left"/>
              <w:rPr/>
            </w:pPr>
            <w:r>
              <w:rPr/>
              <w:t>F-1/A</w:t>
            </w:r>
          </w:p>
        </w:tc>
        <w:tc>
          <w:tcPr>
            <w:tcW w:w="60" w:type="dxa"/>
            <w:tcBorders/>
            <w:vAlign w:val="center"/>
          </w:tcPr>
          <w:p>
            <w:pPr>
              <w:pStyle w:val="TableContents"/>
              <w:bidi w:val="0"/>
              <w:spacing w:before="0" w:after="283"/>
              <w:jc w:val="left"/>
              <w:rPr/>
            </w:pPr>
            <w:r>
              <w:rPr/>
            </w:r>
          </w:p>
        </w:tc>
        <w:tc>
          <w:tcPr>
            <w:tcW w:w="879" w:type="dxa"/>
            <w:tcBorders/>
            <w:vAlign w:val="center"/>
          </w:tcPr>
          <w:p>
            <w:pPr>
              <w:pStyle w:val="TableContents"/>
              <w:bidi w:val="0"/>
              <w:spacing w:lineRule="auto" w:line="300" w:before="0" w:after="0"/>
              <w:jc w:val="left"/>
              <w:rPr/>
            </w:pPr>
            <w:r>
              <w:rPr/>
              <w:t>333-256219</w:t>
            </w:r>
          </w:p>
        </w:tc>
        <w:tc>
          <w:tcPr>
            <w:tcW w:w="62" w:type="dxa"/>
            <w:tcBorders/>
            <w:vAlign w:val="center"/>
          </w:tcPr>
          <w:p>
            <w:pPr>
              <w:pStyle w:val="TableContents"/>
              <w:bidi w:val="0"/>
              <w:spacing w:before="0" w:after="283"/>
              <w:jc w:val="left"/>
              <w:rPr/>
            </w:pPr>
            <w:r>
              <w:rPr/>
            </w:r>
          </w:p>
        </w:tc>
        <w:tc>
          <w:tcPr>
            <w:tcW w:w="906" w:type="dxa"/>
            <w:tcBorders/>
            <w:vAlign w:val="center"/>
          </w:tcPr>
          <w:p>
            <w:pPr>
              <w:pStyle w:val="TableContents"/>
              <w:bidi w:val="0"/>
              <w:spacing w:lineRule="auto" w:line="300" w:before="0" w:after="0"/>
              <w:jc w:val="left"/>
              <w:rPr/>
            </w:pPr>
            <w:r>
              <w:rPr/>
              <w:t>4.1</w:t>
            </w:r>
          </w:p>
        </w:tc>
        <w:tc>
          <w:tcPr>
            <w:tcW w:w="60" w:type="dxa"/>
            <w:tcBorders/>
            <w:vAlign w:val="center"/>
          </w:tcPr>
          <w:p>
            <w:pPr>
              <w:pStyle w:val="TableContents"/>
              <w:bidi w:val="0"/>
              <w:spacing w:before="0" w:after="283"/>
              <w:jc w:val="left"/>
              <w:rPr/>
            </w:pPr>
            <w:r>
              <w:rPr/>
            </w:r>
          </w:p>
        </w:tc>
        <w:tc>
          <w:tcPr>
            <w:tcW w:w="723" w:type="dxa"/>
            <w:tcBorders/>
            <w:vAlign w:val="center"/>
          </w:tcPr>
          <w:p>
            <w:pPr>
              <w:pStyle w:val="TableContents"/>
              <w:bidi w:val="0"/>
              <w:spacing w:lineRule="auto" w:line="300" w:before="0" w:after="0"/>
              <w:jc w:val="left"/>
              <w:rPr/>
            </w:pPr>
            <w:r>
              <w:rPr/>
              <w:t>6/7/2021</w:t>
            </w:r>
          </w:p>
        </w:tc>
        <w:tc>
          <w:tcPr>
            <w:tcW w:w="60" w:type="dxa"/>
            <w:tcBorders/>
            <w:vAlign w:val="center"/>
          </w:tcPr>
          <w:p>
            <w:pPr>
              <w:pStyle w:val="TableContents"/>
              <w:bidi w:val="0"/>
              <w:spacing w:lineRule="auto" w:line="300" w:before="0" w:after="0"/>
              <w:jc w:val="left"/>
              <w:rPr/>
            </w:pPr>
            <w:r>
              <w:rPr/>
              <w:t> </w:t>
            </w:r>
          </w:p>
        </w:tc>
        <w:tc>
          <w:tcPr>
            <w:tcW w:w="1089" w:type="dxa"/>
            <w:tcBorders/>
            <w:vAlign w:val="center"/>
          </w:tcPr>
          <w:p>
            <w:pPr>
              <w:pStyle w:val="TableContents"/>
              <w:bidi w:val="0"/>
              <w:spacing w:before="0" w:after="283"/>
              <w:jc w:val="left"/>
              <w:rPr/>
            </w:pPr>
            <w:r>
              <w:rPr/>
            </w:r>
          </w:p>
        </w:tc>
      </w:tr>
      <w:tr>
        <w:trPr/>
        <w:tc>
          <w:tcPr>
            <w:tcW w:w="877" w:type="dxa"/>
            <w:tcBorders/>
            <w:vAlign w:val="center"/>
          </w:tcPr>
          <w:p>
            <w:pPr>
              <w:pStyle w:val="TableContents"/>
              <w:bidi w:val="0"/>
              <w:spacing w:lineRule="auto" w:line="300" w:before="0" w:after="0"/>
              <w:jc w:val="both"/>
              <w:rPr/>
            </w:pPr>
            <w:hyperlink r:id="rId34">
              <w:r>
                <w:rPr>
                  <w:rStyle w:val="InternetLink"/>
                </w:rPr>
                <w:t>4.1†</w:t>
              </w:r>
            </w:hyperlink>
          </w:p>
        </w:tc>
        <w:tc>
          <w:tcPr>
            <w:tcW w:w="60" w:type="dxa"/>
            <w:tcBorders/>
            <w:vAlign w:val="center"/>
          </w:tcPr>
          <w:p>
            <w:pPr>
              <w:pStyle w:val="TableContents"/>
              <w:bidi w:val="0"/>
              <w:spacing w:before="0" w:after="283"/>
              <w:jc w:val="left"/>
              <w:rPr/>
            </w:pPr>
            <w:r>
              <w:rPr/>
            </w:r>
          </w:p>
        </w:tc>
        <w:tc>
          <w:tcPr>
            <w:tcW w:w="4779" w:type="dxa"/>
            <w:tcBorders/>
            <w:vAlign w:val="center"/>
          </w:tcPr>
          <w:p>
            <w:pPr>
              <w:pStyle w:val="TableContents"/>
              <w:bidi w:val="0"/>
              <w:spacing w:lineRule="auto" w:line="300" w:before="0" w:after="0"/>
              <w:jc w:val="both"/>
              <w:rPr/>
            </w:pPr>
            <w:hyperlink r:id="rId35">
              <w:r>
                <w:rPr>
                  <w:rStyle w:val="InternetLink"/>
                </w:rPr>
                <w:t>Form of Indemnification Agreement between the Registrant and its directors and officers.</w:t>
              </w:r>
            </w:hyperlink>
          </w:p>
        </w:tc>
        <w:tc>
          <w:tcPr>
            <w:tcW w:w="60" w:type="dxa"/>
            <w:tcBorders/>
            <w:vAlign w:val="center"/>
          </w:tcPr>
          <w:p>
            <w:pPr>
              <w:pStyle w:val="TableContents"/>
              <w:bidi w:val="0"/>
              <w:spacing w:lineRule="auto" w:line="300" w:before="0" w:after="0"/>
              <w:jc w:val="left"/>
              <w:rPr/>
            </w:pPr>
            <w:r>
              <w:rPr/>
              <w:t> </w:t>
            </w:r>
          </w:p>
        </w:tc>
        <w:tc>
          <w:tcPr>
            <w:tcW w:w="590" w:type="dxa"/>
            <w:tcBorders/>
            <w:vAlign w:val="center"/>
          </w:tcPr>
          <w:p>
            <w:pPr>
              <w:pStyle w:val="TableContents"/>
              <w:bidi w:val="0"/>
              <w:spacing w:lineRule="auto" w:line="300" w:before="0" w:after="0"/>
              <w:jc w:val="both"/>
              <w:rPr/>
            </w:pPr>
            <w:r>
              <w:rPr/>
              <w:t>F-1/A</w:t>
            </w:r>
          </w:p>
        </w:tc>
        <w:tc>
          <w:tcPr>
            <w:tcW w:w="60" w:type="dxa"/>
            <w:tcBorders/>
            <w:vAlign w:val="center"/>
          </w:tcPr>
          <w:p>
            <w:pPr>
              <w:pStyle w:val="TableContents"/>
              <w:bidi w:val="0"/>
              <w:spacing w:lineRule="auto" w:line="300" w:before="0" w:after="0"/>
              <w:jc w:val="left"/>
              <w:rPr/>
            </w:pPr>
            <w:r>
              <w:rPr/>
              <w:t> </w:t>
            </w:r>
          </w:p>
        </w:tc>
        <w:tc>
          <w:tcPr>
            <w:tcW w:w="879" w:type="dxa"/>
            <w:tcBorders/>
            <w:vAlign w:val="center"/>
          </w:tcPr>
          <w:p>
            <w:pPr>
              <w:pStyle w:val="TableContents"/>
              <w:bidi w:val="0"/>
              <w:spacing w:lineRule="auto" w:line="300" w:before="0" w:after="0"/>
              <w:jc w:val="both"/>
              <w:rPr/>
            </w:pPr>
            <w:r>
              <w:rPr/>
              <w:t>333-256219</w:t>
            </w:r>
          </w:p>
        </w:tc>
        <w:tc>
          <w:tcPr>
            <w:tcW w:w="62" w:type="dxa"/>
            <w:tcBorders/>
            <w:vAlign w:val="center"/>
          </w:tcPr>
          <w:p>
            <w:pPr>
              <w:pStyle w:val="TableContents"/>
              <w:bidi w:val="0"/>
              <w:spacing w:lineRule="auto" w:line="300" w:before="0" w:after="0"/>
              <w:jc w:val="left"/>
              <w:rPr/>
            </w:pPr>
            <w:r>
              <w:rPr/>
              <w:t> </w:t>
            </w:r>
          </w:p>
        </w:tc>
        <w:tc>
          <w:tcPr>
            <w:tcW w:w="906" w:type="dxa"/>
            <w:tcBorders/>
            <w:vAlign w:val="center"/>
          </w:tcPr>
          <w:p>
            <w:pPr>
              <w:pStyle w:val="TableContents"/>
              <w:bidi w:val="0"/>
              <w:spacing w:lineRule="auto" w:line="300" w:before="0" w:after="0"/>
              <w:jc w:val="both"/>
              <w:rPr/>
            </w:pPr>
            <w:r>
              <w:rPr/>
              <w:t>10.5</w:t>
            </w:r>
          </w:p>
        </w:tc>
        <w:tc>
          <w:tcPr>
            <w:tcW w:w="60" w:type="dxa"/>
            <w:tcBorders/>
            <w:vAlign w:val="center"/>
          </w:tcPr>
          <w:p>
            <w:pPr>
              <w:pStyle w:val="TableContents"/>
              <w:bidi w:val="0"/>
              <w:spacing w:lineRule="auto" w:line="300" w:before="0" w:after="0"/>
              <w:jc w:val="left"/>
              <w:rPr/>
            </w:pPr>
            <w:r>
              <w:rPr/>
              <w:t> </w:t>
            </w:r>
          </w:p>
        </w:tc>
        <w:tc>
          <w:tcPr>
            <w:tcW w:w="723" w:type="dxa"/>
            <w:tcBorders/>
            <w:vAlign w:val="center"/>
          </w:tcPr>
          <w:p>
            <w:pPr>
              <w:pStyle w:val="TableContents"/>
              <w:bidi w:val="0"/>
              <w:spacing w:lineRule="auto" w:line="300" w:before="0" w:after="0"/>
              <w:jc w:val="both"/>
              <w:rPr/>
            </w:pPr>
            <w:r>
              <w:rPr/>
              <w:t>6/7/2021</w:t>
            </w:r>
          </w:p>
        </w:tc>
        <w:tc>
          <w:tcPr>
            <w:tcW w:w="60" w:type="dxa"/>
            <w:tcBorders/>
            <w:vAlign w:val="center"/>
          </w:tcPr>
          <w:p>
            <w:pPr>
              <w:pStyle w:val="TableContents"/>
              <w:bidi w:val="0"/>
              <w:spacing w:lineRule="auto" w:line="300" w:before="0" w:after="0"/>
              <w:jc w:val="left"/>
              <w:rPr/>
            </w:pPr>
            <w:r>
              <w:rPr/>
              <w:t> </w:t>
            </w:r>
          </w:p>
        </w:tc>
        <w:tc>
          <w:tcPr>
            <w:tcW w:w="1089" w:type="dxa"/>
            <w:tcBorders/>
            <w:vAlign w:val="center"/>
          </w:tcPr>
          <w:p>
            <w:pPr>
              <w:pStyle w:val="TableContents"/>
              <w:bidi w:val="0"/>
              <w:spacing w:lineRule="auto" w:line="300" w:before="0" w:after="0"/>
              <w:jc w:val="both"/>
              <w:rPr/>
            </w:pPr>
            <w:r>
              <w:rPr/>
              <w:t> </w:t>
            </w:r>
          </w:p>
        </w:tc>
      </w:tr>
      <w:tr>
        <w:trPr/>
        <w:tc>
          <w:tcPr>
            <w:tcW w:w="877" w:type="dxa"/>
            <w:tcBorders/>
            <w:vAlign w:val="center"/>
          </w:tcPr>
          <w:p>
            <w:pPr>
              <w:pStyle w:val="TableContents"/>
              <w:bidi w:val="0"/>
              <w:spacing w:lineRule="auto" w:line="300" w:before="0" w:after="0"/>
              <w:jc w:val="both"/>
              <w:rPr/>
            </w:pPr>
            <w:hyperlink r:id="rId36">
              <w:r>
                <w:rPr>
                  <w:rStyle w:val="InternetLink"/>
                </w:rPr>
                <w:t>4.2†</w:t>
              </w:r>
            </w:hyperlink>
          </w:p>
        </w:tc>
        <w:tc>
          <w:tcPr>
            <w:tcW w:w="60" w:type="dxa"/>
            <w:tcBorders/>
            <w:vAlign w:val="center"/>
          </w:tcPr>
          <w:p>
            <w:pPr>
              <w:pStyle w:val="TableContents"/>
              <w:bidi w:val="0"/>
              <w:spacing w:before="0" w:after="283"/>
              <w:jc w:val="left"/>
              <w:rPr/>
            </w:pPr>
            <w:r>
              <w:rPr/>
            </w:r>
          </w:p>
        </w:tc>
        <w:tc>
          <w:tcPr>
            <w:tcW w:w="4779" w:type="dxa"/>
            <w:tcBorders/>
            <w:vAlign w:val="center"/>
          </w:tcPr>
          <w:p>
            <w:pPr>
              <w:pStyle w:val="TableContents"/>
              <w:bidi w:val="0"/>
              <w:spacing w:lineRule="auto" w:line="300" w:before="0" w:after="0"/>
              <w:jc w:val="both"/>
              <w:rPr/>
            </w:pPr>
            <w:hyperlink r:id="rId37">
              <w:r>
                <w:rPr>
                  <w:rStyle w:val="InternetLink"/>
                </w:rPr>
                <w:t>Restated 2012 Share Option Plan.</w:t>
              </w:r>
            </w:hyperlink>
          </w:p>
        </w:tc>
        <w:tc>
          <w:tcPr>
            <w:tcW w:w="60" w:type="dxa"/>
            <w:tcBorders/>
            <w:vAlign w:val="center"/>
          </w:tcPr>
          <w:p>
            <w:pPr>
              <w:pStyle w:val="TableContents"/>
              <w:bidi w:val="0"/>
              <w:spacing w:lineRule="auto" w:line="300" w:before="0" w:after="0"/>
              <w:jc w:val="left"/>
              <w:rPr/>
            </w:pPr>
            <w:r>
              <w:rPr/>
              <w:t> </w:t>
            </w:r>
          </w:p>
        </w:tc>
        <w:tc>
          <w:tcPr>
            <w:tcW w:w="590" w:type="dxa"/>
            <w:tcBorders/>
            <w:vAlign w:val="center"/>
          </w:tcPr>
          <w:p>
            <w:pPr>
              <w:pStyle w:val="TableContents"/>
              <w:bidi w:val="0"/>
              <w:spacing w:lineRule="auto" w:line="300" w:before="0" w:after="0"/>
              <w:jc w:val="both"/>
              <w:rPr/>
            </w:pPr>
            <w:r>
              <w:rPr/>
              <w:t>F-1/A</w:t>
            </w:r>
          </w:p>
        </w:tc>
        <w:tc>
          <w:tcPr>
            <w:tcW w:w="60" w:type="dxa"/>
            <w:tcBorders/>
            <w:vAlign w:val="center"/>
          </w:tcPr>
          <w:p>
            <w:pPr>
              <w:pStyle w:val="TableContents"/>
              <w:bidi w:val="0"/>
              <w:spacing w:lineRule="auto" w:line="300" w:before="0" w:after="0"/>
              <w:jc w:val="left"/>
              <w:rPr/>
            </w:pPr>
            <w:r>
              <w:rPr/>
              <w:t> </w:t>
            </w:r>
          </w:p>
        </w:tc>
        <w:tc>
          <w:tcPr>
            <w:tcW w:w="879" w:type="dxa"/>
            <w:tcBorders/>
            <w:vAlign w:val="center"/>
          </w:tcPr>
          <w:p>
            <w:pPr>
              <w:pStyle w:val="TableContents"/>
              <w:bidi w:val="0"/>
              <w:spacing w:lineRule="auto" w:line="300" w:before="0" w:after="0"/>
              <w:jc w:val="both"/>
              <w:rPr/>
            </w:pPr>
            <w:r>
              <w:rPr/>
              <w:t>333-256219</w:t>
            </w:r>
          </w:p>
        </w:tc>
        <w:tc>
          <w:tcPr>
            <w:tcW w:w="62" w:type="dxa"/>
            <w:tcBorders/>
            <w:vAlign w:val="center"/>
          </w:tcPr>
          <w:p>
            <w:pPr>
              <w:pStyle w:val="TableContents"/>
              <w:bidi w:val="0"/>
              <w:spacing w:lineRule="auto" w:line="300" w:before="0" w:after="0"/>
              <w:jc w:val="left"/>
              <w:rPr/>
            </w:pPr>
            <w:r>
              <w:rPr/>
              <w:t> </w:t>
            </w:r>
          </w:p>
        </w:tc>
        <w:tc>
          <w:tcPr>
            <w:tcW w:w="906" w:type="dxa"/>
            <w:tcBorders/>
            <w:vAlign w:val="center"/>
          </w:tcPr>
          <w:p>
            <w:pPr>
              <w:pStyle w:val="TableContents"/>
              <w:bidi w:val="0"/>
              <w:spacing w:lineRule="auto" w:line="300" w:before="0" w:after="0"/>
              <w:jc w:val="both"/>
              <w:rPr/>
            </w:pPr>
            <w:r>
              <w:rPr/>
              <w:t>10.1</w:t>
            </w:r>
          </w:p>
        </w:tc>
        <w:tc>
          <w:tcPr>
            <w:tcW w:w="60" w:type="dxa"/>
            <w:tcBorders/>
            <w:vAlign w:val="center"/>
          </w:tcPr>
          <w:p>
            <w:pPr>
              <w:pStyle w:val="TableContents"/>
              <w:bidi w:val="0"/>
              <w:spacing w:lineRule="auto" w:line="300" w:before="0" w:after="0"/>
              <w:jc w:val="left"/>
              <w:rPr/>
            </w:pPr>
            <w:r>
              <w:rPr/>
              <w:t> </w:t>
            </w:r>
          </w:p>
        </w:tc>
        <w:tc>
          <w:tcPr>
            <w:tcW w:w="723" w:type="dxa"/>
            <w:tcBorders/>
            <w:vAlign w:val="center"/>
          </w:tcPr>
          <w:p>
            <w:pPr>
              <w:pStyle w:val="TableContents"/>
              <w:bidi w:val="0"/>
              <w:spacing w:lineRule="auto" w:line="300" w:before="0" w:after="0"/>
              <w:jc w:val="both"/>
              <w:rPr/>
            </w:pPr>
            <w:r>
              <w:rPr/>
              <w:t>5/17/2021</w:t>
            </w:r>
          </w:p>
        </w:tc>
        <w:tc>
          <w:tcPr>
            <w:tcW w:w="60" w:type="dxa"/>
            <w:tcBorders/>
            <w:vAlign w:val="center"/>
          </w:tcPr>
          <w:p>
            <w:pPr>
              <w:pStyle w:val="TableContents"/>
              <w:bidi w:val="0"/>
              <w:spacing w:lineRule="auto" w:line="300" w:before="0" w:after="0"/>
              <w:jc w:val="left"/>
              <w:rPr/>
            </w:pPr>
            <w:r>
              <w:rPr/>
              <w:t> </w:t>
            </w:r>
          </w:p>
        </w:tc>
        <w:tc>
          <w:tcPr>
            <w:tcW w:w="1089" w:type="dxa"/>
            <w:tcBorders/>
            <w:vAlign w:val="center"/>
          </w:tcPr>
          <w:p>
            <w:pPr>
              <w:pStyle w:val="TableContents"/>
              <w:bidi w:val="0"/>
              <w:spacing w:lineRule="auto" w:line="300" w:before="0" w:after="0"/>
              <w:jc w:val="both"/>
              <w:rPr/>
            </w:pPr>
            <w:r>
              <w:rPr/>
              <w:t> </w:t>
            </w:r>
          </w:p>
        </w:tc>
      </w:tr>
      <w:tr>
        <w:trPr/>
        <w:tc>
          <w:tcPr>
            <w:tcW w:w="877" w:type="dxa"/>
            <w:tcBorders/>
            <w:vAlign w:val="center"/>
          </w:tcPr>
          <w:p>
            <w:pPr>
              <w:pStyle w:val="TableContents"/>
              <w:bidi w:val="0"/>
              <w:spacing w:lineRule="auto" w:line="300" w:before="0" w:after="0"/>
              <w:jc w:val="both"/>
              <w:rPr/>
            </w:pPr>
            <w:hyperlink r:id="rId38">
              <w:r>
                <w:rPr>
                  <w:rStyle w:val="InternetLink"/>
                </w:rPr>
                <w:t>4.3†</w:t>
              </w:r>
            </w:hyperlink>
          </w:p>
        </w:tc>
        <w:tc>
          <w:tcPr>
            <w:tcW w:w="60" w:type="dxa"/>
            <w:tcBorders/>
            <w:vAlign w:val="center"/>
          </w:tcPr>
          <w:p>
            <w:pPr>
              <w:pStyle w:val="TableContents"/>
              <w:bidi w:val="0"/>
              <w:spacing w:before="0" w:after="283"/>
              <w:jc w:val="left"/>
              <w:rPr/>
            </w:pPr>
            <w:r>
              <w:rPr/>
            </w:r>
          </w:p>
        </w:tc>
        <w:tc>
          <w:tcPr>
            <w:tcW w:w="4779" w:type="dxa"/>
            <w:tcBorders/>
            <w:vAlign w:val="center"/>
          </w:tcPr>
          <w:p>
            <w:pPr>
              <w:pStyle w:val="TableContents"/>
              <w:bidi w:val="0"/>
              <w:spacing w:lineRule="auto" w:line="300" w:before="0" w:after="0"/>
              <w:jc w:val="both"/>
              <w:rPr/>
            </w:pPr>
            <w:hyperlink r:id="rId39">
              <w:r>
                <w:rPr>
                  <w:rStyle w:val="InternetLink"/>
                </w:rPr>
                <w:t>2021 Share Incentive Plan.</w:t>
              </w:r>
            </w:hyperlink>
          </w:p>
        </w:tc>
        <w:tc>
          <w:tcPr>
            <w:tcW w:w="60" w:type="dxa"/>
            <w:tcBorders/>
            <w:vAlign w:val="center"/>
          </w:tcPr>
          <w:p>
            <w:pPr>
              <w:pStyle w:val="TableContents"/>
              <w:bidi w:val="0"/>
              <w:spacing w:lineRule="auto" w:line="300" w:before="0" w:after="0"/>
              <w:jc w:val="left"/>
              <w:rPr/>
            </w:pPr>
            <w:r>
              <w:rPr/>
              <w:t> </w:t>
            </w:r>
          </w:p>
        </w:tc>
        <w:tc>
          <w:tcPr>
            <w:tcW w:w="590" w:type="dxa"/>
            <w:tcBorders/>
            <w:vAlign w:val="center"/>
          </w:tcPr>
          <w:p>
            <w:pPr>
              <w:pStyle w:val="TableContents"/>
              <w:bidi w:val="0"/>
              <w:spacing w:lineRule="auto" w:line="300" w:before="0" w:after="0"/>
              <w:jc w:val="both"/>
              <w:rPr/>
            </w:pPr>
            <w:r>
              <w:rPr/>
              <w:t>F-1/A</w:t>
            </w:r>
          </w:p>
        </w:tc>
        <w:tc>
          <w:tcPr>
            <w:tcW w:w="60" w:type="dxa"/>
            <w:tcBorders/>
            <w:vAlign w:val="center"/>
          </w:tcPr>
          <w:p>
            <w:pPr>
              <w:pStyle w:val="TableContents"/>
              <w:bidi w:val="0"/>
              <w:spacing w:lineRule="auto" w:line="300" w:before="0" w:after="0"/>
              <w:jc w:val="left"/>
              <w:rPr/>
            </w:pPr>
            <w:r>
              <w:rPr/>
              <w:t> </w:t>
            </w:r>
          </w:p>
        </w:tc>
        <w:tc>
          <w:tcPr>
            <w:tcW w:w="879" w:type="dxa"/>
            <w:tcBorders/>
            <w:vAlign w:val="center"/>
          </w:tcPr>
          <w:p>
            <w:pPr>
              <w:pStyle w:val="TableContents"/>
              <w:bidi w:val="0"/>
              <w:spacing w:lineRule="auto" w:line="300" w:before="0" w:after="0"/>
              <w:jc w:val="both"/>
              <w:rPr/>
            </w:pPr>
            <w:r>
              <w:rPr/>
              <w:t>333-256219</w:t>
            </w:r>
          </w:p>
        </w:tc>
        <w:tc>
          <w:tcPr>
            <w:tcW w:w="62" w:type="dxa"/>
            <w:tcBorders/>
            <w:vAlign w:val="center"/>
          </w:tcPr>
          <w:p>
            <w:pPr>
              <w:pStyle w:val="TableContents"/>
              <w:bidi w:val="0"/>
              <w:spacing w:lineRule="auto" w:line="300" w:before="0" w:after="0"/>
              <w:jc w:val="left"/>
              <w:rPr/>
            </w:pPr>
            <w:r>
              <w:rPr/>
              <w:t> </w:t>
            </w:r>
          </w:p>
        </w:tc>
        <w:tc>
          <w:tcPr>
            <w:tcW w:w="906" w:type="dxa"/>
            <w:tcBorders/>
            <w:vAlign w:val="center"/>
          </w:tcPr>
          <w:p>
            <w:pPr>
              <w:pStyle w:val="TableContents"/>
              <w:bidi w:val="0"/>
              <w:spacing w:lineRule="auto" w:line="300" w:before="0" w:after="0"/>
              <w:jc w:val="both"/>
              <w:rPr/>
            </w:pPr>
            <w:r>
              <w:rPr/>
              <w:t>10.2</w:t>
            </w:r>
          </w:p>
        </w:tc>
        <w:tc>
          <w:tcPr>
            <w:tcW w:w="60" w:type="dxa"/>
            <w:tcBorders/>
            <w:vAlign w:val="center"/>
          </w:tcPr>
          <w:p>
            <w:pPr>
              <w:pStyle w:val="TableContents"/>
              <w:bidi w:val="0"/>
              <w:spacing w:lineRule="auto" w:line="300" w:before="0" w:after="0"/>
              <w:jc w:val="left"/>
              <w:rPr/>
            </w:pPr>
            <w:r>
              <w:rPr/>
              <w:t> </w:t>
            </w:r>
          </w:p>
        </w:tc>
        <w:tc>
          <w:tcPr>
            <w:tcW w:w="723" w:type="dxa"/>
            <w:tcBorders/>
            <w:vAlign w:val="center"/>
          </w:tcPr>
          <w:p>
            <w:pPr>
              <w:pStyle w:val="TableContents"/>
              <w:bidi w:val="0"/>
              <w:spacing w:lineRule="auto" w:line="300" w:before="0" w:after="0"/>
              <w:jc w:val="both"/>
              <w:rPr/>
            </w:pPr>
            <w:r>
              <w:rPr/>
              <w:t>5/17/2021</w:t>
            </w:r>
          </w:p>
        </w:tc>
        <w:tc>
          <w:tcPr>
            <w:tcW w:w="60" w:type="dxa"/>
            <w:tcBorders/>
            <w:vAlign w:val="center"/>
          </w:tcPr>
          <w:p>
            <w:pPr>
              <w:pStyle w:val="TableContents"/>
              <w:bidi w:val="0"/>
              <w:spacing w:lineRule="auto" w:line="300" w:before="0" w:after="0"/>
              <w:jc w:val="left"/>
              <w:rPr/>
            </w:pPr>
            <w:r>
              <w:rPr/>
              <w:t> </w:t>
            </w:r>
          </w:p>
        </w:tc>
        <w:tc>
          <w:tcPr>
            <w:tcW w:w="1089" w:type="dxa"/>
            <w:tcBorders/>
            <w:vAlign w:val="center"/>
          </w:tcPr>
          <w:p>
            <w:pPr>
              <w:pStyle w:val="TableContents"/>
              <w:bidi w:val="0"/>
              <w:spacing w:lineRule="auto" w:line="300" w:before="0" w:after="0"/>
              <w:jc w:val="both"/>
              <w:rPr/>
            </w:pPr>
            <w:r>
              <w:rPr/>
              <w:t> </w:t>
            </w:r>
          </w:p>
        </w:tc>
      </w:tr>
      <w:tr>
        <w:trPr/>
        <w:tc>
          <w:tcPr>
            <w:tcW w:w="877" w:type="dxa"/>
            <w:tcBorders/>
            <w:vAlign w:val="center"/>
          </w:tcPr>
          <w:p>
            <w:pPr>
              <w:pStyle w:val="TableContents"/>
              <w:bidi w:val="0"/>
              <w:spacing w:lineRule="auto" w:line="300" w:before="0" w:after="0"/>
              <w:jc w:val="both"/>
              <w:rPr/>
            </w:pPr>
            <w:hyperlink r:id="rId40">
              <w:r>
                <w:rPr>
                  <w:rStyle w:val="InternetLink"/>
                </w:rPr>
                <w:t>4.4†</w:t>
              </w:r>
            </w:hyperlink>
          </w:p>
        </w:tc>
        <w:tc>
          <w:tcPr>
            <w:tcW w:w="60" w:type="dxa"/>
            <w:tcBorders/>
            <w:vAlign w:val="center"/>
          </w:tcPr>
          <w:p>
            <w:pPr>
              <w:pStyle w:val="TableContents"/>
              <w:bidi w:val="0"/>
              <w:spacing w:before="0" w:after="283"/>
              <w:jc w:val="left"/>
              <w:rPr/>
            </w:pPr>
            <w:r>
              <w:rPr/>
            </w:r>
          </w:p>
        </w:tc>
        <w:tc>
          <w:tcPr>
            <w:tcW w:w="4779" w:type="dxa"/>
            <w:tcBorders/>
            <w:vAlign w:val="center"/>
          </w:tcPr>
          <w:p>
            <w:pPr>
              <w:pStyle w:val="TableContents"/>
              <w:bidi w:val="0"/>
              <w:spacing w:lineRule="auto" w:line="300" w:before="0" w:after="0"/>
              <w:jc w:val="both"/>
              <w:rPr/>
            </w:pPr>
            <w:hyperlink r:id="rId41">
              <w:r>
                <w:rPr>
                  <w:rStyle w:val="InternetLink"/>
                </w:rPr>
                <w:t>2021 Employee Share Purchase Plan.</w:t>
              </w:r>
            </w:hyperlink>
          </w:p>
        </w:tc>
        <w:tc>
          <w:tcPr>
            <w:tcW w:w="60" w:type="dxa"/>
            <w:tcBorders/>
            <w:vAlign w:val="center"/>
          </w:tcPr>
          <w:p>
            <w:pPr>
              <w:pStyle w:val="TableContents"/>
              <w:bidi w:val="0"/>
              <w:spacing w:lineRule="auto" w:line="300" w:before="0" w:after="0"/>
              <w:jc w:val="left"/>
              <w:rPr/>
            </w:pPr>
            <w:r>
              <w:rPr/>
              <w:t> </w:t>
            </w:r>
          </w:p>
        </w:tc>
        <w:tc>
          <w:tcPr>
            <w:tcW w:w="590" w:type="dxa"/>
            <w:tcBorders/>
            <w:vAlign w:val="center"/>
          </w:tcPr>
          <w:p>
            <w:pPr>
              <w:pStyle w:val="TableContents"/>
              <w:bidi w:val="0"/>
              <w:spacing w:lineRule="auto" w:line="300" w:before="0" w:after="0"/>
              <w:jc w:val="both"/>
              <w:rPr/>
            </w:pPr>
            <w:r>
              <w:rPr/>
              <w:t>F-1/A</w:t>
            </w:r>
          </w:p>
        </w:tc>
        <w:tc>
          <w:tcPr>
            <w:tcW w:w="60" w:type="dxa"/>
            <w:tcBorders/>
            <w:vAlign w:val="center"/>
          </w:tcPr>
          <w:p>
            <w:pPr>
              <w:pStyle w:val="TableContents"/>
              <w:bidi w:val="0"/>
              <w:spacing w:lineRule="auto" w:line="300" w:before="0" w:after="0"/>
              <w:jc w:val="left"/>
              <w:rPr/>
            </w:pPr>
            <w:r>
              <w:rPr/>
              <w:t> </w:t>
            </w:r>
          </w:p>
        </w:tc>
        <w:tc>
          <w:tcPr>
            <w:tcW w:w="879" w:type="dxa"/>
            <w:tcBorders/>
            <w:vAlign w:val="center"/>
          </w:tcPr>
          <w:p>
            <w:pPr>
              <w:pStyle w:val="TableContents"/>
              <w:bidi w:val="0"/>
              <w:spacing w:lineRule="auto" w:line="300" w:before="0" w:after="0"/>
              <w:jc w:val="both"/>
              <w:rPr/>
            </w:pPr>
            <w:r>
              <w:rPr/>
              <w:t>333-256219</w:t>
            </w:r>
          </w:p>
        </w:tc>
        <w:tc>
          <w:tcPr>
            <w:tcW w:w="62" w:type="dxa"/>
            <w:tcBorders/>
            <w:vAlign w:val="center"/>
          </w:tcPr>
          <w:p>
            <w:pPr>
              <w:pStyle w:val="TableContents"/>
              <w:bidi w:val="0"/>
              <w:spacing w:lineRule="auto" w:line="300" w:before="0" w:after="0"/>
              <w:jc w:val="left"/>
              <w:rPr/>
            </w:pPr>
            <w:r>
              <w:rPr/>
              <w:t> </w:t>
            </w:r>
          </w:p>
        </w:tc>
        <w:tc>
          <w:tcPr>
            <w:tcW w:w="906" w:type="dxa"/>
            <w:tcBorders/>
            <w:vAlign w:val="center"/>
          </w:tcPr>
          <w:p>
            <w:pPr>
              <w:pStyle w:val="TableContents"/>
              <w:bidi w:val="0"/>
              <w:spacing w:lineRule="auto" w:line="300" w:before="0" w:after="0"/>
              <w:jc w:val="both"/>
              <w:rPr/>
            </w:pPr>
            <w:r>
              <w:rPr/>
              <w:t>10.3</w:t>
            </w:r>
          </w:p>
        </w:tc>
        <w:tc>
          <w:tcPr>
            <w:tcW w:w="60" w:type="dxa"/>
            <w:tcBorders/>
            <w:vAlign w:val="center"/>
          </w:tcPr>
          <w:p>
            <w:pPr>
              <w:pStyle w:val="TableContents"/>
              <w:bidi w:val="0"/>
              <w:spacing w:lineRule="auto" w:line="300" w:before="0" w:after="0"/>
              <w:jc w:val="left"/>
              <w:rPr/>
            </w:pPr>
            <w:r>
              <w:rPr/>
              <w:t> </w:t>
            </w:r>
          </w:p>
        </w:tc>
        <w:tc>
          <w:tcPr>
            <w:tcW w:w="723" w:type="dxa"/>
            <w:tcBorders/>
            <w:vAlign w:val="center"/>
          </w:tcPr>
          <w:p>
            <w:pPr>
              <w:pStyle w:val="TableContents"/>
              <w:bidi w:val="0"/>
              <w:spacing w:lineRule="auto" w:line="300" w:before="0" w:after="0"/>
              <w:jc w:val="both"/>
              <w:rPr/>
            </w:pPr>
            <w:r>
              <w:rPr/>
              <w:t>5/17/2021</w:t>
            </w:r>
          </w:p>
        </w:tc>
        <w:tc>
          <w:tcPr>
            <w:tcW w:w="60" w:type="dxa"/>
            <w:tcBorders/>
            <w:vAlign w:val="center"/>
          </w:tcPr>
          <w:p>
            <w:pPr>
              <w:pStyle w:val="TableContents"/>
              <w:bidi w:val="0"/>
              <w:spacing w:lineRule="auto" w:line="300" w:before="0" w:after="0"/>
              <w:jc w:val="left"/>
              <w:rPr/>
            </w:pPr>
            <w:r>
              <w:rPr/>
              <w:t> </w:t>
            </w:r>
          </w:p>
        </w:tc>
        <w:tc>
          <w:tcPr>
            <w:tcW w:w="1089" w:type="dxa"/>
            <w:tcBorders/>
            <w:vAlign w:val="center"/>
          </w:tcPr>
          <w:p>
            <w:pPr>
              <w:pStyle w:val="TableContents"/>
              <w:bidi w:val="0"/>
              <w:spacing w:lineRule="auto" w:line="300" w:before="0" w:after="0"/>
              <w:jc w:val="both"/>
              <w:rPr/>
            </w:pPr>
            <w:r>
              <w:rPr/>
              <w:t> </w:t>
            </w:r>
          </w:p>
        </w:tc>
      </w:tr>
      <w:tr>
        <w:trPr/>
        <w:tc>
          <w:tcPr>
            <w:tcW w:w="877" w:type="dxa"/>
            <w:tcBorders/>
            <w:vAlign w:val="center"/>
          </w:tcPr>
          <w:p>
            <w:pPr>
              <w:pStyle w:val="TableContents"/>
              <w:bidi w:val="0"/>
              <w:spacing w:lineRule="auto" w:line="300" w:before="0" w:after="0"/>
              <w:jc w:val="both"/>
              <w:rPr/>
            </w:pPr>
            <w:hyperlink r:id="rId42">
              <w:r>
                <w:rPr>
                  <w:rStyle w:val="InternetLink"/>
                </w:rPr>
                <w:t>4.5†</w:t>
              </w:r>
            </w:hyperlink>
          </w:p>
        </w:tc>
        <w:tc>
          <w:tcPr>
            <w:tcW w:w="60" w:type="dxa"/>
            <w:tcBorders/>
            <w:vAlign w:val="center"/>
          </w:tcPr>
          <w:p>
            <w:pPr>
              <w:pStyle w:val="TableContents"/>
              <w:bidi w:val="0"/>
              <w:spacing w:before="0" w:after="283"/>
              <w:jc w:val="left"/>
              <w:rPr/>
            </w:pPr>
            <w:r>
              <w:rPr/>
            </w:r>
          </w:p>
        </w:tc>
        <w:tc>
          <w:tcPr>
            <w:tcW w:w="4779" w:type="dxa"/>
            <w:tcBorders/>
            <w:vAlign w:val="center"/>
          </w:tcPr>
          <w:p>
            <w:pPr>
              <w:pStyle w:val="TableContents"/>
              <w:bidi w:val="0"/>
              <w:spacing w:lineRule="auto" w:line="300" w:before="0" w:after="0"/>
              <w:jc w:val="both"/>
              <w:rPr/>
            </w:pPr>
            <w:hyperlink r:id="rId43">
              <w:r>
                <w:rPr>
                  <w:rStyle w:val="InternetLink"/>
                </w:rPr>
                <w:t>Compensation Policy for Officers and Directors.</w:t>
              </w:r>
            </w:hyperlink>
          </w:p>
        </w:tc>
        <w:tc>
          <w:tcPr>
            <w:tcW w:w="60" w:type="dxa"/>
            <w:tcBorders/>
            <w:vAlign w:val="center"/>
          </w:tcPr>
          <w:p>
            <w:pPr>
              <w:pStyle w:val="TableContents"/>
              <w:bidi w:val="0"/>
              <w:spacing w:lineRule="auto" w:line="300" w:before="0" w:after="0"/>
              <w:jc w:val="left"/>
              <w:rPr/>
            </w:pPr>
            <w:r>
              <w:rPr/>
              <w:t> </w:t>
            </w:r>
          </w:p>
        </w:tc>
        <w:tc>
          <w:tcPr>
            <w:tcW w:w="590" w:type="dxa"/>
            <w:tcBorders/>
            <w:vAlign w:val="center"/>
          </w:tcPr>
          <w:p>
            <w:pPr>
              <w:pStyle w:val="TableContents"/>
              <w:bidi w:val="0"/>
              <w:spacing w:lineRule="auto" w:line="300" w:before="0" w:after="0"/>
              <w:jc w:val="both"/>
              <w:rPr/>
            </w:pPr>
            <w:r>
              <w:rPr/>
              <w:t>F-1/A</w:t>
            </w:r>
          </w:p>
        </w:tc>
        <w:tc>
          <w:tcPr>
            <w:tcW w:w="60" w:type="dxa"/>
            <w:tcBorders/>
            <w:vAlign w:val="center"/>
          </w:tcPr>
          <w:p>
            <w:pPr>
              <w:pStyle w:val="TableContents"/>
              <w:bidi w:val="0"/>
              <w:spacing w:lineRule="auto" w:line="300" w:before="0" w:after="0"/>
              <w:jc w:val="left"/>
              <w:rPr/>
            </w:pPr>
            <w:r>
              <w:rPr/>
              <w:t> </w:t>
            </w:r>
          </w:p>
        </w:tc>
        <w:tc>
          <w:tcPr>
            <w:tcW w:w="879" w:type="dxa"/>
            <w:tcBorders/>
            <w:vAlign w:val="center"/>
          </w:tcPr>
          <w:p>
            <w:pPr>
              <w:pStyle w:val="TableContents"/>
              <w:bidi w:val="0"/>
              <w:spacing w:lineRule="auto" w:line="300" w:before="0" w:after="0"/>
              <w:jc w:val="both"/>
              <w:rPr/>
            </w:pPr>
            <w:r>
              <w:rPr/>
              <w:t>333-256219</w:t>
            </w:r>
          </w:p>
        </w:tc>
        <w:tc>
          <w:tcPr>
            <w:tcW w:w="62" w:type="dxa"/>
            <w:tcBorders/>
            <w:vAlign w:val="center"/>
          </w:tcPr>
          <w:p>
            <w:pPr>
              <w:pStyle w:val="TableContents"/>
              <w:bidi w:val="0"/>
              <w:spacing w:lineRule="auto" w:line="300" w:before="0" w:after="0"/>
              <w:jc w:val="left"/>
              <w:rPr/>
            </w:pPr>
            <w:r>
              <w:rPr/>
              <w:t> </w:t>
            </w:r>
          </w:p>
        </w:tc>
        <w:tc>
          <w:tcPr>
            <w:tcW w:w="906" w:type="dxa"/>
            <w:tcBorders/>
            <w:vAlign w:val="center"/>
          </w:tcPr>
          <w:p>
            <w:pPr>
              <w:pStyle w:val="TableContents"/>
              <w:bidi w:val="0"/>
              <w:spacing w:lineRule="auto" w:line="300" w:before="0" w:after="0"/>
              <w:jc w:val="both"/>
              <w:rPr/>
            </w:pPr>
            <w:r>
              <w:rPr/>
              <w:t>10.4</w:t>
            </w:r>
          </w:p>
        </w:tc>
        <w:tc>
          <w:tcPr>
            <w:tcW w:w="60" w:type="dxa"/>
            <w:tcBorders/>
            <w:vAlign w:val="center"/>
          </w:tcPr>
          <w:p>
            <w:pPr>
              <w:pStyle w:val="TableContents"/>
              <w:bidi w:val="0"/>
              <w:spacing w:lineRule="auto" w:line="300" w:before="0" w:after="0"/>
              <w:jc w:val="left"/>
              <w:rPr/>
            </w:pPr>
            <w:r>
              <w:rPr/>
              <w:t> </w:t>
            </w:r>
          </w:p>
        </w:tc>
        <w:tc>
          <w:tcPr>
            <w:tcW w:w="723" w:type="dxa"/>
            <w:tcBorders/>
            <w:vAlign w:val="center"/>
          </w:tcPr>
          <w:p>
            <w:pPr>
              <w:pStyle w:val="TableContents"/>
              <w:bidi w:val="0"/>
              <w:spacing w:lineRule="auto" w:line="300" w:before="0" w:after="0"/>
              <w:jc w:val="both"/>
              <w:rPr/>
            </w:pPr>
            <w:r>
              <w:rPr/>
              <w:t>5/17/2021</w:t>
            </w:r>
          </w:p>
        </w:tc>
        <w:tc>
          <w:tcPr>
            <w:tcW w:w="60" w:type="dxa"/>
            <w:tcBorders/>
            <w:vAlign w:val="center"/>
          </w:tcPr>
          <w:p>
            <w:pPr>
              <w:pStyle w:val="TableContents"/>
              <w:bidi w:val="0"/>
              <w:spacing w:lineRule="auto" w:line="300" w:before="0" w:after="0"/>
              <w:jc w:val="left"/>
              <w:rPr/>
            </w:pPr>
            <w:r>
              <w:rPr/>
              <w:t> </w:t>
            </w:r>
          </w:p>
        </w:tc>
        <w:tc>
          <w:tcPr>
            <w:tcW w:w="1089" w:type="dxa"/>
            <w:tcBorders/>
            <w:vAlign w:val="center"/>
          </w:tcPr>
          <w:p>
            <w:pPr>
              <w:pStyle w:val="TableContents"/>
              <w:bidi w:val="0"/>
              <w:spacing w:lineRule="auto" w:line="300" w:before="0" w:after="0"/>
              <w:jc w:val="both"/>
              <w:rPr/>
            </w:pPr>
            <w:r>
              <w:rPr/>
              <w:t> </w:t>
            </w:r>
          </w:p>
        </w:tc>
      </w:tr>
      <w:tr>
        <w:trPr/>
        <w:tc>
          <w:tcPr>
            <w:tcW w:w="877" w:type="dxa"/>
            <w:tcBorders/>
            <w:vAlign w:val="center"/>
          </w:tcPr>
          <w:p>
            <w:pPr>
              <w:pStyle w:val="TableContents"/>
              <w:bidi w:val="0"/>
              <w:spacing w:lineRule="auto" w:line="300" w:before="0" w:after="0"/>
              <w:jc w:val="both"/>
              <w:rPr/>
            </w:pPr>
            <w:hyperlink r:id="rId44">
              <w:r>
                <w:rPr>
                  <w:rStyle w:val="InternetLink"/>
                </w:rPr>
                <w:t>4.6</w:t>
              </w:r>
            </w:hyperlink>
          </w:p>
        </w:tc>
        <w:tc>
          <w:tcPr>
            <w:tcW w:w="60" w:type="dxa"/>
            <w:tcBorders/>
            <w:vAlign w:val="center"/>
          </w:tcPr>
          <w:p>
            <w:pPr>
              <w:pStyle w:val="TableContents"/>
              <w:bidi w:val="0"/>
              <w:spacing w:before="0" w:after="283"/>
              <w:jc w:val="left"/>
              <w:rPr/>
            </w:pPr>
            <w:r>
              <w:rPr/>
            </w:r>
          </w:p>
        </w:tc>
        <w:tc>
          <w:tcPr>
            <w:tcW w:w="4779" w:type="dxa"/>
            <w:tcBorders/>
            <w:vAlign w:val="center"/>
          </w:tcPr>
          <w:p>
            <w:pPr>
              <w:pStyle w:val="TableContents"/>
              <w:bidi w:val="0"/>
              <w:spacing w:lineRule="auto" w:line="300" w:before="0" w:after="0"/>
              <w:jc w:val="both"/>
              <w:rPr/>
            </w:pPr>
            <w:hyperlink r:id="rId45">
              <w:r>
                <w:rPr>
                  <w:rStyle w:val="InternetLink"/>
                </w:rPr>
                <w:t>2021 Amended and Restated Investor Rights Agreement, dated as of June 10, 2021, by and among the Registrant and the parties named in Schedule 1 thereto.</w:t>
              </w:r>
            </w:hyperlink>
          </w:p>
        </w:tc>
        <w:tc>
          <w:tcPr>
            <w:tcW w:w="60" w:type="dxa"/>
            <w:tcBorders/>
            <w:vAlign w:val="center"/>
          </w:tcPr>
          <w:p>
            <w:pPr>
              <w:pStyle w:val="TableContents"/>
              <w:bidi w:val="0"/>
              <w:spacing w:lineRule="auto" w:line="300" w:before="0" w:after="0"/>
              <w:jc w:val="left"/>
              <w:rPr/>
            </w:pPr>
            <w:r>
              <w:rPr/>
              <w:t> </w:t>
            </w:r>
          </w:p>
        </w:tc>
        <w:tc>
          <w:tcPr>
            <w:tcW w:w="590" w:type="dxa"/>
            <w:tcBorders/>
            <w:vAlign w:val="center"/>
          </w:tcPr>
          <w:p>
            <w:pPr>
              <w:pStyle w:val="TableContents"/>
              <w:bidi w:val="0"/>
              <w:spacing w:lineRule="auto" w:line="300" w:before="0" w:after="0"/>
              <w:jc w:val="both"/>
              <w:rPr/>
            </w:pPr>
            <w:r>
              <w:rPr/>
              <w:t>F-1/A</w:t>
            </w:r>
          </w:p>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879" w:type="dxa"/>
            <w:tcBorders/>
            <w:vAlign w:val="center"/>
          </w:tcPr>
          <w:p>
            <w:pPr>
              <w:pStyle w:val="TableContents"/>
              <w:bidi w:val="0"/>
              <w:spacing w:lineRule="auto" w:line="300" w:before="0" w:after="0"/>
              <w:jc w:val="both"/>
              <w:rPr/>
            </w:pPr>
            <w:r>
              <w:rPr/>
              <w:t>333-256219</w:t>
            </w:r>
          </w:p>
          <w:p>
            <w:pPr>
              <w:pStyle w:val="TableContents"/>
              <w:bidi w:val="0"/>
              <w:spacing w:lineRule="auto" w:line="300" w:before="0" w:after="0"/>
              <w:jc w:val="both"/>
              <w:rPr/>
            </w:pPr>
            <w:r>
              <w:rPr/>
              <w:t> </w:t>
            </w:r>
          </w:p>
        </w:tc>
        <w:tc>
          <w:tcPr>
            <w:tcW w:w="62" w:type="dxa"/>
            <w:tcBorders/>
            <w:vAlign w:val="center"/>
          </w:tcPr>
          <w:p>
            <w:pPr>
              <w:pStyle w:val="TableContents"/>
              <w:bidi w:val="0"/>
              <w:spacing w:lineRule="auto" w:line="300" w:before="0" w:after="0"/>
              <w:jc w:val="left"/>
              <w:rPr/>
            </w:pPr>
            <w:r>
              <w:rPr/>
              <w:t> </w:t>
            </w:r>
          </w:p>
        </w:tc>
        <w:tc>
          <w:tcPr>
            <w:tcW w:w="906" w:type="dxa"/>
            <w:tcBorders/>
            <w:vAlign w:val="center"/>
          </w:tcPr>
          <w:p>
            <w:pPr>
              <w:pStyle w:val="TableContents"/>
              <w:bidi w:val="0"/>
              <w:spacing w:lineRule="auto" w:line="300" w:before="0" w:after="0"/>
              <w:jc w:val="both"/>
              <w:rPr/>
            </w:pPr>
            <w:r>
              <w:rPr/>
              <w:t>4.2</w:t>
            </w:r>
          </w:p>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723" w:type="dxa"/>
            <w:tcBorders/>
            <w:vAlign w:val="center"/>
          </w:tcPr>
          <w:p>
            <w:pPr>
              <w:pStyle w:val="TableContents"/>
              <w:bidi w:val="0"/>
              <w:spacing w:lineRule="auto" w:line="300" w:before="0" w:after="0"/>
              <w:jc w:val="both"/>
              <w:rPr/>
            </w:pPr>
            <w:r>
              <w:rPr/>
              <w:t>6/14/2021</w:t>
            </w:r>
          </w:p>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1089" w:type="dxa"/>
            <w:tcBorders/>
            <w:vAlign w:val="center"/>
          </w:tcPr>
          <w:p>
            <w:pPr>
              <w:pStyle w:val="TableContents"/>
              <w:bidi w:val="0"/>
              <w:spacing w:lineRule="auto" w:line="300" w:before="0" w:after="0"/>
              <w:jc w:val="both"/>
              <w:rPr/>
            </w:pPr>
            <w:r>
              <w:rPr/>
              <w:t> </w:t>
            </w:r>
          </w:p>
        </w:tc>
      </w:tr>
      <w:tr>
        <w:trPr/>
        <w:tc>
          <w:tcPr>
            <w:tcW w:w="877" w:type="dxa"/>
            <w:tcBorders/>
            <w:vAlign w:val="center"/>
          </w:tcPr>
          <w:p>
            <w:pPr>
              <w:pStyle w:val="TableContents"/>
              <w:bidi w:val="0"/>
              <w:spacing w:lineRule="auto" w:line="300" w:before="0" w:after="0"/>
              <w:jc w:val="both"/>
              <w:rPr/>
            </w:pPr>
            <w:hyperlink r:id="rId46">
              <w:r>
                <w:rPr>
                  <w:rStyle w:val="InternetLink"/>
                </w:rPr>
                <w:t>8.1</w:t>
              </w:r>
            </w:hyperlink>
          </w:p>
        </w:tc>
        <w:tc>
          <w:tcPr>
            <w:tcW w:w="60" w:type="dxa"/>
            <w:tcBorders/>
            <w:vAlign w:val="center"/>
          </w:tcPr>
          <w:p>
            <w:pPr>
              <w:pStyle w:val="TableContents"/>
              <w:bidi w:val="0"/>
              <w:spacing w:before="0" w:after="283"/>
              <w:jc w:val="left"/>
              <w:rPr/>
            </w:pPr>
            <w:hyperlink r:id="rId47">
              <w:r>
                <w:rPr/>
              </w:r>
            </w:hyperlink>
          </w:p>
        </w:tc>
        <w:tc>
          <w:tcPr>
            <w:tcW w:w="4779" w:type="dxa"/>
            <w:tcBorders/>
            <w:vAlign w:val="center"/>
          </w:tcPr>
          <w:p>
            <w:pPr>
              <w:pStyle w:val="TableContents"/>
              <w:bidi w:val="0"/>
              <w:spacing w:lineRule="auto" w:line="300" w:before="0" w:after="0"/>
              <w:jc w:val="both"/>
              <w:rPr/>
            </w:pPr>
            <w:hyperlink r:id="rId48">
              <w:r>
                <w:rPr>
                  <w:rStyle w:val="InternetLink"/>
                </w:rPr>
                <w:t>List of subsidiaries of the Registrant.</w:t>
              </w:r>
            </w:hyperlink>
          </w:p>
        </w:tc>
        <w:tc>
          <w:tcPr>
            <w:tcW w:w="60" w:type="dxa"/>
            <w:tcBorders/>
            <w:vAlign w:val="center"/>
          </w:tcPr>
          <w:p>
            <w:pPr>
              <w:pStyle w:val="TableContents"/>
              <w:bidi w:val="0"/>
              <w:spacing w:lineRule="auto" w:line="300" w:before="0" w:after="0"/>
              <w:jc w:val="left"/>
              <w:rPr/>
            </w:pPr>
            <w:r>
              <w:rPr/>
              <w:t> </w:t>
            </w:r>
          </w:p>
        </w:tc>
        <w:tc>
          <w:tcPr>
            <w:tcW w:w="590" w:type="dxa"/>
            <w:tcBorders/>
            <w:vAlign w:val="center"/>
          </w:tcPr>
          <w:p>
            <w:pPr>
              <w:pStyle w:val="TableContents"/>
              <w:bidi w:val="0"/>
              <w:spacing w:lineRule="auto" w:line="300" w:before="0" w:after="0"/>
              <w:jc w:val="left"/>
              <w:rPr/>
            </w:pPr>
            <w:r>
              <w:rPr/>
              <w:t>20-F</w:t>
            </w:r>
          </w:p>
        </w:tc>
        <w:tc>
          <w:tcPr>
            <w:tcW w:w="60" w:type="dxa"/>
            <w:tcBorders/>
            <w:vAlign w:val="center"/>
          </w:tcPr>
          <w:p>
            <w:pPr>
              <w:pStyle w:val="TableContents"/>
              <w:bidi w:val="0"/>
              <w:spacing w:before="0" w:after="283"/>
              <w:jc w:val="left"/>
              <w:rPr/>
            </w:pPr>
            <w:r>
              <w:rPr/>
            </w:r>
          </w:p>
        </w:tc>
        <w:tc>
          <w:tcPr>
            <w:tcW w:w="879" w:type="dxa"/>
            <w:tcBorders/>
            <w:vAlign w:val="center"/>
          </w:tcPr>
          <w:p>
            <w:pPr>
              <w:pStyle w:val="TableContents"/>
              <w:bidi w:val="0"/>
              <w:spacing w:lineRule="auto" w:line="300" w:before="0" w:after="0"/>
              <w:jc w:val="left"/>
              <w:rPr/>
            </w:pPr>
            <w:r>
              <w:rPr/>
              <w:t>001-40490</w:t>
            </w:r>
          </w:p>
        </w:tc>
        <w:tc>
          <w:tcPr>
            <w:tcW w:w="62" w:type="dxa"/>
            <w:tcBorders/>
            <w:vAlign w:val="center"/>
          </w:tcPr>
          <w:p>
            <w:pPr>
              <w:pStyle w:val="TableContents"/>
              <w:bidi w:val="0"/>
              <w:spacing w:before="0" w:after="283"/>
              <w:jc w:val="left"/>
              <w:rPr/>
            </w:pPr>
            <w:r>
              <w:rPr/>
            </w:r>
          </w:p>
        </w:tc>
        <w:tc>
          <w:tcPr>
            <w:tcW w:w="906" w:type="dxa"/>
            <w:tcBorders/>
            <w:vAlign w:val="center"/>
          </w:tcPr>
          <w:p>
            <w:pPr>
              <w:pStyle w:val="TableContents"/>
              <w:bidi w:val="0"/>
              <w:spacing w:lineRule="auto" w:line="300" w:before="0" w:after="0"/>
              <w:jc w:val="left"/>
              <w:rPr/>
            </w:pPr>
            <w:r>
              <w:rPr/>
              <w:t>8.1</w:t>
            </w:r>
          </w:p>
        </w:tc>
        <w:tc>
          <w:tcPr>
            <w:tcW w:w="60" w:type="dxa"/>
            <w:tcBorders/>
            <w:vAlign w:val="center"/>
          </w:tcPr>
          <w:p>
            <w:pPr>
              <w:pStyle w:val="TableContents"/>
              <w:bidi w:val="0"/>
              <w:spacing w:before="0" w:after="283"/>
              <w:jc w:val="left"/>
              <w:rPr/>
            </w:pPr>
            <w:r>
              <w:rPr/>
            </w:r>
          </w:p>
        </w:tc>
        <w:tc>
          <w:tcPr>
            <w:tcW w:w="723" w:type="dxa"/>
            <w:tcBorders/>
            <w:vAlign w:val="center"/>
          </w:tcPr>
          <w:p>
            <w:pPr>
              <w:pStyle w:val="TableContents"/>
              <w:bidi w:val="0"/>
              <w:spacing w:lineRule="auto" w:line="300" w:before="0" w:after="0"/>
              <w:jc w:val="left"/>
              <w:rPr/>
            </w:pPr>
            <w:r>
              <w:rPr/>
              <w:t>3/14/2023</w:t>
            </w:r>
          </w:p>
        </w:tc>
        <w:tc>
          <w:tcPr>
            <w:tcW w:w="60" w:type="dxa"/>
            <w:tcBorders/>
            <w:vAlign w:val="center"/>
          </w:tcPr>
          <w:p>
            <w:pPr>
              <w:pStyle w:val="TableContents"/>
              <w:bidi w:val="0"/>
              <w:spacing w:lineRule="auto" w:line="300" w:before="0" w:after="0"/>
              <w:jc w:val="left"/>
              <w:rPr/>
            </w:pPr>
            <w:r>
              <w:rPr/>
              <w:t> </w:t>
            </w:r>
          </w:p>
        </w:tc>
        <w:tc>
          <w:tcPr>
            <w:tcW w:w="1089" w:type="dxa"/>
            <w:tcBorders/>
            <w:vAlign w:val="center"/>
          </w:tcPr>
          <w:p>
            <w:pPr>
              <w:pStyle w:val="TableContents"/>
              <w:bidi w:val="0"/>
              <w:spacing w:lineRule="auto" w:line="300" w:before="0" w:after="0"/>
              <w:jc w:val="left"/>
              <w:rPr/>
            </w:pPr>
            <w:r>
              <w:rPr/>
            </w:r>
          </w:p>
        </w:tc>
      </w:tr>
      <w:tr>
        <w:trPr/>
        <w:tc>
          <w:tcPr>
            <w:tcW w:w="877" w:type="dxa"/>
            <w:tcBorders/>
            <w:vAlign w:val="center"/>
          </w:tcPr>
          <w:p>
            <w:pPr>
              <w:pStyle w:val="TableContents"/>
              <w:bidi w:val="0"/>
              <w:spacing w:lineRule="auto" w:line="300" w:before="0" w:after="0"/>
              <w:jc w:val="both"/>
              <w:rPr/>
            </w:pPr>
            <w:hyperlink w:anchor="exhibit_12-1.htm">
              <w:r>
                <w:rPr>
                  <w:rStyle w:val="InternetLink"/>
                </w:rPr>
                <w:t>12.1</w:t>
              </w:r>
            </w:hyperlink>
          </w:p>
        </w:tc>
        <w:tc>
          <w:tcPr>
            <w:tcW w:w="60" w:type="dxa"/>
            <w:tcBorders/>
            <w:vAlign w:val="center"/>
          </w:tcPr>
          <w:p>
            <w:pPr>
              <w:pStyle w:val="TableContents"/>
              <w:bidi w:val="0"/>
              <w:spacing w:before="0" w:after="283"/>
              <w:jc w:val="left"/>
              <w:rPr/>
            </w:pPr>
            <w:hyperlink w:anchor="exhibit_12-1.htm">
              <w:r>
                <w:rPr/>
              </w:r>
            </w:hyperlink>
          </w:p>
        </w:tc>
        <w:tc>
          <w:tcPr>
            <w:tcW w:w="4779" w:type="dxa"/>
            <w:tcBorders/>
            <w:vAlign w:val="center"/>
          </w:tcPr>
          <w:p>
            <w:pPr>
              <w:pStyle w:val="TableContents"/>
              <w:bidi w:val="0"/>
              <w:spacing w:lineRule="auto" w:line="300" w:before="0" w:after="0"/>
              <w:jc w:val="both"/>
              <w:rPr/>
            </w:pPr>
            <w:hyperlink w:anchor="exhibit_12-1.htm">
              <w:r>
                <w:rPr>
                  <w:rStyle w:val="InternetLink"/>
                </w:rPr>
                <w:t>Principal Executive Officer Certification Pursuant to Section 302 of the Sarbanes-Oxley Act of 2002</w:t>
              </w:r>
            </w:hyperlink>
          </w:p>
        </w:tc>
        <w:tc>
          <w:tcPr>
            <w:tcW w:w="60" w:type="dxa"/>
            <w:tcBorders/>
            <w:vAlign w:val="center"/>
          </w:tcPr>
          <w:p>
            <w:pPr>
              <w:pStyle w:val="TableContents"/>
              <w:bidi w:val="0"/>
              <w:spacing w:lineRule="auto" w:line="300" w:before="0" w:after="0"/>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300" w:before="0" w:after="0"/>
              <w:jc w:val="left"/>
              <w:rPr/>
            </w:pPr>
            <w:r>
              <w:rPr/>
              <w:t> </w:t>
            </w:r>
          </w:p>
        </w:tc>
        <w:tc>
          <w:tcPr>
            <w:tcW w:w="87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lineRule="auto" w:line="300" w:before="0" w:after="0"/>
              <w:jc w:val="left"/>
              <w:rPr/>
            </w:pPr>
            <w:r>
              <w:rPr/>
              <w:t> </w:t>
            </w:r>
          </w:p>
        </w:tc>
        <w:tc>
          <w:tcPr>
            <w:tcW w:w="9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300" w:before="0" w:after="0"/>
              <w:jc w:val="left"/>
              <w:rPr/>
            </w:pPr>
            <w:r>
              <w:rPr/>
              <w:t> </w:t>
            </w:r>
          </w:p>
        </w:tc>
        <w:tc>
          <w:tcPr>
            <w:tcW w:w="7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300" w:before="0" w:after="0"/>
              <w:jc w:val="left"/>
              <w:rPr/>
            </w:pPr>
            <w:r>
              <w:rPr/>
              <w:t> </w:t>
            </w:r>
          </w:p>
        </w:tc>
        <w:tc>
          <w:tcPr>
            <w:tcW w:w="1089" w:type="dxa"/>
            <w:tcBorders/>
            <w:vAlign w:val="center"/>
          </w:tcPr>
          <w:p>
            <w:pPr>
              <w:pStyle w:val="TableContents"/>
              <w:bidi w:val="0"/>
              <w:spacing w:lineRule="auto" w:line="300" w:before="0" w:after="0"/>
              <w:jc w:val="both"/>
              <w:rPr/>
            </w:pPr>
            <w:r>
              <w:rPr/>
              <w:t>*</w:t>
            </w:r>
          </w:p>
        </w:tc>
      </w:tr>
      <w:tr>
        <w:trPr/>
        <w:tc>
          <w:tcPr>
            <w:tcW w:w="877" w:type="dxa"/>
            <w:tcBorders/>
            <w:vAlign w:val="center"/>
          </w:tcPr>
          <w:p>
            <w:pPr>
              <w:pStyle w:val="TableContents"/>
              <w:bidi w:val="0"/>
              <w:spacing w:lineRule="auto" w:line="300" w:before="0" w:after="0"/>
              <w:jc w:val="both"/>
              <w:rPr/>
            </w:pPr>
            <w:hyperlink w:anchor="exhibit_12-2.htm">
              <w:r>
                <w:rPr>
                  <w:rStyle w:val="InternetLink"/>
                </w:rPr>
                <w:t>12.2</w:t>
              </w:r>
            </w:hyperlink>
          </w:p>
        </w:tc>
        <w:tc>
          <w:tcPr>
            <w:tcW w:w="60" w:type="dxa"/>
            <w:tcBorders/>
            <w:vAlign w:val="center"/>
          </w:tcPr>
          <w:p>
            <w:pPr>
              <w:pStyle w:val="TableContents"/>
              <w:bidi w:val="0"/>
              <w:spacing w:before="0" w:after="283"/>
              <w:jc w:val="left"/>
              <w:rPr/>
            </w:pPr>
            <w:hyperlink w:anchor="exhibit_12-2.htm">
              <w:r>
                <w:rPr/>
              </w:r>
            </w:hyperlink>
          </w:p>
        </w:tc>
        <w:tc>
          <w:tcPr>
            <w:tcW w:w="4779" w:type="dxa"/>
            <w:tcBorders/>
            <w:vAlign w:val="center"/>
          </w:tcPr>
          <w:p>
            <w:pPr>
              <w:pStyle w:val="TableContents"/>
              <w:bidi w:val="0"/>
              <w:spacing w:lineRule="auto" w:line="300" w:before="0" w:after="0"/>
              <w:jc w:val="both"/>
              <w:rPr/>
            </w:pPr>
            <w:hyperlink w:anchor="exhibit_12-2.htm">
              <w:r>
                <w:rPr>
                  <w:rStyle w:val="InternetLink"/>
                </w:rPr>
                <w:t>Principal Financial Officer Certification Pursuant to Section 302 of the Sarbanes-Oxley Act of 2002.</w:t>
              </w:r>
            </w:hyperlink>
          </w:p>
        </w:tc>
        <w:tc>
          <w:tcPr>
            <w:tcW w:w="60" w:type="dxa"/>
            <w:tcBorders/>
            <w:vAlign w:val="center"/>
          </w:tcPr>
          <w:p>
            <w:pPr>
              <w:pStyle w:val="TableContents"/>
              <w:bidi w:val="0"/>
              <w:spacing w:lineRule="auto" w:line="300" w:before="0" w:after="0"/>
              <w:jc w:val="left"/>
              <w:rPr/>
            </w:pPr>
            <w:r>
              <w:rPr/>
              <w:t> </w:t>
            </w:r>
          </w:p>
        </w:tc>
        <w:tc>
          <w:tcPr>
            <w:tcW w:w="590"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879" w:type="dxa"/>
            <w:tcBorders/>
            <w:vAlign w:val="center"/>
          </w:tcPr>
          <w:p>
            <w:pPr>
              <w:pStyle w:val="TableContents"/>
              <w:bidi w:val="0"/>
              <w:spacing w:lineRule="auto" w:line="300" w:before="0" w:after="0"/>
              <w:jc w:val="both"/>
              <w:rPr/>
            </w:pPr>
            <w:r>
              <w:rPr/>
              <w:t> </w:t>
            </w:r>
          </w:p>
        </w:tc>
        <w:tc>
          <w:tcPr>
            <w:tcW w:w="62" w:type="dxa"/>
            <w:tcBorders/>
            <w:vAlign w:val="center"/>
          </w:tcPr>
          <w:p>
            <w:pPr>
              <w:pStyle w:val="TableContents"/>
              <w:bidi w:val="0"/>
              <w:spacing w:lineRule="auto" w:line="300" w:before="0" w:after="0"/>
              <w:jc w:val="left"/>
              <w:rPr/>
            </w:pPr>
            <w:r>
              <w:rPr/>
              <w:t> </w:t>
            </w:r>
          </w:p>
        </w:tc>
        <w:tc>
          <w:tcPr>
            <w:tcW w:w="906"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723"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1089" w:type="dxa"/>
            <w:tcBorders/>
            <w:vAlign w:val="center"/>
          </w:tcPr>
          <w:p>
            <w:pPr>
              <w:pStyle w:val="TableContents"/>
              <w:bidi w:val="0"/>
              <w:spacing w:lineRule="auto" w:line="300" w:before="0" w:after="0"/>
              <w:jc w:val="both"/>
              <w:rPr/>
            </w:pPr>
            <w:r>
              <w:rPr/>
              <w:t>*</w:t>
            </w:r>
          </w:p>
        </w:tc>
      </w:tr>
      <w:tr>
        <w:trPr/>
        <w:tc>
          <w:tcPr>
            <w:tcW w:w="877" w:type="dxa"/>
            <w:tcBorders/>
            <w:vAlign w:val="center"/>
          </w:tcPr>
          <w:p>
            <w:pPr>
              <w:pStyle w:val="TableContents"/>
              <w:bidi w:val="0"/>
              <w:spacing w:lineRule="auto" w:line="300" w:before="0" w:after="0"/>
              <w:jc w:val="both"/>
              <w:rPr/>
            </w:pPr>
            <w:hyperlink w:anchor="exhibit_13-1.htm">
              <w:r>
                <w:rPr>
                  <w:rStyle w:val="InternetLink"/>
                </w:rPr>
                <w:t>13.1</w:t>
              </w:r>
            </w:hyperlink>
          </w:p>
        </w:tc>
        <w:tc>
          <w:tcPr>
            <w:tcW w:w="60" w:type="dxa"/>
            <w:tcBorders/>
            <w:vAlign w:val="center"/>
          </w:tcPr>
          <w:p>
            <w:pPr>
              <w:pStyle w:val="TableContents"/>
              <w:bidi w:val="0"/>
              <w:spacing w:before="0" w:after="283"/>
              <w:jc w:val="left"/>
              <w:rPr/>
            </w:pPr>
            <w:hyperlink w:anchor="exhibit_13-1.htm">
              <w:r>
                <w:rPr/>
              </w:r>
            </w:hyperlink>
          </w:p>
        </w:tc>
        <w:tc>
          <w:tcPr>
            <w:tcW w:w="4779" w:type="dxa"/>
            <w:tcBorders/>
            <w:vAlign w:val="center"/>
          </w:tcPr>
          <w:p>
            <w:pPr>
              <w:pStyle w:val="TableContents"/>
              <w:bidi w:val="0"/>
              <w:spacing w:lineRule="auto" w:line="300" w:before="0" w:after="0"/>
              <w:jc w:val="both"/>
              <w:rPr/>
            </w:pPr>
            <w:hyperlink w:anchor="exhibit_13-1.htm">
              <w:r>
                <w:rPr>
                  <w:rStyle w:val="InternetLink"/>
                </w:rPr>
                <w:t>Principal Executive Officer Certification Pursuant to Section 906 of the Sarbanes-Oxley Act of 2002.</w:t>
              </w:r>
            </w:hyperlink>
          </w:p>
        </w:tc>
        <w:tc>
          <w:tcPr>
            <w:tcW w:w="60" w:type="dxa"/>
            <w:tcBorders/>
            <w:vAlign w:val="center"/>
          </w:tcPr>
          <w:p>
            <w:pPr>
              <w:pStyle w:val="TableContents"/>
              <w:bidi w:val="0"/>
              <w:spacing w:lineRule="auto" w:line="300" w:before="0" w:after="0"/>
              <w:jc w:val="left"/>
              <w:rPr/>
            </w:pPr>
            <w:r>
              <w:rPr/>
              <w:t> </w:t>
            </w:r>
          </w:p>
        </w:tc>
        <w:tc>
          <w:tcPr>
            <w:tcW w:w="590"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879" w:type="dxa"/>
            <w:tcBorders/>
            <w:vAlign w:val="center"/>
          </w:tcPr>
          <w:p>
            <w:pPr>
              <w:pStyle w:val="TableContents"/>
              <w:bidi w:val="0"/>
              <w:spacing w:lineRule="auto" w:line="300" w:before="0" w:after="0"/>
              <w:jc w:val="both"/>
              <w:rPr/>
            </w:pPr>
            <w:r>
              <w:rPr/>
              <w:t> </w:t>
            </w:r>
          </w:p>
        </w:tc>
        <w:tc>
          <w:tcPr>
            <w:tcW w:w="62" w:type="dxa"/>
            <w:tcBorders/>
            <w:vAlign w:val="center"/>
          </w:tcPr>
          <w:p>
            <w:pPr>
              <w:pStyle w:val="TableContents"/>
              <w:bidi w:val="0"/>
              <w:spacing w:lineRule="auto" w:line="300" w:before="0" w:after="0"/>
              <w:jc w:val="left"/>
              <w:rPr/>
            </w:pPr>
            <w:r>
              <w:rPr/>
              <w:t> </w:t>
            </w:r>
          </w:p>
        </w:tc>
        <w:tc>
          <w:tcPr>
            <w:tcW w:w="906"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723"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1089" w:type="dxa"/>
            <w:tcBorders/>
            <w:vAlign w:val="center"/>
          </w:tcPr>
          <w:p>
            <w:pPr>
              <w:pStyle w:val="TableContents"/>
              <w:bidi w:val="0"/>
              <w:spacing w:lineRule="auto" w:line="300" w:before="0" w:after="0"/>
              <w:jc w:val="both"/>
              <w:rPr/>
            </w:pPr>
            <w:r>
              <w:rPr/>
              <w:t>**</w:t>
            </w:r>
          </w:p>
        </w:tc>
      </w:tr>
      <w:tr>
        <w:trPr/>
        <w:tc>
          <w:tcPr>
            <w:tcW w:w="877" w:type="dxa"/>
            <w:tcBorders/>
            <w:vAlign w:val="center"/>
          </w:tcPr>
          <w:p>
            <w:pPr>
              <w:pStyle w:val="TableContents"/>
              <w:bidi w:val="0"/>
              <w:spacing w:lineRule="auto" w:line="300" w:before="0" w:after="0"/>
              <w:jc w:val="both"/>
              <w:rPr/>
            </w:pPr>
            <w:hyperlink w:anchor="exhibit_13-2.htm">
              <w:r>
                <w:rPr>
                  <w:rStyle w:val="InternetLink"/>
                </w:rPr>
                <w:t>13.2</w:t>
              </w:r>
            </w:hyperlink>
          </w:p>
        </w:tc>
        <w:tc>
          <w:tcPr>
            <w:tcW w:w="60" w:type="dxa"/>
            <w:tcBorders/>
            <w:vAlign w:val="center"/>
          </w:tcPr>
          <w:p>
            <w:pPr>
              <w:pStyle w:val="TableContents"/>
              <w:bidi w:val="0"/>
              <w:spacing w:before="0" w:after="283"/>
              <w:jc w:val="left"/>
              <w:rPr/>
            </w:pPr>
            <w:hyperlink w:anchor="exhibit_13-2.htm">
              <w:r>
                <w:rPr/>
              </w:r>
            </w:hyperlink>
          </w:p>
        </w:tc>
        <w:tc>
          <w:tcPr>
            <w:tcW w:w="4779" w:type="dxa"/>
            <w:tcBorders/>
            <w:vAlign w:val="center"/>
          </w:tcPr>
          <w:p>
            <w:pPr>
              <w:pStyle w:val="TableContents"/>
              <w:bidi w:val="0"/>
              <w:spacing w:lineRule="auto" w:line="300" w:before="0" w:after="0"/>
              <w:jc w:val="both"/>
              <w:rPr/>
            </w:pPr>
            <w:hyperlink w:anchor="exhibit_13-2.htm">
              <w:r>
                <w:rPr>
                  <w:rStyle w:val="InternetLink"/>
                </w:rPr>
                <w:t>Principal Financial Officer Certification Pursuant to Section 906 of the Sarbanes-Oxley Act of 2002.</w:t>
              </w:r>
            </w:hyperlink>
          </w:p>
        </w:tc>
        <w:tc>
          <w:tcPr>
            <w:tcW w:w="60" w:type="dxa"/>
            <w:tcBorders/>
            <w:vAlign w:val="center"/>
          </w:tcPr>
          <w:p>
            <w:pPr>
              <w:pStyle w:val="TableContents"/>
              <w:bidi w:val="0"/>
              <w:spacing w:lineRule="auto" w:line="300" w:before="0" w:after="0"/>
              <w:jc w:val="left"/>
              <w:rPr/>
            </w:pPr>
            <w:r>
              <w:rPr/>
              <w:t> </w:t>
            </w:r>
          </w:p>
        </w:tc>
        <w:tc>
          <w:tcPr>
            <w:tcW w:w="590"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879" w:type="dxa"/>
            <w:tcBorders/>
            <w:vAlign w:val="center"/>
          </w:tcPr>
          <w:p>
            <w:pPr>
              <w:pStyle w:val="TableContents"/>
              <w:bidi w:val="0"/>
              <w:spacing w:lineRule="auto" w:line="300" w:before="0" w:after="0"/>
              <w:jc w:val="both"/>
              <w:rPr/>
            </w:pPr>
            <w:r>
              <w:rPr/>
              <w:t> </w:t>
            </w:r>
          </w:p>
        </w:tc>
        <w:tc>
          <w:tcPr>
            <w:tcW w:w="62" w:type="dxa"/>
            <w:tcBorders/>
            <w:vAlign w:val="center"/>
          </w:tcPr>
          <w:p>
            <w:pPr>
              <w:pStyle w:val="TableContents"/>
              <w:bidi w:val="0"/>
              <w:spacing w:lineRule="auto" w:line="300" w:before="0" w:after="0"/>
              <w:jc w:val="left"/>
              <w:rPr/>
            </w:pPr>
            <w:r>
              <w:rPr/>
              <w:t> </w:t>
            </w:r>
          </w:p>
        </w:tc>
        <w:tc>
          <w:tcPr>
            <w:tcW w:w="906"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723"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1089" w:type="dxa"/>
            <w:tcBorders/>
            <w:vAlign w:val="center"/>
          </w:tcPr>
          <w:p>
            <w:pPr>
              <w:pStyle w:val="TableContents"/>
              <w:bidi w:val="0"/>
              <w:spacing w:lineRule="auto" w:line="300" w:before="0" w:after="0"/>
              <w:jc w:val="both"/>
              <w:rPr/>
            </w:pPr>
            <w:r>
              <w:rPr/>
              <w:t>**</w:t>
            </w:r>
          </w:p>
        </w:tc>
      </w:tr>
      <w:tr>
        <w:trPr/>
        <w:tc>
          <w:tcPr>
            <w:tcW w:w="877" w:type="dxa"/>
            <w:tcBorders/>
            <w:vAlign w:val="center"/>
          </w:tcPr>
          <w:p>
            <w:pPr>
              <w:pStyle w:val="TableContents"/>
              <w:bidi w:val="0"/>
              <w:spacing w:lineRule="auto" w:line="300" w:before="0" w:after="0"/>
              <w:jc w:val="both"/>
              <w:rPr/>
            </w:pPr>
            <w:hyperlink w:anchor="exhibit_15-1.htm">
              <w:r>
                <w:rPr>
                  <w:rStyle w:val="InternetLink"/>
                </w:rPr>
                <w:t>15.1</w:t>
              </w:r>
            </w:hyperlink>
          </w:p>
        </w:tc>
        <w:tc>
          <w:tcPr>
            <w:tcW w:w="60" w:type="dxa"/>
            <w:tcBorders/>
            <w:vAlign w:val="center"/>
          </w:tcPr>
          <w:p>
            <w:pPr>
              <w:pStyle w:val="TableContents"/>
              <w:bidi w:val="0"/>
              <w:spacing w:before="0" w:after="283"/>
              <w:jc w:val="left"/>
              <w:rPr/>
            </w:pPr>
            <w:hyperlink w:anchor="exhibit_15-1.htm">
              <w:r>
                <w:rPr/>
              </w:r>
            </w:hyperlink>
          </w:p>
        </w:tc>
        <w:tc>
          <w:tcPr>
            <w:tcW w:w="4779" w:type="dxa"/>
            <w:tcBorders/>
            <w:vAlign w:val="center"/>
          </w:tcPr>
          <w:p>
            <w:pPr>
              <w:pStyle w:val="TableContents"/>
              <w:bidi w:val="0"/>
              <w:spacing w:lineRule="auto" w:line="300" w:before="0" w:after="0"/>
              <w:jc w:val="both"/>
              <w:rPr/>
            </w:pPr>
            <w:hyperlink w:anchor="exhibit_15-1.htm">
              <w:r>
                <w:rPr>
                  <w:rStyle w:val="InternetLink"/>
                </w:rPr>
                <w:t>Consent of Kost, Forer, Gabbay and Kasierer, a member of Ernst &amp; Young Global.</w:t>
              </w:r>
            </w:hyperlink>
          </w:p>
        </w:tc>
        <w:tc>
          <w:tcPr>
            <w:tcW w:w="60" w:type="dxa"/>
            <w:tcBorders/>
            <w:vAlign w:val="center"/>
          </w:tcPr>
          <w:p>
            <w:pPr>
              <w:pStyle w:val="TableContents"/>
              <w:bidi w:val="0"/>
              <w:spacing w:lineRule="auto" w:line="300" w:before="0" w:after="0"/>
              <w:jc w:val="left"/>
              <w:rPr/>
            </w:pPr>
            <w:r>
              <w:rPr/>
              <w:t> </w:t>
            </w:r>
          </w:p>
        </w:tc>
        <w:tc>
          <w:tcPr>
            <w:tcW w:w="590"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879" w:type="dxa"/>
            <w:tcBorders/>
            <w:vAlign w:val="center"/>
          </w:tcPr>
          <w:p>
            <w:pPr>
              <w:pStyle w:val="TableContents"/>
              <w:bidi w:val="0"/>
              <w:spacing w:lineRule="auto" w:line="300" w:before="0" w:after="0"/>
              <w:jc w:val="both"/>
              <w:rPr/>
            </w:pPr>
            <w:r>
              <w:rPr/>
              <w:t> </w:t>
            </w:r>
          </w:p>
        </w:tc>
        <w:tc>
          <w:tcPr>
            <w:tcW w:w="62" w:type="dxa"/>
            <w:tcBorders/>
            <w:vAlign w:val="center"/>
          </w:tcPr>
          <w:p>
            <w:pPr>
              <w:pStyle w:val="TableContents"/>
              <w:bidi w:val="0"/>
              <w:spacing w:lineRule="auto" w:line="300" w:before="0" w:after="0"/>
              <w:jc w:val="left"/>
              <w:rPr/>
            </w:pPr>
            <w:r>
              <w:rPr/>
              <w:t> </w:t>
            </w:r>
          </w:p>
        </w:tc>
        <w:tc>
          <w:tcPr>
            <w:tcW w:w="906"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723"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1089" w:type="dxa"/>
            <w:tcBorders/>
            <w:vAlign w:val="center"/>
          </w:tcPr>
          <w:p>
            <w:pPr>
              <w:pStyle w:val="TableContents"/>
              <w:bidi w:val="0"/>
              <w:spacing w:lineRule="auto" w:line="300" w:before="0" w:after="0"/>
              <w:jc w:val="both"/>
              <w:rPr/>
            </w:pPr>
            <w:r>
              <w:rPr/>
              <w:t>*</w:t>
            </w:r>
          </w:p>
        </w:tc>
      </w:tr>
      <w:tr>
        <w:trPr/>
        <w:tc>
          <w:tcPr>
            <w:tcW w:w="877" w:type="dxa"/>
            <w:tcBorders/>
            <w:vAlign w:val="center"/>
          </w:tcPr>
          <w:p>
            <w:pPr>
              <w:pStyle w:val="TableContents"/>
              <w:bidi w:val="0"/>
              <w:spacing w:lineRule="auto" w:line="300" w:before="0" w:after="0"/>
              <w:jc w:val="both"/>
              <w:rPr/>
            </w:pPr>
            <w:hyperlink w:anchor="exhibit_97-1.htm">
              <w:r>
                <w:rPr>
                  <w:rStyle w:val="InternetLink"/>
                </w:rPr>
                <w:t>97.1</w:t>
              </w:r>
            </w:hyperlink>
          </w:p>
        </w:tc>
        <w:tc>
          <w:tcPr>
            <w:tcW w:w="60" w:type="dxa"/>
            <w:tcBorders/>
            <w:vAlign w:val="center"/>
          </w:tcPr>
          <w:p>
            <w:pPr>
              <w:pStyle w:val="TableContents"/>
              <w:bidi w:val="0"/>
              <w:spacing w:before="0" w:after="283"/>
              <w:jc w:val="left"/>
              <w:rPr/>
            </w:pPr>
            <w:hyperlink w:anchor="exhibit_97-1.htm">
              <w:r>
                <w:rPr/>
              </w:r>
            </w:hyperlink>
          </w:p>
        </w:tc>
        <w:tc>
          <w:tcPr>
            <w:tcW w:w="4779" w:type="dxa"/>
            <w:tcBorders/>
            <w:vAlign w:val="center"/>
          </w:tcPr>
          <w:p>
            <w:pPr>
              <w:pStyle w:val="TableContents"/>
              <w:bidi w:val="0"/>
              <w:spacing w:lineRule="auto" w:line="300" w:before="0" w:after="0"/>
              <w:jc w:val="both"/>
              <w:rPr/>
            </w:pPr>
            <w:hyperlink w:anchor="exhibit_97-1.htm">
              <w:r>
                <w:rPr>
                  <w:rStyle w:val="InternetLink"/>
                </w:rPr>
                <w:t>WalkMe Compensation Recovery Policy</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lineRule="auto" w:line="300" w:before="0" w:after="0"/>
              <w:jc w:val="both"/>
              <w:rPr/>
            </w:pPr>
            <w:r>
              <w:rPr/>
              <w:t>*</w:t>
            </w:r>
          </w:p>
        </w:tc>
      </w:tr>
      <w:tr>
        <w:trPr/>
        <w:tc>
          <w:tcPr>
            <w:tcW w:w="877" w:type="dxa"/>
            <w:tcBorders/>
            <w:vAlign w:val="center"/>
          </w:tcPr>
          <w:p>
            <w:pPr>
              <w:pStyle w:val="TableContents"/>
              <w:bidi w:val="0"/>
              <w:spacing w:lineRule="auto" w:line="300" w:before="0" w:after="0"/>
              <w:jc w:val="both"/>
              <w:rPr/>
            </w:pPr>
            <w:r>
              <w:rPr/>
              <w:t>101.INS</w:t>
            </w:r>
          </w:p>
        </w:tc>
        <w:tc>
          <w:tcPr>
            <w:tcW w:w="60" w:type="dxa"/>
            <w:tcBorders/>
            <w:vAlign w:val="center"/>
          </w:tcPr>
          <w:p>
            <w:pPr>
              <w:pStyle w:val="TableContents"/>
              <w:bidi w:val="0"/>
              <w:spacing w:before="0" w:after="283"/>
              <w:jc w:val="left"/>
              <w:rPr/>
            </w:pPr>
            <w:r>
              <w:rPr/>
            </w:r>
          </w:p>
        </w:tc>
        <w:tc>
          <w:tcPr>
            <w:tcW w:w="4779" w:type="dxa"/>
            <w:tcBorders/>
            <w:vAlign w:val="center"/>
          </w:tcPr>
          <w:p>
            <w:pPr>
              <w:pStyle w:val="TableContents"/>
              <w:bidi w:val="0"/>
              <w:spacing w:lineRule="auto" w:line="300" w:before="0" w:after="0"/>
              <w:jc w:val="both"/>
              <w:rPr/>
            </w:pPr>
            <w:r>
              <w:rPr/>
              <w:t>Inline XBRL Instance Document - the instance document does not appear in the Interactive Data File because XBRL tags are embedded within the Inline XBRL document.</w:t>
            </w:r>
          </w:p>
        </w:tc>
        <w:tc>
          <w:tcPr>
            <w:tcW w:w="60" w:type="dxa"/>
            <w:tcBorders/>
            <w:vAlign w:val="center"/>
          </w:tcPr>
          <w:p>
            <w:pPr>
              <w:pStyle w:val="TableContents"/>
              <w:bidi w:val="0"/>
              <w:spacing w:lineRule="auto" w:line="300" w:before="0" w:after="0"/>
              <w:jc w:val="left"/>
              <w:rPr/>
            </w:pPr>
            <w:r>
              <w:rPr/>
              <w:t> </w:t>
            </w:r>
          </w:p>
        </w:tc>
        <w:tc>
          <w:tcPr>
            <w:tcW w:w="590"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879" w:type="dxa"/>
            <w:tcBorders/>
            <w:vAlign w:val="center"/>
          </w:tcPr>
          <w:p>
            <w:pPr>
              <w:pStyle w:val="TableContents"/>
              <w:bidi w:val="0"/>
              <w:spacing w:lineRule="auto" w:line="300" w:before="0" w:after="0"/>
              <w:jc w:val="both"/>
              <w:rPr/>
            </w:pPr>
            <w:r>
              <w:rPr/>
              <w:t> </w:t>
            </w:r>
          </w:p>
        </w:tc>
        <w:tc>
          <w:tcPr>
            <w:tcW w:w="62" w:type="dxa"/>
            <w:tcBorders/>
            <w:vAlign w:val="center"/>
          </w:tcPr>
          <w:p>
            <w:pPr>
              <w:pStyle w:val="TableContents"/>
              <w:bidi w:val="0"/>
              <w:spacing w:lineRule="auto" w:line="300" w:before="0" w:after="0"/>
              <w:jc w:val="left"/>
              <w:rPr/>
            </w:pPr>
            <w:r>
              <w:rPr/>
              <w:t> </w:t>
            </w:r>
          </w:p>
        </w:tc>
        <w:tc>
          <w:tcPr>
            <w:tcW w:w="906"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723"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1089" w:type="dxa"/>
            <w:tcBorders/>
            <w:vAlign w:val="center"/>
          </w:tcPr>
          <w:p>
            <w:pPr>
              <w:pStyle w:val="TableContents"/>
              <w:bidi w:val="0"/>
              <w:spacing w:lineRule="auto" w:line="300" w:before="0" w:after="0"/>
              <w:jc w:val="both"/>
              <w:rPr/>
            </w:pPr>
            <w:r>
              <w:rPr/>
              <w:t>*</w:t>
            </w:r>
          </w:p>
        </w:tc>
      </w:tr>
      <w:tr>
        <w:trPr/>
        <w:tc>
          <w:tcPr>
            <w:tcW w:w="877" w:type="dxa"/>
            <w:tcBorders/>
            <w:vAlign w:val="center"/>
          </w:tcPr>
          <w:p>
            <w:pPr>
              <w:pStyle w:val="TableContents"/>
              <w:bidi w:val="0"/>
              <w:spacing w:lineRule="auto" w:line="300" w:before="0" w:after="0"/>
              <w:jc w:val="both"/>
              <w:rPr/>
            </w:pPr>
            <w:r>
              <w:rPr/>
              <w:t>101.SCH</w:t>
            </w:r>
          </w:p>
        </w:tc>
        <w:tc>
          <w:tcPr>
            <w:tcW w:w="60" w:type="dxa"/>
            <w:tcBorders/>
            <w:vAlign w:val="center"/>
          </w:tcPr>
          <w:p>
            <w:pPr>
              <w:pStyle w:val="TableContents"/>
              <w:bidi w:val="0"/>
              <w:spacing w:before="0" w:after="283"/>
              <w:jc w:val="left"/>
              <w:rPr/>
            </w:pPr>
            <w:r>
              <w:rPr/>
            </w:r>
          </w:p>
        </w:tc>
        <w:tc>
          <w:tcPr>
            <w:tcW w:w="4779" w:type="dxa"/>
            <w:tcBorders/>
            <w:vAlign w:val="center"/>
          </w:tcPr>
          <w:p>
            <w:pPr>
              <w:pStyle w:val="TableContents"/>
              <w:bidi w:val="0"/>
              <w:spacing w:lineRule="auto" w:line="300" w:before="0" w:after="0"/>
              <w:jc w:val="both"/>
              <w:rPr/>
            </w:pPr>
            <w:r>
              <w:rPr/>
              <w:t>Inline XBRL Taxonomy Extension Schema Document.</w:t>
            </w:r>
          </w:p>
        </w:tc>
        <w:tc>
          <w:tcPr>
            <w:tcW w:w="60" w:type="dxa"/>
            <w:tcBorders/>
            <w:vAlign w:val="center"/>
          </w:tcPr>
          <w:p>
            <w:pPr>
              <w:pStyle w:val="TableContents"/>
              <w:bidi w:val="0"/>
              <w:spacing w:lineRule="auto" w:line="300" w:before="0" w:after="0"/>
              <w:jc w:val="left"/>
              <w:rPr/>
            </w:pPr>
            <w:r>
              <w:rPr/>
              <w:t> </w:t>
            </w:r>
          </w:p>
        </w:tc>
        <w:tc>
          <w:tcPr>
            <w:tcW w:w="590"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879" w:type="dxa"/>
            <w:tcBorders/>
            <w:vAlign w:val="center"/>
          </w:tcPr>
          <w:p>
            <w:pPr>
              <w:pStyle w:val="TableContents"/>
              <w:bidi w:val="0"/>
              <w:spacing w:lineRule="auto" w:line="300" w:before="0" w:after="0"/>
              <w:jc w:val="both"/>
              <w:rPr/>
            </w:pPr>
            <w:r>
              <w:rPr/>
              <w:t> </w:t>
            </w:r>
          </w:p>
        </w:tc>
        <w:tc>
          <w:tcPr>
            <w:tcW w:w="62" w:type="dxa"/>
            <w:tcBorders/>
            <w:vAlign w:val="center"/>
          </w:tcPr>
          <w:p>
            <w:pPr>
              <w:pStyle w:val="TableContents"/>
              <w:bidi w:val="0"/>
              <w:spacing w:lineRule="auto" w:line="300" w:before="0" w:after="0"/>
              <w:jc w:val="left"/>
              <w:rPr/>
            </w:pPr>
            <w:r>
              <w:rPr/>
              <w:t> </w:t>
            </w:r>
          </w:p>
        </w:tc>
        <w:tc>
          <w:tcPr>
            <w:tcW w:w="906"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723"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1089" w:type="dxa"/>
            <w:tcBorders/>
            <w:vAlign w:val="center"/>
          </w:tcPr>
          <w:p>
            <w:pPr>
              <w:pStyle w:val="TableContents"/>
              <w:bidi w:val="0"/>
              <w:spacing w:lineRule="auto" w:line="300" w:before="0" w:after="0"/>
              <w:jc w:val="both"/>
              <w:rPr/>
            </w:pPr>
            <w:r>
              <w:rPr/>
              <w:t>*</w:t>
            </w:r>
          </w:p>
        </w:tc>
      </w:tr>
      <w:tr>
        <w:trPr/>
        <w:tc>
          <w:tcPr>
            <w:tcW w:w="877" w:type="dxa"/>
            <w:tcBorders/>
            <w:vAlign w:val="center"/>
          </w:tcPr>
          <w:p>
            <w:pPr>
              <w:pStyle w:val="TableContents"/>
              <w:bidi w:val="0"/>
              <w:spacing w:lineRule="auto" w:line="300" w:before="0" w:after="0"/>
              <w:jc w:val="both"/>
              <w:rPr/>
            </w:pPr>
            <w:r>
              <w:rPr/>
              <w:t>101.CAL</w:t>
            </w:r>
          </w:p>
        </w:tc>
        <w:tc>
          <w:tcPr>
            <w:tcW w:w="60" w:type="dxa"/>
            <w:tcBorders/>
            <w:vAlign w:val="center"/>
          </w:tcPr>
          <w:p>
            <w:pPr>
              <w:pStyle w:val="TableContents"/>
              <w:bidi w:val="0"/>
              <w:spacing w:before="0" w:after="283"/>
              <w:jc w:val="left"/>
              <w:rPr/>
            </w:pPr>
            <w:r>
              <w:rPr/>
            </w:r>
          </w:p>
        </w:tc>
        <w:tc>
          <w:tcPr>
            <w:tcW w:w="4779" w:type="dxa"/>
            <w:tcBorders/>
            <w:vAlign w:val="center"/>
          </w:tcPr>
          <w:p>
            <w:pPr>
              <w:pStyle w:val="TableContents"/>
              <w:bidi w:val="0"/>
              <w:spacing w:lineRule="auto" w:line="300" w:before="0" w:after="0"/>
              <w:jc w:val="both"/>
              <w:rPr/>
            </w:pPr>
            <w:r>
              <w:rPr/>
              <w:t>Inline XBRL Taxonomy Extension Calculation Linkbase Document.</w:t>
            </w:r>
          </w:p>
        </w:tc>
        <w:tc>
          <w:tcPr>
            <w:tcW w:w="60" w:type="dxa"/>
            <w:tcBorders/>
            <w:vAlign w:val="center"/>
          </w:tcPr>
          <w:p>
            <w:pPr>
              <w:pStyle w:val="TableContents"/>
              <w:bidi w:val="0"/>
              <w:spacing w:lineRule="auto" w:line="300" w:before="0" w:after="0"/>
              <w:jc w:val="left"/>
              <w:rPr/>
            </w:pPr>
            <w:r>
              <w:rPr/>
              <w:t> </w:t>
            </w:r>
          </w:p>
        </w:tc>
        <w:tc>
          <w:tcPr>
            <w:tcW w:w="590"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879" w:type="dxa"/>
            <w:tcBorders/>
            <w:vAlign w:val="center"/>
          </w:tcPr>
          <w:p>
            <w:pPr>
              <w:pStyle w:val="TableContents"/>
              <w:bidi w:val="0"/>
              <w:spacing w:lineRule="auto" w:line="300" w:before="0" w:after="0"/>
              <w:jc w:val="both"/>
              <w:rPr/>
            </w:pPr>
            <w:r>
              <w:rPr/>
              <w:t> </w:t>
            </w:r>
          </w:p>
        </w:tc>
        <w:tc>
          <w:tcPr>
            <w:tcW w:w="62" w:type="dxa"/>
            <w:tcBorders/>
            <w:vAlign w:val="center"/>
          </w:tcPr>
          <w:p>
            <w:pPr>
              <w:pStyle w:val="TableContents"/>
              <w:bidi w:val="0"/>
              <w:spacing w:lineRule="auto" w:line="300" w:before="0" w:after="0"/>
              <w:jc w:val="left"/>
              <w:rPr/>
            </w:pPr>
            <w:r>
              <w:rPr/>
              <w:t> </w:t>
            </w:r>
          </w:p>
        </w:tc>
        <w:tc>
          <w:tcPr>
            <w:tcW w:w="906"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723"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1089" w:type="dxa"/>
            <w:tcBorders/>
            <w:vAlign w:val="center"/>
          </w:tcPr>
          <w:p>
            <w:pPr>
              <w:pStyle w:val="TableContents"/>
              <w:bidi w:val="0"/>
              <w:spacing w:lineRule="auto" w:line="300" w:before="0" w:after="0"/>
              <w:jc w:val="both"/>
              <w:rPr/>
            </w:pPr>
            <w:r>
              <w:rPr/>
              <w:t>*</w:t>
            </w:r>
          </w:p>
        </w:tc>
      </w:tr>
      <w:tr>
        <w:trPr/>
        <w:tc>
          <w:tcPr>
            <w:tcW w:w="877" w:type="dxa"/>
            <w:tcBorders/>
            <w:vAlign w:val="center"/>
          </w:tcPr>
          <w:p>
            <w:pPr>
              <w:pStyle w:val="TableContents"/>
              <w:bidi w:val="0"/>
              <w:spacing w:lineRule="auto" w:line="300" w:before="0" w:after="0"/>
              <w:jc w:val="both"/>
              <w:rPr/>
            </w:pPr>
            <w:r>
              <w:rPr/>
              <w:t>101.DEF</w:t>
            </w:r>
          </w:p>
        </w:tc>
        <w:tc>
          <w:tcPr>
            <w:tcW w:w="60" w:type="dxa"/>
            <w:tcBorders/>
            <w:vAlign w:val="center"/>
          </w:tcPr>
          <w:p>
            <w:pPr>
              <w:pStyle w:val="TableContents"/>
              <w:bidi w:val="0"/>
              <w:spacing w:before="0" w:after="283"/>
              <w:jc w:val="left"/>
              <w:rPr/>
            </w:pPr>
            <w:r>
              <w:rPr/>
            </w:r>
          </w:p>
        </w:tc>
        <w:tc>
          <w:tcPr>
            <w:tcW w:w="4779" w:type="dxa"/>
            <w:tcBorders/>
            <w:vAlign w:val="center"/>
          </w:tcPr>
          <w:p>
            <w:pPr>
              <w:pStyle w:val="TableContents"/>
              <w:bidi w:val="0"/>
              <w:spacing w:lineRule="auto" w:line="300" w:before="0" w:after="0"/>
              <w:jc w:val="both"/>
              <w:rPr/>
            </w:pPr>
            <w:r>
              <w:rPr/>
              <w:t>Inline XBRL Taxonomy Definition Linkbase Document.</w:t>
            </w:r>
          </w:p>
        </w:tc>
        <w:tc>
          <w:tcPr>
            <w:tcW w:w="60" w:type="dxa"/>
            <w:tcBorders/>
            <w:vAlign w:val="center"/>
          </w:tcPr>
          <w:p>
            <w:pPr>
              <w:pStyle w:val="TableContents"/>
              <w:bidi w:val="0"/>
              <w:spacing w:lineRule="auto" w:line="300" w:before="0" w:after="0"/>
              <w:jc w:val="left"/>
              <w:rPr/>
            </w:pPr>
            <w:r>
              <w:rPr/>
              <w:t> </w:t>
            </w:r>
          </w:p>
        </w:tc>
        <w:tc>
          <w:tcPr>
            <w:tcW w:w="590"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879" w:type="dxa"/>
            <w:tcBorders/>
            <w:vAlign w:val="center"/>
          </w:tcPr>
          <w:p>
            <w:pPr>
              <w:pStyle w:val="TableContents"/>
              <w:bidi w:val="0"/>
              <w:spacing w:lineRule="auto" w:line="300" w:before="0" w:after="0"/>
              <w:jc w:val="both"/>
              <w:rPr/>
            </w:pPr>
            <w:r>
              <w:rPr/>
              <w:t> </w:t>
            </w:r>
          </w:p>
        </w:tc>
        <w:tc>
          <w:tcPr>
            <w:tcW w:w="62" w:type="dxa"/>
            <w:tcBorders/>
            <w:vAlign w:val="center"/>
          </w:tcPr>
          <w:p>
            <w:pPr>
              <w:pStyle w:val="TableContents"/>
              <w:bidi w:val="0"/>
              <w:spacing w:lineRule="auto" w:line="300" w:before="0" w:after="0"/>
              <w:jc w:val="left"/>
              <w:rPr/>
            </w:pPr>
            <w:r>
              <w:rPr/>
              <w:t> </w:t>
            </w:r>
          </w:p>
        </w:tc>
        <w:tc>
          <w:tcPr>
            <w:tcW w:w="906"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723"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1089" w:type="dxa"/>
            <w:tcBorders/>
            <w:vAlign w:val="center"/>
          </w:tcPr>
          <w:p>
            <w:pPr>
              <w:pStyle w:val="TableContents"/>
              <w:bidi w:val="0"/>
              <w:spacing w:lineRule="auto" w:line="300" w:before="0" w:after="0"/>
              <w:jc w:val="both"/>
              <w:rPr/>
            </w:pPr>
            <w:r>
              <w:rPr/>
              <w:t>*</w:t>
            </w:r>
          </w:p>
        </w:tc>
      </w:tr>
      <w:tr>
        <w:trPr/>
        <w:tc>
          <w:tcPr>
            <w:tcW w:w="877" w:type="dxa"/>
            <w:tcBorders/>
            <w:vAlign w:val="center"/>
          </w:tcPr>
          <w:p>
            <w:pPr>
              <w:pStyle w:val="TableContents"/>
              <w:bidi w:val="0"/>
              <w:spacing w:lineRule="auto" w:line="300" w:before="0" w:after="0"/>
              <w:jc w:val="both"/>
              <w:rPr/>
            </w:pPr>
            <w:r>
              <w:rPr/>
              <w:t>101.LAB</w:t>
            </w:r>
          </w:p>
        </w:tc>
        <w:tc>
          <w:tcPr>
            <w:tcW w:w="60" w:type="dxa"/>
            <w:tcBorders/>
            <w:vAlign w:val="center"/>
          </w:tcPr>
          <w:p>
            <w:pPr>
              <w:pStyle w:val="TableContents"/>
              <w:bidi w:val="0"/>
              <w:spacing w:before="0" w:after="283"/>
              <w:jc w:val="left"/>
              <w:rPr/>
            </w:pPr>
            <w:r>
              <w:rPr/>
            </w:r>
          </w:p>
        </w:tc>
        <w:tc>
          <w:tcPr>
            <w:tcW w:w="4779" w:type="dxa"/>
            <w:tcBorders/>
            <w:vAlign w:val="center"/>
          </w:tcPr>
          <w:p>
            <w:pPr>
              <w:pStyle w:val="TableContents"/>
              <w:bidi w:val="0"/>
              <w:spacing w:lineRule="auto" w:line="300" w:before="0" w:after="0"/>
              <w:jc w:val="both"/>
              <w:rPr/>
            </w:pPr>
            <w:r>
              <w:rPr/>
              <w:t>Inline XBRL Taxonomy Extension Label Linkbase Document.</w:t>
            </w:r>
          </w:p>
        </w:tc>
        <w:tc>
          <w:tcPr>
            <w:tcW w:w="60" w:type="dxa"/>
            <w:tcBorders/>
            <w:vAlign w:val="center"/>
          </w:tcPr>
          <w:p>
            <w:pPr>
              <w:pStyle w:val="TableContents"/>
              <w:bidi w:val="0"/>
              <w:spacing w:lineRule="auto" w:line="300" w:before="0" w:after="0"/>
              <w:jc w:val="left"/>
              <w:rPr/>
            </w:pPr>
            <w:r>
              <w:rPr/>
              <w:t> </w:t>
            </w:r>
          </w:p>
        </w:tc>
        <w:tc>
          <w:tcPr>
            <w:tcW w:w="590"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879" w:type="dxa"/>
            <w:tcBorders/>
            <w:vAlign w:val="center"/>
          </w:tcPr>
          <w:p>
            <w:pPr>
              <w:pStyle w:val="TableContents"/>
              <w:bidi w:val="0"/>
              <w:spacing w:lineRule="auto" w:line="300" w:before="0" w:after="0"/>
              <w:jc w:val="both"/>
              <w:rPr/>
            </w:pPr>
            <w:r>
              <w:rPr/>
              <w:t> </w:t>
            </w:r>
          </w:p>
        </w:tc>
        <w:tc>
          <w:tcPr>
            <w:tcW w:w="62" w:type="dxa"/>
            <w:tcBorders/>
            <w:vAlign w:val="center"/>
          </w:tcPr>
          <w:p>
            <w:pPr>
              <w:pStyle w:val="TableContents"/>
              <w:bidi w:val="0"/>
              <w:spacing w:lineRule="auto" w:line="300" w:before="0" w:after="0"/>
              <w:jc w:val="left"/>
              <w:rPr/>
            </w:pPr>
            <w:r>
              <w:rPr/>
              <w:t> </w:t>
            </w:r>
          </w:p>
        </w:tc>
        <w:tc>
          <w:tcPr>
            <w:tcW w:w="906"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723"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1089" w:type="dxa"/>
            <w:tcBorders/>
            <w:vAlign w:val="center"/>
          </w:tcPr>
          <w:p>
            <w:pPr>
              <w:pStyle w:val="TableContents"/>
              <w:bidi w:val="0"/>
              <w:spacing w:lineRule="auto" w:line="300" w:before="0" w:after="0"/>
              <w:jc w:val="both"/>
              <w:rPr/>
            </w:pPr>
            <w:r>
              <w:rPr/>
              <w:t>*</w:t>
            </w:r>
          </w:p>
        </w:tc>
      </w:tr>
      <w:tr>
        <w:trPr/>
        <w:tc>
          <w:tcPr>
            <w:tcW w:w="877" w:type="dxa"/>
            <w:tcBorders/>
            <w:vAlign w:val="center"/>
          </w:tcPr>
          <w:p>
            <w:pPr>
              <w:pStyle w:val="TableContents"/>
              <w:bidi w:val="0"/>
              <w:spacing w:lineRule="auto" w:line="300" w:before="0" w:after="0"/>
              <w:jc w:val="both"/>
              <w:rPr/>
            </w:pPr>
            <w:r>
              <w:rPr/>
              <w:t>101.PRE</w:t>
            </w:r>
          </w:p>
        </w:tc>
        <w:tc>
          <w:tcPr>
            <w:tcW w:w="60" w:type="dxa"/>
            <w:tcBorders/>
            <w:vAlign w:val="center"/>
          </w:tcPr>
          <w:p>
            <w:pPr>
              <w:pStyle w:val="TableContents"/>
              <w:bidi w:val="0"/>
              <w:spacing w:before="0" w:after="283"/>
              <w:jc w:val="left"/>
              <w:rPr/>
            </w:pPr>
            <w:r>
              <w:rPr/>
            </w:r>
          </w:p>
        </w:tc>
        <w:tc>
          <w:tcPr>
            <w:tcW w:w="4779" w:type="dxa"/>
            <w:tcBorders/>
            <w:vAlign w:val="center"/>
          </w:tcPr>
          <w:p>
            <w:pPr>
              <w:pStyle w:val="TableContents"/>
              <w:bidi w:val="0"/>
              <w:spacing w:lineRule="auto" w:line="300" w:before="0" w:after="0"/>
              <w:jc w:val="both"/>
              <w:rPr/>
            </w:pPr>
            <w:r>
              <w:rPr/>
              <w:t>Inline XBRL Taxonomy Extension Presentation Linkbase Document.</w:t>
            </w:r>
          </w:p>
        </w:tc>
        <w:tc>
          <w:tcPr>
            <w:tcW w:w="60" w:type="dxa"/>
            <w:tcBorders/>
            <w:vAlign w:val="center"/>
          </w:tcPr>
          <w:p>
            <w:pPr>
              <w:pStyle w:val="TableContents"/>
              <w:bidi w:val="0"/>
              <w:spacing w:lineRule="auto" w:line="300" w:before="0" w:after="0"/>
              <w:jc w:val="left"/>
              <w:rPr/>
            </w:pPr>
            <w:r>
              <w:rPr/>
              <w:t> </w:t>
            </w:r>
          </w:p>
        </w:tc>
        <w:tc>
          <w:tcPr>
            <w:tcW w:w="590"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879" w:type="dxa"/>
            <w:tcBorders/>
            <w:vAlign w:val="center"/>
          </w:tcPr>
          <w:p>
            <w:pPr>
              <w:pStyle w:val="TableContents"/>
              <w:bidi w:val="0"/>
              <w:spacing w:lineRule="auto" w:line="300" w:before="0" w:after="0"/>
              <w:jc w:val="both"/>
              <w:rPr/>
            </w:pPr>
            <w:r>
              <w:rPr/>
              <w:t> </w:t>
            </w:r>
          </w:p>
        </w:tc>
        <w:tc>
          <w:tcPr>
            <w:tcW w:w="62" w:type="dxa"/>
            <w:tcBorders/>
            <w:vAlign w:val="center"/>
          </w:tcPr>
          <w:p>
            <w:pPr>
              <w:pStyle w:val="TableContents"/>
              <w:bidi w:val="0"/>
              <w:spacing w:lineRule="auto" w:line="300" w:before="0" w:after="0"/>
              <w:jc w:val="left"/>
              <w:rPr/>
            </w:pPr>
            <w:r>
              <w:rPr/>
              <w:t> </w:t>
            </w:r>
          </w:p>
        </w:tc>
        <w:tc>
          <w:tcPr>
            <w:tcW w:w="906"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723"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1089" w:type="dxa"/>
            <w:tcBorders/>
            <w:vAlign w:val="center"/>
          </w:tcPr>
          <w:p>
            <w:pPr>
              <w:pStyle w:val="TableContents"/>
              <w:bidi w:val="0"/>
              <w:spacing w:lineRule="auto" w:line="300" w:before="0" w:after="0"/>
              <w:jc w:val="both"/>
              <w:rPr/>
            </w:pPr>
            <w:r>
              <w:rPr/>
              <w:t>*</w:t>
            </w:r>
          </w:p>
        </w:tc>
      </w:tr>
      <w:tr>
        <w:trPr/>
        <w:tc>
          <w:tcPr>
            <w:tcW w:w="877" w:type="dxa"/>
            <w:tcBorders/>
            <w:vAlign w:val="center"/>
          </w:tcPr>
          <w:p>
            <w:pPr>
              <w:pStyle w:val="TableContents"/>
              <w:bidi w:val="0"/>
              <w:spacing w:lineRule="auto" w:line="300" w:before="0" w:after="0"/>
              <w:jc w:val="both"/>
              <w:rPr/>
            </w:pPr>
            <w:r>
              <w:rPr/>
              <w:t>104</w:t>
            </w:r>
          </w:p>
        </w:tc>
        <w:tc>
          <w:tcPr>
            <w:tcW w:w="60" w:type="dxa"/>
            <w:tcBorders/>
            <w:vAlign w:val="center"/>
          </w:tcPr>
          <w:p>
            <w:pPr>
              <w:pStyle w:val="TableContents"/>
              <w:bidi w:val="0"/>
              <w:spacing w:before="0" w:after="283"/>
              <w:jc w:val="left"/>
              <w:rPr/>
            </w:pPr>
            <w:r>
              <w:rPr/>
            </w:r>
          </w:p>
        </w:tc>
        <w:tc>
          <w:tcPr>
            <w:tcW w:w="4779" w:type="dxa"/>
            <w:tcBorders/>
            <w:vAlign w:val="center"/>
          </w:tcPr>
          <w:p>
            <w:pPr>
              <w:pStyle w:val="TableContents"/>
              <w:bidi w:val="0"/>
              <w:spacing w:lineRule="auto" w:line="300" w:before="0" w:after="0"/>
              <w:jc w:val="both"/>
              <w:rPr/>
            </w:pPr>
            <w:r>
              <w:rPr/>
              <w:t>Inline XBRL for the cover page of this Annual Report on Form 20-F, included in the Exhibit 101 Inline XBRL Document Set.</w:t>
            </w:r>
          </w:p>
        </w:tc>
        <w:tc>
          <w:tcPr>
            <w:tcW w:w="60" w:type="dxa"/>
            <w:tcBorders/>
            <w:vAlign w:val="center"/>
          </w:tcPr>
          <w:p>
            <w:pPr>
              <w:pStyle w:val="TableContents"/>
              <w:bidi w:val="0"/>
              <w:spacing w:lineRule="auto" w:line="300" w:before="0" w:after="0"/>
              <w:jc w:val="left"/>
              <w:rPr/>
            </w:pPr>
            <w:r>
              <w:rPr/>
              <w:t> </w:t>
            </w:r>
          </w:p>
        </w:tc>
        <w:tc>
          <w:tcPr>
            <w:tcW w:w="590"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879" w:type="dxa"/>
            <w:tcBorders/>
            <w:vAlign w:val="center"/>
          </w:tcPr>
          <w:p>
            <w:pPr>
              <w:pStyle w:val="TableContents"/>
              <w:bidi w:val="0"/>
              <w:spacing w:lineRule="auto" w:line="300" w:before="0" w:after="0"/>
              <w:jc w:val="both"/>
              <w:rPr/>
            </w:pPr>
            <w:r>
              <w:rPr/>
              <w:t> </w:t>
            </w:r>
          </w:p>
        </w:tc>
        <w:tc>
          <w:tcPr>
            <w:tcW w:w="62" w:type="dxa"/>
            <w:tcBorders/>
            <w:vAlign w:val="center"/>
          </w:tcPr>
          <w:p>
            <w:pPr>
              <w:pStyle w:val="TableContents"/>
              <w:bidi w:val="0"/>
              <w:spacing w:lineRule="auto" w:line="300" w:before="0" w:after="0"/>
              <w:jc w:val="left"/>
              <w:rPr/>
            </w:pPr>
            <w:r>
              <w:rPr/>
              <w:t> </w:t>
            </w:r>
          </w:p>
        </w:tc>
        <w:tc>
          <w:tcPr>
            <w:tcW w:w="906"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723"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left"/>
              <w:rPr/>
            </w:pPr>
            <w:r>
              <w:rPr/>
              <w:t> </w:t>
            </w:r>
          </w:p>
        </w:tc>
        <w:tc>
          <w:tcPr>
            <w:tcW w:w="1089" w:type="dxa"/>
            <w:tcBorders/>
            <w:vAlign w:val="center"/>
          </w:tcPr>
          <w:p>
            <w:pPr>
              <w:pStyle w:val="TableContents"/>
              <w:bidi w:val="0"/>
              <w:spacing w:lineRule="auto" w:line="300" w:before="0" w:after="0"/>
              <w:jc w:val="both"/>
              <w:rPr/>
            </w:pPr>
            <w:r>
              <w:rPr/>
              <w:t>*</w:t>
            </w:r>
          </w:p>
        </w:tc>
      </w:tr>
    </w:tbl>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344" w:name="zab991255719e4992aa84da3efb52e9d2"/>
      <w:bookmarkStart w:id="345" w:name="zab991255719e4992aa84da3efb52e9d2"/>
      <w:bookmarkEnd w:id="345"/>
    </w:p>
    <w:tbl>
      <w:tblPr>
        <w:tblW w:w="6865" w:type="dxa"/>
        <w:jc w:val="left"/>
        <w:tblInd w:w="0" w:type="dxa"/>
        <w:tblLayout w:type="fixed"/>
        <w:tblCellMar>
          <w:top w:w="0" w:type="dxa"/>
          <w:left w:w="0" w:type="dxa"/>
          <w:bottom w:w="0" w:type="dxa"/>
          <w:right w:w="0" w:type="dxa"/>
        </w:tblCellMar>
      </w:tblPr>
      <w:tblGrid>
        <w:gridCol w:w="275"/>
        <w:gridCol w:w="6590"/>
      </w:tblGrid>
      <w:tr>
        <w:trPr/>
        <w:tc>
          <w:tcPr>
            <w:tcW w:w="275" w:type="dxa"/>
            <w:tcBorders/>
            <w:vAlign w:val="center"/>
          </w:tcPr>
          <w:p>
            <w:pPr>
              <w:pStyle w:val="TableContents"/>
              <w:bidi w:val="0"/>
              <w:spacing w:lineRule="auto" w:line="300" w:before="0" w:after="0"/>
              <w:jc w:val="both"/>
              <w:rPr/>
            </w:pPr>
            <w:r>
              <w:rPr/>
              <w:t>*</w:t>
            </w:r>
          </w:p>
        </w:tc>
        <w:tc>
          <w:tcPr>
            <w:tcW w:w="6590" w:type="dxa"/>
            <w:tcBorders/>
            <w:vAlign w:val="center"/>
          </w:tcPr>
          <w:p>
            <w:pPr>
              <w:pStyle w:val="TableContents"/>
              <w:bidi w:val="0"/>
              <w:spacing w:lineRule="auto" w:line="300" w:before="0" w:after="0"/>
              <w:jc w:val="both"/>
              <w:rPr/>
            </w:pPr>
            <w:r>
              <w:rPr/>
              <w:t>Filed herewith.</w:t>
            </w:r>
          </w:p>
        </w:tc>
      </w:tr>
      <w:tr>
        <w:trPr/>
        <w:tc>
          <w:tcPr>
            <w:tcW w:w="275" w:type="dxa"/>
            <w:tcBorders/>
            <w:vAlign w:val="center"/>
          </w:tcPr>
          <w:p>
            <w:pPr>
              <w:pStyle w:val="TableContents"/>
              <w:bidi w:val="0"/>
              <w:spacing w:lineRule="auto" w:line="300" w:before="0" w:after="0"/>
              <w:jc w:val="both"/>
              <w:rPr/>
            </w:pPr>
            <w:r>
              <w:rPr/>
              <w:t>**</w:t>
            </w:r>
          </w:p>
        </w:tc>
        <w:tc>
          <w:tcPr>
            <w:tcW w:w="6590" w:type="dxa"/>
            <w:tcBorders/>
            <w:vAlign w:val="center"/>
          </w:tcPr>
          <w:p>
            <w:pPr>
              <w:pStyle w:val="TableContents"/>
              <w:bidi w:val="0"/>
              <w:spacing w:lineRule="auto" w:line="300" w:before="0" w:after="0"/>
              <w:jc w:val="both"/>
              <w:rPr/>
            </w:pPr>
            <w:r>
              <w:rPr/>
              <w:t>Furnished herewith.</w:t>
            </w:r>
          </w:p>
        </w:tc>
      </w:tr>
      <w:tr>
        <w:trPr/>
        <w:tc>
          <w:tcPr>
            <w:tcW w:w="275" w:type="dxa"/>
            <w:tcBorders/>
            <w:vAlign w:val="center"/>
          </w:tcPr>
          <w:p>
            <w:pPr>
              <w:pStyle w:val="TableContents"/>
              <w:bidi w:val="0"/>
              <w:spacing w:lineRule="auto" w:line="300" w:before="0" w:after="0"/>
              <w:jc w:val="both"/>
              <w:rPr/>
            </w:pPr>
            <w:r>
              <w:rPr/>
              <w:t>†</w:t>
            </w:r>
          </w:p>
        </w:tc>
        <w:tc>
          <w:tcPr>
            <w:tcW w:w="6590" w:type="dxa"/>
            <w:tcBorders/>
            <w:vAlign w:val="center"/>
          </w:tcPr>
          <w:p>
            <w:pPr>
              <w:pStyle w:val="TableContents"/>
              <w:bidi w:val="0"/>
              <w:spacing w:lineRule="auto" w:line="300" w:before="0" w:after="0"/>
              <w:jc w:val="both"/>
              <w:rPr/>
            </w:pPr>
            <w:r>
              <w:rPr/>
              <w:t>Indicates management contract or compensatory plan or arrangement.</w:t>
            </w:r>
          </w:p>
        </w:tc>
      </w:tr>
    </w:tbl>
    <w:p>
      <w:pPr>
        <w:pStyle w:val="TextBody"/>
        <w:bidi w:val="0"/>
        <w:spacing w:lineRule="auto" w:line="300" w:before="0" w:after="0"/>
        <w:jc w:val="both"/>
        <w:rPr/>
      </w:pPr>
      <w:r>
        <w:rPr/>
        <w:t> </w:t>
      </w:r>
    </w:p>
    <w:p>
      <w:pPr>
        <w:pStyle w:val="TextBody"/>
        <w:bidi w:val="0"/>
        <w:spacing w:lineRule="auto" w:line="300" w:before="0" w:after="0"/>
        <w:jc w:val="both"/>
        <w:rPr>
          <w:sz w:val="20"/>
        </w:rPr>
      </w:pPr>
      <w:r>
        <w:rPr>
          <w:sz w:val="20"/>
        </w:rPr>
        <w:t>Certain agreements filed as exhibits to this Annual Report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w:t>
      </w:r>
    </w:p>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110</w:t>
      </w:r>
    </w:p>
    <w:p>
      <w:pPr>
        <w:pStyle w:val="HorizontalLine"/>
        <w:bidi w:val="0"/>
        <w:spacing w:before="200" w:after="200"/>
        <w:jc w:val="left"/>
        <w:rPr/>
      </w:pPr>
      <w:r>
        <w:rPr/>
      </w:r>
    </w:p>
    <w:p>
      <w:pPr>
        <w:pStyle w:val="TextBody"/>
        <w:bidi w:val="0"/>
        <w:spacing w:lineRule="auto" w:line="300" w:before="0" w:after="0"/>
        <w:jc w:val="center"/>
        <w:rPr>
          <w:b/>
          <w:sz w:val="20"/>
        </w:rPr>
      </w:pPr>
      <w:bookmarkStart w:id="346" w:name="SIGNATURES"/>
      <w:bookmarkEnd w:id="346"/>
      <w:r>
        <w:rPr>
          <w:b/>
          <w:sz w:val="20"/>
        </w:rPr>
        <w:t>SIGNATURES</w:t>
      </w:r>
    </w:p>
    <w:p>
      <w:pPr>
        <w:pStyle w:val="TextBody"/>
        <w:bidi w:val="0"/>
        <w:spacing w:lineRule="auto" w:line="300" w:before="0" w:after="0"/>
        <w:jc w:val="both"/>
        <w:rPr/>
      </w:pPr>
      <w:r>
        <w:rPr/>
        <w:t> </w:t>
      </w:r>
    </w:p>
    <w:p>
      <w:pPr>
        <w:pStyle w:val="TextBody"/>
        <w:bidi w:val="0"/>
        <w:spacing w:lineRule="auto" w:line="300" w:before="0" w:after="0"/>
        <w:ind w:left="0" w:right="0" w:firstLine="720"/>
        <w:jc w:val="both"/>
        <w:rPr>
          <w:sz w:val="20"/>
        </w:rPr>
      </w:pPr>
      <w:r>
        <w:rPr>
          <w:sz w:val="20"/>
        </w:rPr>
        <w:t>The registrant hereby certifies that it meets all of the requirements for filing on Form 20-F and that it has duly caused and authorized the undersigned to sign this annual report on its behalf.</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347" w:name="z3caffd03b66343deb4fd5a48b3bd8798"/>
      <w:bookmarkStart w:id="348" w:name="z3caffd03b66343deb4fd5a48b3bd8798"/>
      <w:bookmarkEnd w:id="348"/>
    </w:p>
    <w:tbl>
      <w:tblPr>
        <w:tblW w:w="5100" w:type="dxa"/>
        <w:jc w:val="left"/>
        <w:tblInd w:w="0" w:type="dxa"/>
        <w:tblLayout w:type="fixed"/>
        <w:tblCellMar>
          <w:top w:w="0" w:type="dxa"/>
          <w:left w:w="0" w:type="dxa"/>
          <w:bottom w:w="0" w:type="dxa"/>
          <w:right w:w="0" w:type="dxa"/>
        </w:tblCellMar>
      </w:tblPr>
      <w:tblGrid>
        <w:gridCol w:w="2105"/>
        <w:gridCol w:w="650"/>
        <w:gridCol w:w="2285"/>
        <w:gridCol w:w="60"/>
      </w:tblGrid>
      <w:tr>
        <w:trPr/>
        <w:tc>
          <w:tcPr>
            <w:tcW w:w="2105" w:type="dxa"/>
            <w:tcBorders/>
            <w:vAlign w:val="center"/>
          </w:tcPr>
          <w:p>
            <w:pPr>
              <w:pStyle w:val="TableContents"/>
              <w:bidi w:val="0"/>
              <w:spacing w:lineRule="auto" w:line="300" w:before="0" w:after="0"/>
              <w:jc w:val="both"/>
              <w:rPr/>
            </w:pPr>
            <w:r>
              <w:rPr/>
              <w:t> </w:t>
            </w:r>
          </w:p>
        </w:tc>
        <w:tc>
          <w:tcPr>
            <w:tcW w:w="2935" w:type="dxa"/>
            <w:gridSpan w:val="2"/>
            <w:tcBorders/>
            <w:vAlign w:val="center"/>
          </w:tcPr>
          <w:p>
            <w:pPr>
              <w:pStyle w:val="TableContents"/>
              <w:bidi w:val="0"/>
              <w:spacing w:lineRule="auto" w:line="300" w:before="0" w:after="0"/>
              <w:jc w:val="both"/>
              <w:rPr/>
            </w:pPr>
            <w:r>
              <w:rPr>
                <w:b/>
              </w:rPr>
              <w:t>WALKME LTD</w:t>
            </w:r>
            <w:r>
              <w:rPr/>
              <w:t>.</w:t>
            </w:r>
          </w:p>
        </w:tc>
        <w:tc>
          <w:tcPr>
            <w:tcW w:w="60" w:type="dxa"/>
            <w:tcBorders/>
            <w:vAlign w:val="center"/>
          </w:tcPr>
          <w:p>
            <w:pPr>
              <w:pStyle w:val="TableContents"/>
              <w:bidi w:val="0"/>
              <w:spacing w:lineRule="auto" w:line="300" w:before="0" w:after="0"/>
              <w:jc w:val="both"/>
              <w:rPr/>
            </w:pPr>
            <w:r>
              <w:rPr/>
              <w:t> </w:t>
            </w:r>
          </w:p>
        </w:tc>
      </w:tr>
      <w:tr>
        <w:trPr/>
        <w:tc>
          <w:tcPr>
            <w:tcW w:w="2105" w:type="dxa"/>
            <w:tcBorders/>
            <w:vAlign w:val="center"/>
          </w:tcPr>
          <w:p>
            <w:pPr>
              <w:pStyle w:val="TableContents"/>
              <w:bidi w:val="0"/>
              <w:spacing w:lineRule="auto" w:line="300" w:before="0" w:after="0"/>
              <w:jc w:val="both"/>
              <w:rPr/>
            </w:pPr>
            <w:r>
              <w:rPr/>
              <w:t> </w:t>
            </w:r>
          </w:p>
        </w:tc>
        <w:tc>
          <w:tcPr>
            <w:tcW w:w="650" w:type="dxa"/>
            <w:tcBorders/>
            <w:vAlign w:val="center"/>
          </w:tcPr>
          <w:p>
            <w:pPr>
              <w:pStyle w:val="TableContents"/>
              <w:bidi w:val="0"/>
              <w:spacing w:lineRule="auto" w:line="300" w:before="0" w:after="0"/>
              <w:jc w:val="both"/>
              <w:rPr/>
            </w:pPr>
            <w:r>
              <w:rPr/>
              <w:t> </w:t>
            </w:r>
          </w:p>
        </w:tc>
        <w:tc>
          <w:tcPr>
            <w:tcW w:w="2285"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lineRule="auto" w:line="300" w:before="0" w:after="0"/>
              <w:jc w:val="both"/>
              <w:rPr/>
            </w:pPr>
            <w:r>
              <w:rPr/>
              <w:t> </w:t>
            </w:r>
          </w:p>
        </w:tc>
      </w:tr>
      <w:tr>
        <w:trPr/>
        <w:tc>
          <w:tcPr>
            <w:tcW w:w="2105" w:type="dxa"/>
            <w:tcBorders/>
            <w:vAlign w:val="center"/>
          </w:tcPr>
          <w:p>
            <w:pPr>
              <w:pStyle w:val="TableContents"/>
              <w:bidi w:val="0"/>
              <w:spacing w:lineRule="auto" w:line="300" w:before="0" w:after="0"/>
              <w:jc w:val="left"/>
              <w:rPr/>
            </w:pPr>
            <w:r>
              <w:rPr/>
              <w:t>Date: March 18, 2024</w:t>
            </w:r>
          </w:p>
        </w:tc>
        <w:tc>
          <w:tcPr>
            <w:tcW w:w="650" w:type="dxa"/>
            <w:tcBorders/>
            <w:vAlign w:val="center"/>
          </w:tcPr>
          <w:p>
            <w:pPr>
              <w:pStyle w:val="TableContents"/>
              <w:bidi w:val="0"/>
              <w:spacing w:lineRule="auto" w:line="300" w:before="0" w:after="0"/>
              <w:jc w:val="both"/>
              <w:rPr/>
            </w:pPr>
            <w:r>
              <w:rPr/>
              <w:t>By:</w:t>
            </w:r>
          </w:p>
        </w:tc>
        <w:tc>
          <w:tcPr>
            <w:tcW w:w="2285" w:type="dxa"/>
            <w:tcBorders>
              <w:bottom w:val="single" w:sz="12" w:space="0" w:color="000000"/>
            </w:tcBorders>
            <w:tcMar>
              <w:bottom w:w="28" w:type="dxa"/>
            </w:tcMar>
            <w:vAlign w:val="center"/>
          </w:tcPr>
          <w:p>
            <w:pPr>
              <w:pStyle w:val="TableContents"/>
              <w:bidi w:val="0"/>
              <w:spacing w:lineRule="auto" w:line="300" w:before="0" w:after="0"/>
              <w:jc w:val="both"/>
              <w:rPr/>
            </w:pPr>
            <w:r>
              <w:rPr/>
              <w:t>/s/ Dan Adika</w:t>
            </w:r>
          </w:p>
        </w:tc>
        <w:tc>
          <w:tcPr>
            <w:tcW w:w="60" w:type="dxa"/>
            <w:tcBorders/>
            <w:vAlign w:val="center"/>
          </w:tcPr>
          <w:p>
            <w:pPr>
              <w:pStyle w:val="TableContents"/>
              <w:bidi w:val="0"/>
              <w:spacing w:lineRule="auto" w:line="300" w:before="0" w:after="0"/>
              <w:jc w:val="both"/>
              <w:rPr/>
            </w:pPr>
            <w:r>
              <w:rPr/>
              <w:t> </w:t>
            </w:r>
          </w:p>
        </w:tc>
      </w:tr>
      <w:tr>
        <w:trPr/>
        <w:tc>
          <w:tcPr>
            <w:tcW w:w="2105" w:type="dxa"/>
            <w:tcBorders/>
            <w:vAlign w:val="center"/>
          </w:tcPr>
          <w:p>
            <w:pPr>
              <w:pStyle w:val="TableContents"/>
              <w:bidi w:val="0"/>
              <w:spacing w:lineRule="auto" w:line="300" w:before="0" w:after="0"/>
              <w:jc w:val="both"/>
              <w:rPr/>
            </w:pPr>
            <w:r>
              <w:rPr/>
              <w:t> </w:t>
            </w:r>
          </w:p>
        </w:tc>
        <w:tc>
          <w:tcPr>
            <w:tcW w:w="650" w:type="dxa"/>
            <w:tcBorders/>
            <w:vAlign w:val="center"/>
          </w:tcPr>
          <w:p>
            <w:pPr>
              <w:pStyle w:val="TableContents"/>
              <w:bidi w:val="0"/>
              <w:spacing w:lineRule="auto" w:line="300" w:before="0" w:after="0"/>
              <w:jc w:val="both"/>
              <w:rPr/>
            </w:pPr>
            <w:r>
              <w:rPr/>
              <w:t>Name:</w:t>
            </w:r>
          </w:p>
        </w:tc>
        <w:tc>
          <w:tcPr>
            <w:tcW w:w="2285" w:type="dxa"/>
            <w:tcBorders/>
            <w:vAlign w:val="center"/>
          </w:tcPr>
          <w:p>
            <w:pPr>
              <w:pStyle w:val="TableContents"/>
              <w:bidi w:val="0"/>
              <w:spacing w:lineRule="auto" w:line="300" w:before="0" w:after="0"/>
              <w:jc w:val="both"/>
              <w:rPr/>
            </w:pPr>
            <w:r>
              <w:rPr/>
              <w:t>Dan Adika</w:t>
            </w:r>
          </w:p>
        </w:tc>
        <w:tc>
          <w:tcPr>
            <w:tcW w:w="60" w:type="dxa"/>
            <w:tcBorders/>
            <w:vAlign w:val="center"/>
          </w:tcPr>
          <w:p>
            <w:pPr>
              <w:pStyle w:val="TableContents"/>
              <w:bidi w:val="0"/>
              <w:spacing w:lineRule="auto" w:line="300" w:before="0" w:after="0"/>
              <w:jc w:val="both"/>
              <w:rPr/>
            </w:pPr>
            <w:r>
              <w:rPr/>
              <w:t> </w:t>
            </w:r>
          </w:p>
        </w:tc>
      </w:tr>
      <w:tr>
        <w:trPr/>
        <w:tc>
          <w:tcPr>
            <w:tcW w:w="2105" w:type="dxa"/>
            <w:tcBorders/>
            <w:vAlign w:val="center"/>
          </w:tcPr>
          <w:p>
            <w:pPr>
              <w:pStyle w:val="TableContents"/>
              <w:bidi w:val="0"/>
              <w:spacing w:lineRule="auto" w:line="300" w:before="0" w:after="0"/>
              <w:jc w:val="both"/>
              <w:rPr/>
            </w:pPr>
            <w:r>
              <w:rPr/>
              <w:t> </w:t>
            </w:r>
          </w:p>
        </w:tc>
        <w:tc>
          <w:tcPr>
            <w:tcW w:w="650" w:type="dxa"/>
            <w:tcBorders/>
            <w:vAlign w:val="center"/>
          </w:tcPr>
          <w:p>
            <w:pPr>
              <w:pStyle w:val="TableContents"/>
              <w:bidi w:val="0"/>
              <w:spacing w:lineRule="auto" w:line="300" w:before="0" w:after="0"/>
              <w:jc w:val="both"/>
              <w:rPr/>
            </w:pPr>
            <w:r>
              <w:rPr/>
              <w:t>Title:</w:t>
            </w:r>
          </w:p>
        </w:tc>
        <w:tc>
          <w:tcPr>
            <w:tcW w:w="2285" w:type="dxa"/>
            <w:tcBorders/>
            <w:vAlign w:val="center"/>
          </w:tcPr>
          <w:p>
            <w:pPr>
              <w:pStyle w:val="TableContents"/>
              <w:bidi w:val="0"/>
              <w:spacing w:lineRule="auto" w:line="300" w:before="0" w:after="0"/>
              <w:jc w:val="both"/>
              <w:rPr/>
            </w:pPr>
            <w:r>
              <w:rPr/>
              <w:t>Chief Executive Officer</w:t>
            </w:r>
          </w:p>
        </w:tc>
        <w:tc>
          <w:tcPr>
            <w:tcW w:w="60" w:type="dxa"/>
            <w:tcBorders/>
            <w:vAlign w:val="center"/>
          </w:tcPr>
          <w:p>
            <w:pPr>
              <w:pStyle w:val="TableContents"/>
              <w:bidi w:val="0"/>
              <w:spacing w:lineRule="auto" w:line="300" w:before="0" w:after="0"/>
              <w:jc w:val="both"/>
              <w:rPr/>
            </w:pPr>
            <w:r>
              <w:rPr/>
              <w:t> </w:t>
            </w:r>
          </w:p>
        </w:tc>
      </w:tr>
      <w:tr>
        <w:trPr/>
        <w:tc>
          <w:tcPr>
            <w:tcW w:w="2105" w:type="dxa"/>
            <w:tcBorders/>
            <w:vAlign w:val="center"/>
          </w:tcPr>
          <w:p>
            <w:pPr>
              <w:pStyle w:val="TableContents"/>
              <w:bidi w:val="0"/>
              <w:spacing w:lineRule="auto" w:line="300" w:before="0" w:after="0"/>
              <w:jc w:val="both"/>
              <w:rPr/>
            </w:pPr>
            <w:r>
              <w:rPr/>
              <w:t> </w:t>
            </w:r>
          </w:p>
        </w:tc>
        <w:tc>
          <w:tcPr>
            <w:tcW w:w="2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300" w:before="0" w:after="0"/>
              <w:jc w:val="both"/>
              <w:rPr/>
            </w:pPr>
            <w:r>
              <w:rPr/>
              <w:t> </w:t>
            </w:r>
          </w:p>
        </w:tc>
      </w:tr>
      <w:tr>
        <w:trPr/>
        <w:tc>
          <w:tcPr>
            <w:tcW w:w="2105" w:type="dxa"/>
            <w:tcBorders/>
            <w:vAlign w:val="center"/>
          </w:tcPr>
          <w:p>
            <w:pPr>
              <w:pStyle w:val="TableContents"/>
              <w:bidi w:val="0"/>
              <w:spacing w:lineRule="auto" w:line="300" w:before="0" w:after="0"/>
              <w:jc w:val="left"/>
              <w:rPr/>
            </w:pPr>
            <w:r>
              <w:rPr/>
              <w:t>Date: March 18, 2024</w:t>
            </w:r>
          </w:p>
        </w:tc>
        <w:tc>
          <w:tcPr>
            <w:tcW w:w="650" w:type="dxa"/>
            <w:tcBorders/>
            <w:vAlign w:val="center"/>
          </w:tcPr>
          <w:p>
            <w:pPr>
              <w:pStyle w:val="TableContents"/>
              <w:bidi w:val="0"/>
              <w:spacing w:lineRule="auto" w:line="300" w:before="0" w:after="0"/>
              <w:jc w:val="both"/>
              <w:rPr/>
            </w:pPr>
            <w:r>
              <w:rPr/>
              <w:t>By:</w:t>
            </w:r>
          </w:p>
        </w:tc>
        <w:tc>
          <w:tcPr>
            <w:tcW w:w="2285" w:type="dxa"/>
            <w:tcBorders>
              <w:bottom w:val="single" w:sz="12" w:space="0" w:color="000000"/>
            </w:tcBorders>
            <w:tcMar>
              <w:bottom w:w="28" w:type="dxa"/>
            </w:tcMar>
            <w:vAlign w:val="center"/>
          </w:tcPr>
          <w:p>
            <w:pPr>
              <w:pStyle w:val="TableContents"/>
              <w:bidi w:val="0"/>
              <w:spacing w:lineRule="auto" w:line="300" w:before="0" w:after="0"/>
              <w:jc w:val="both"/>
              <w:rPr/>
            </w:pPr>
            <w:r>
              <w:rPr/>
              <w:t>/s/ Hagit Ynon</w:t>
            </w:r>
          </w:p>
        </w:tc>
        <w:tc>
          <w:tcPr>
            <w:tcW w:w="60" w:type="dxa"/>
            <w:tcBorders/>
            <w:vAlign w:val="center"/>
          </w:tcPr>
          <w:p>
            <w:pPr>
              <w:pStyle w:val="TableContents"/>
              <w:bidi w:val="0"/>
              <w:spacing w:lineRule="auto" w:line="300" w:before="0" w:after="0"/>
              <w:jc w:val="both"/>
              <w:rPr/>
            </w:pPr>
            <w:r>
              <w:rPr/>
              <w:t> </w:t>
            </w:r>
          </w:p>
        </w:tc>
      </w:tr>
      <w:tr>
        <w:trPr/>
        <w:tc>
          <w:tcPr>
            <w:tcW w:w="2105" w:type="dxa"/>
            <w:tcBorders/>
            <w:vAlign w:val="center"/>
          </w:tcPr>
          <w:p>
            <w:pPr>
              <w:pStyle w:val="TableContents"/>
              <w:bidi w:val="0"/>
              <w:spacing w:lineRule="auto" w:line="300" w:before="0" w:after="0"/>
              <w:jc w:val="both"/>
              <w:rPr/>
            </w:pPr>
            <w:r>
              <w:rPr/>
              <w:t> </w:t>
            </w:r>
          </w:p>
        </w:tc>
        <w:tc>
          <w:tcPr>
            <w:tcW w:w="650" w:type="dxa"/>
            <w:tcBorders/>
            <w:vAlign w:val="center"/>
          </w:tcPr>
          <w:p>
            <w:pPr>
              <w:pStyle w:val="TableContents"/>
              <w:bidi w:val="0"/>
              <w:spacing w:lineRule="auto" w:line="300" w:before="0" w:after="0"/>
              <w:jc w:val="both"/>
              <w:rPr/>
            </w:pPr>
            <w:r>
              <w:rPr/>
              <w:t>Name:</w:t>
            </w:r>
          </w:p>
        </w:tc>
        <w:tc>
          <w:tcPr>
            <w:tcW w:w="2285" w:type="dxa"/>
            <w:tcBorders/>
            <w:vAlign w:val="center"/>
          </w:tcPr>
          <w:p>
            <w:pPr>
              <w:pStyle w:val="TableContents"/>
              <w:bidi w:val="0"/>
              <w:spacing w:lineRule="auto" w:line="300" w:before="0" w:after="0"/>
              <w:jc w:val="both"/>
              <w:rPr/>
            </w:pPr>
            <w:r>
              <w:rPr/>
              <w:t>Hagit Ynon</w:t>
            </w:r>
          </w:p>
        </w:tc>
        <w:tc>
          <w:tcPr>
            <w:tcW w:w="60" w:type="dxa"/>
            <w:tcBorders/>
            <w:vAlign w:val="center"/>
          </w:tcPr>
          <w:p>
            <w:pPr>
              <w:pStyle w:val="TableContents"/>
              <w:bidi w:val="0"/>
              <w:spacing w:lineRule="auto" w:line="300" w:before="0" w:after="0"/>
              <w:jc w:val="both"/>
              <w:rPr/>
            </w:pPr>
            <w:r>
              <w:rPr/>
              <w:t> </w:t>
            </w:r>
          </w:p>
        </w:tc>
      </w:tr>
      <w:tr>
        <w:trPr/>
        <w:tc>
          <w:tcPr>
            <w:tcW w:w="2105" w:type="dxa"/>
            <w:tcBorders/>
            <w:vAlign w:val="center"/>
          </w:tcPr>
          <w:p>
            <w:pPr>
              <w:pStyle w:val="TableContents"/>
              <w:bidi w:val="0"/>
              <w:spacing w:lineRule="auto" w:line="300" w:before="0" w:after="0"/>
              <w:jc w:val="both"/>
              <w:rPr/>
            </w:pPr>
            <w:r>
              <w:rPr/>
              <w:t> </w:t>
            </w:r>
          </w:p>
        </w:tc>
        <w:tc>
          <w:tcPr>
            <w:tcW w:w="650" w:type="dxa"/>
            <w:tcBorders/>
            <w:vAlign w:val="center"/>
          </w:tcPr>
          <w:p>
            <w:pPr>
              <w:pStyle w:val="TableContents"/>
              <w:bidi w:val="0"/>
              <w:spacing w:lineRule="auto" w:line="300" w:before="0" w:after="0"/>
              <w:jc w:val="both"/>
              <w:rPr/>
            </w:pPr>
            <w:r>
              <w:rPr/>
              <w:t>Title:</w:t>
            </w:r>
          </w:p>
        </w:tc>
        <w:tc>
          <w:tcPr>
            <w:tcW w:w="2285" w:type="dxa"/>
            <w:tcBorders/>
            <w:vAlign w:val="center"/>
          </w:tcPr>
          <w:p>
            <w:pPr>
              <w:pStyle w:val="TableContents"/>
              <w:bidi w:val="0"/>
              <w:spacing w:lineRule="auto" w:line="300" w:before="0" w:after="0"/>
              <w:jc w:val="both"/>
              <w:rPr/>
            </w:pPr>
            <w:r>
              <w:rPr/>
              <w:t>Chief Financial Officer</w:t>
            </w:r>
          </w:p>
        </w:tc>
        <w:tc>
          <w:tcPr>
            <w:tcW w:w="60" w:type="dxa"/>
            <w:tcBorders/>
            <w:vAlign w:val="center"/>
          </w:tcPr>
          <w:p>
            <w:pPr>
              <w:pStyle w:val="TableContents"/>
              <w:bidi w:val="0"/>
              <w:spacing w:lineRule="auto" w:line="300" w:before="0" w:after="0"/>
              <w:jc w:val="both"/>
              <w:rPr/>
            </w:pPr>
            <w:r>
              <w:rPr/>
              <w:t> </w:t>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sz w:val="20"/>
        </w:rPr>
      </w:pPr>
      <w:r>
        <w:rPr>
          <w:b w:val="false"/>
          <w:i w:val="false"/>
          <w:caps w:val="false"/>
          <w:smallCaps w:val="false"/>
          <w:sz w:val="20"/>
        </w:rPr>
        <w:t>111</w:t>
      </w:r>
    </w:p>
    <w:p>
      <w:pPr>
        <w:pStyle w:val="HorizontalLine"/>
        <w:bidi w:val="0"/>
        <w:spacing w:before="200" w:after="200"/>
        <w:jc w:val="left"/>
        <w:rPr/>
      </w:pPr>
      <w:r>
        <w:rPr/>
      </w:r>
    </w:p>
    <w:p>
      <w:pPr>
        <w:pStyle w:val="TextBody"/>
        <w:bidi w:val="0"/>
        <w:spacing w:before="0" w:after="0"/>
        <w:jc w:val="left"/>
        <w:rPr/>
      </w:pPr>
      <w:r>
        <w:rPr/>
      </w:r>
    </w:p>
    <w:p>
      <w:pPr>
        <w:pStyle w:val="TextBody"/>
        <w:bidi w:val="0"/>
        <w:spacing w:lineRule="auto" w:line="300" w:before="0" w:after="0"/>
        <w:ind w:left="6" w:right="0" w:hanging="0"/>
        <w:jc w:val="center"/>
        <w:rPr>
          <w:rFonts w:ascii="Times New Roman;Times;serif" w:hAnsi="Times New Roman;Times;serif"/>
          <w:b/>
          <w:sz w:val="20"/>
        </w:rPr>
      </w:pPr>
      <w:r>
        <w:rPr>
          <w:rFonts w:ascii="Times New Roman;Times;serif" w:hAnsi="Times New Roman;Times;serif"/>
          <w:b/>
          <w:sz w:val="20"/>
        </w:rPr>
        <w:t>WALKME LTD. AND ITS SUBSIDIARIES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CONSOLIDATED FINANCIAL STATEMENTS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AS OF DECEMBER 31, 2023</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U.S. DOLLARS IN THOUSANDS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bookmarkStart w:id="349" w:name="a_001"/>
      <w:bookmarkEnd w:id="349"/>
      <w:r>
        <w:rPr>
          <w:rFonts w:ascii="Times New Roman;Times;serif" w:hAnsi="Times New Roman;Times;serif"/>
          <w:b/>
          <w:sz w:val="20"/>
        </w:rPr>
        <w:t>INDEX</w:t>
      </w:r>
    </w:p>
    <w:p>
      <w:pPr>
        <w:pStyle w:val="TextBody"/>
        <w:bidi w:val="0"/>
        <w:spacing w:lineRule="auto" w:line="300"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7775"/>
        <w:gridCol w:w="935"/>
      </w:tblGrid>
      <w:tr>
        <w:trPr/>
        <w:tc>
          <w:tcPr>
            <w:tcW w:w="7775" w:type="dxa"/>
            <w:tcBorders/>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lineRule="auto" w:line="300" w:before="0" w:after="0"/>
              <w:ind w:left="57"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7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lineRule="auto" w:line="300" w:before="0" w:after="0"/>
              <w:ind w:left="57" w:right="0" w:hanging="0"/>
              <w:jc w:val="left"/>
              <w:rPr/>
            </w:pPr>
            <w:hyperlink w:anchor="REPORTOFINDEPENDENTREGISTEREDPUBLICACCOUNTINGFIRM_integixAnchor">
              <w:r>
                <w:rPr>
                  <w:rStyle w:val="InternetLink"/>
                  <w:rFonts w:ascii="Times New Roman;Times;serif" w:hAnsi="Times New Roman;Times;serif"/>
                  <w:b/>
                  <w:sz w:val="20"/>
                </w:rPr>
                <w:t>Report of Independent Registered Public Accounting Firm</w:t>
              </w:r>
            </w:hyperlink>
            <w:r>
              <w:rPr>
                <w:rFonts w:ascii="Times New Roman;Times;serif" w:hAnsi="Times New Roman;Times;serif"/>
                <w:b/>
                <w:sz w:val="20"/>
              </w:rPr>
              <w:t xml:space="preserve"> (PCAOB ID No. 1281)</w:t>
            </w:r>
          </w:p>
        </w:tc>
        <w:tc>
          <w:tcPr>
            <w:tcW w:w="935" w:type="dxa"/>
            <w:tcBorders/>
            <w:vAlign w:val="center"/>
          </w:tcPr>
          <w:p>
            <w:pPr>
              <w:pStyle w:val="TableContents"/>
              <w:bidi w:val="0"/>
              <w:spacing w:lineRule="auto" w:line="300" w:before="0" w:after="0"/>
              <w:ind w:left="57" w:right="0" w:hanging="0"/>
              <w:jc w:val="center"/>
              <w:rPr>
                <w:rFonts w:ascii="Times New Roman;Times;serif" w:hAnsi="Times New Roman;Times;serif"/>
                <w:b/>
                <w:smallCaps/>
                <w:sz w:val="20"/>
              </w:rPr>
            </w:pPr>
            <w:r>
              <w:rPr>
                <w:rFonts w:ascii="Times New Roman;Times;serif" w:hAnsi="Times New Roman;Times;serif"/>
                <w:b/>
                <w:smallCaps/>
                <w:sz w:val="20"/>
              </w:rPr>
              <w:t>F - 2</w:t>
            </w:r>
          </w:p>
        </w:tc>
      </w:tr>
      <w:tr>
        <w:trPr/>
        <w:tc>
          <w:tcPr>
            <w:tcW w:w="77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lineRule="auto" w:line="300" w:before="0" w:after="0"/>
              <w:ind w:left="57" w:right="0" w:hanging="0"/>
              <w:jc w:val="left"/>
              <w:rPr/>
            </w:pPr>
            <w:hyperlink w:anchor="CONSOLIDATEDBALANCESHEETS_integixAnchor">
              <w:r>
                <w:rPr>
                  <w:rStyle w:val="InternetLink"/>
                  <w:rFonts w:ascii="Times New Roman;Times;serif" w:hAnsi="Times New Roman;Times;serif"/>
                  <w:b/>
                  <w:sz w:val="20"/>
                </w:rPr>
                <w:t>Consolidated Balance Sheets</w:t>
              </w:r>
            </w:hyperlink>
          </w:p>
        </w:tc>
        <w:tc>
          <w:tcPr>
            <w:tcW w:w="935" w:type="dxa"/>
            <w:tcBorders/>
            <w:vAlign w:val="center"/>
          </w:tcPr>
          <w:p>
            <w:pPr>
              <w:pStyle w:val="TableContents"/>
              <w:bidi w:val="0"/>
              <w:spacing w:lineRule="auto" w:line="300" w:before="0" w:after="0"/>
              <w:ind w:left="57" w:right="0" w:hanging="0"/>
              <w:jc w:val="center"/>
              <w:rPr>
                <w:rFonts w:ascii="Times New Roman;Times;serif" w:hAnsi="Times New Roman;Times;serif"/>
                <w:b/>
                <w:smallCaps/>
                <w:sz w:val="20"/>
              </w:rPr>
            </w:pPr>
            <w:r>
              <w:rPr>
                <w:rFonts w:ascii="Times New Roman;Times;serif" w:hAnsi="Times New Roman;Times;serif"/>
                <w:b/>
                <w:smallCaps/>
                <w:sz w:val="20"/>
              </w:rPr>
              <w:t>F - 3 F - 4</w:t>
            </w:r>
          </w:p>
        </w:tc>
      </w:tr>
      <w:tr>
        <w:trPr/>
        <w:tc>
          <w:tcPr>
            <w:tcW w:w="77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lineRule="auto" w:line="300" w:before="0" w:after="0"/>
              <w:ind w:left="57" w:right="0" w:hanging="0"/>
              <w:jc w:val="left"/>
              <w:rPr/>
            </w:pPr>
            <w:hyperlink w:anchor="CONSOLIDATEDSTATEMENTSOFOPERATIONS_integixAnchor">
              <w:r>
                <w:rPr>
                  <w:rStyle w:val="InternetLink"/>
                  <w:rFonts w:ascii="Times New Roman;Times;serif" w:hAnsi="Times New Roman;Times;serif"/>
                  <w:b/>
                  <w:sz w:val="20"/>
                </w:rPr>
                <w:t>Consolidated Statements of Operations</w:t>
              </w:r>
            </w:hyperlink>
          </w:p>
        </w:tc>
        <w:tc>
          <w:tcPr>
            <w:tcW w:w="935" w:type="dxa"/>
            <w:tcBorders/>
            <w:vAlign w:val="center"/>
          </w:tcPr>
          <w:p>
            <w:pPr>
              <w:pStyle w:val="TableContents"/>
              <w:bidi w:val="0"/>
              <w:spacing w:lineRule="auto" w:line="300" w:before="0" w:after="0"/>
              <w:ind w:left="57" w:right="0" w:hanging="0"/>
              <w:jc w:val="center"/>
              <w:rPr>
                <w:rFonts w:ascii="Times New Roman;Times;serif" w:hAnsi="Times New Roman;Times;serif"/>
                <w:b/>
                <w:smallCaps/>
                <w:sz w:val="20"/>
              </w:rPr>
            </w:pPr>
            <w:r>
              <w:rPr>
                <w:rFonts w:ascii="Times New Roman;Times;serif" w:hAnsi="Times New Roman;Times;serif"/>
                <w:b/>
                <w:smallCaps/>
                <w:sz w:val="20"/>
              </w:rPr>
              <w:t>F - 5</w:t>
            </w:r>
          </w:p>
        </w:tc>
      </w:tr>
      <w:tr>
        <w:trPr/>
        <w:tc>
          <w:tcPr>
            <w:tcW w:w="77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lineRule="auto" w:line="300" w:before="0" w:after="0"/>
              <w:ind w:left="57" w:right="0" w:hanging="0"/>
              <w:jc w:val="left"/>
              <w:rPr/>
            </w:pPr>
            <w:hyperlink w:anchor="CONSOLIDATEDSTATEMENTSOFCOMPREHENSIVELOSS_integixAnchor">
              <w:r>
                <w:rPr>
                  <w:rStyle w:val="InternetLink"/>
                  <w:rFonts w:ascii="Times New Roman;Times;serif" w:hAnsi="Times New Roman;Times;serif"/>
                  <w:b/>
                  <w:sz w:val="20"/>
                </w:rPr>
                <w:t>Consolidated Statements of Comprehensive Loss</w:t>
              </w:r>
            </w:hyperlink>
          </w:p>
        </w:tc>
        <w:tc>
          <w:tcPr>
            <w:tcW w:w="935" w:type="dxa"/>
            <w:tcBorders/>
            <w:vAlign w:val="center"/>
          </w:tcPr>
          <w:p>
            <w:pPr>
              <w:pStyle w:val="TableContents"/>
              <w:bidi w:val="0"/>
              <w:spacing w:lineRule="auto" w:line="300" w:before="0" w:after="0"/>
              <w:ind w:left="57" w:right="0" w:hanging="0"/>
              <w:jc w:val="center"/>
              <w:rPr>
                <w:rFonts w:ascii="Times New Roman;Times;serif" w:hAnsi="Times New Roman;Times;serif"/>
                <w:b/>
                <w:smallCaps/>
                <w:sz w:val="20"/>
              </w:rPr>
            </w:pPr>
            <w:r>
              <w:rPr>
                <w:rFonts w:ascii="Times New Roman;Times;serif" w:hAnsi="Times New Roman;Times;serif"/>
                <w:b/>
                <w:smallCaps/>
                <w:sz w:val="20"/>
              </w:rPr>
              <w:t>F - 6</w:t>
            </w:r>
          </w:p>
        </w:tc>
      </w:tr>
      <w:tr>
        <w:trPr/>
        <w:tc>
          <w:tcPr>
            <w:tcW w:w="77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lineRule="auto" w:line="300" w:before="0" w:after="0"/>
              <w:ind w:left="57" w:right="0" w:hanging="0"/>
              <w:jc w:val="left"/>
              <w:rPr/>
            </w:pPr>
            <w:hyperlink w:anchor="CONSOLIDATEDSTATEMENTSOFCONVERTIBLEPREFERREDSHARESANDSHAREHOLDERSEQUITYDEFICIT_integixAnchor">
              <w:r>
                <w:rPr>
                  <w:rStyle w:val="InternetLink"/>
                  <w:rFonts w:ascii="Times New Roman;Times;serif" w:hAnsi="Times New Roman;Times;serif"/>
                  <w:b/>
                  <w:sz w:val="20"/>
                </w:rPr>
                <w:t>Consolidated Statements of Convertible Preferred Shares and Shareholders’ Equity (Deficit)</w:t>
              </w:r>
            </w:hyperlink>
          </w:p>
        </w:tc>
        <w:tc>
          <w:tcPr>
            <w:tcW w:w="935" w:type="dxa"/>
            <w:tcBorders/>
            <w:vAlign w:val="center"/>
          </w:tcPr>
          <w:p>
            <w:pPr>
              <w:pStyle w:val="TableContents"/>
              <w:bidi w:val="0"/>
              <w:spacing w:lineRule="auto" w:line="300" w:before="0" w:after="0"/>
              <w:ind w:left="57" w:right="0" w:hanging="0"/>
              <w:jc w:val="center"/>
              <w:rPr>
                <w:rFonts w:ascii="Times New Roman;Times;serif" w:hAnsi="Times New Roman;Times;serif"/>
                <w:b/>
                <w:smallCaps/>
                <w:sz w:val="20"/>
              </w:rPr>
            </w:pPr>
            <w:r>
              <w:rPr>
                <w:rFonts w:ascii="Times New Roman;Times;serif" w:hAnsi="Times New Roman;Times;serif"/>
                <w:b/>
                <w:smallCaps/>
                <w:sz w:val="20"/>
              </w:rPr>
              <w:t>F - 7</w:t>
            </w:r>
          </w:p>
        </w:tc>
      </w:tr>
      <w:tr>
        <w:trPr/>
        <w:tc>
          <w:tcPr>
            <w:tcW w:w="77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lineRule="auto" w:line="300" w:before="0" w:after="0"/>
              <w:ind w:left="57" w:right="0" w:hanging="0"/>
              <w:jc w:val="left"/>
              <w:rPr/>
            </w:pPr>
            <w:hyperlink w:anchor="CONSOLIDATEDSTATEMENTSOFCASHFLOW_integixAnchor">
              <w:r>
                <w:rPr>
                  <w:rStyle w:val="InternetLink"/>
                  <w:rFonts w:ascii="Times New Roman;Times;serif" w:hAnsi="Times New Roman;Times;serif"/>
                  <w:b/>
                  <w:sz w:val="20"/>
                </w:rPr>
                <w:t>Consolidated Statements of Cash Flows</w:t>
              </w:r>
            </w:hyperlink>
          </w:p>
        </w:tc>
        <w:tc>
          <w:tcPr>
            <w:tcW w:w="935" w:type="dxa"/>
            <w:tcBorders/>
            <w:vAlign w:val="center"/>
          </w:tcPr>
          <w:p>
            <w:pPr>
              <w:pStyle w:val="TableContents"/>
              <w:bidi w:val="0"/>
              <w:spacing w:lineRule="auto" w:line="300" w:before="0" w:after="0"/>
              <w:ind w:left="57" w:right="0" w:hanging="0"/>
              <w:jc w:val="center"/>
              <w:rPr>
                <w:rFonts w:ascii="Times New Roman;Times;serif" w:hAnsi="Times New Roman;Times;serif"/>
                <w:b/>
                <w:smallCaps/>
                <w:sz w:val="20"/>
              </w:rPr>
            </w:pPr>
            <w:r>
              <w:rPr>
                <w:rFonts w:ascii="Times New Roman;Times;serif" w:hAnsi="Times New Roman;Times;serif"/>
                <w:b/>
                <w:smallCaps/>
                <w:sz w:val="20"/>
              </w:rPr>
              <w:t>F - 8</w:t>
            </w:r>
          </w:p>
        </w:tc>
      </w:tr>
      <w:tr>
        <w:trPr/>
        <w:tc>
          <w:tcPr>
            <w:tcW w:w="77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lineRule="auto" w:line="300" w:before="0" w:after="0"/>
              <w:ind w:left="57" w:right="0" w:hanging="0"/>
              <w:jc w:val="left"/>
              <w:rPr/>
            </w:pPr>
            <w:hyperlink w:anchor="NOTESTOCONSOLIDATEDFINANCIALSTATEMENTS_integixAnchor">
              <w:r>
                <w:rPr>
                  <w:rStyle w:val="InternetLink"/>
                  <w:rFonts w:ascii="Times New Roman;Times;serif" w:hAnsi="Times New Roman;Times;serif"/>
                  <w:b/>
                  <w:sz w:val="20"/>
                </w:rPr>
                <w:t>Notes to consolidated Financial Statements</w:t>
              </w:r>
            </w:hyperlink>
          </w:p>
        </w:tc>
        <w:tc>
          <w:tcPr>
            <w:tcW w:w="935" w:type="dxa"/>
            <w:tcBorders/>
            <w:vAlign w:val="center"/>
          </w:tcPr>
          <w:p>
            <w:pPr>
              <w:pStyle w:val="TableContents"/>
              <w:bidi w:val="0"/>
              <w:spacing w:lineRule="auto" w:line="300" w:before="0" w:after="0"/>
              <w:ind w:left="57" w:right="0" w:hanging="0"/>
              <w:jc w:val="center"/>
              <w:rPr>
                <w:rFonts w:ascii="Times New Roman;Times;serif" w:hAnsi="Times New Roman;Times;serif"/>
                <w:smallCaps/>
                <w:sz w:val="20"/>
              </w:rPr>
            </w:pPr>
            <w:r>
              <w:rPr>
                <w:rFonts w:ascii="Times New Roman;Times;serif" w:hAnsi="Times New Roman;Times;serif"/>
                <w:b/>
                <w:smallCaps/>
                <w:sz w:val="20"/>
              </w:rPr>
              <w:t xml:space="preserve">F - 9 F </w:t>
            </w:r>
            <w:r>
              <w:rPr>
                <w:rFonts w:ascii="Times New Roman;Times;serif" w:hAnsi="Times New Roman;Times;serif"/>
                <w:smallCaps/>
                <w:sz w:val="20"/>
              </w:rPr>
              <w:t>- </w:t>
            </w:r>
            <w:r>
              <w:rPr>
                <w:rFonts w:ascii="Times New Roman;Times;serif" w:hAnsi="Times New Roman;Times;serif"/>
                <w:b/>
                <w:smallCaps/>
                <w:sz w:val="20"/>
              </w:rPr>
              <w:t>32</w:t>
            </w:r>
          </w:p>
        </w:tc>
      </w:tr>
    </w:tbl>
    <w:p>
      <w:pPr>
        <w:pStyle w:val="TextBody"/>
        <w:bidi w:val="0"/>
        <w:spacing w:lineRule="auto" w:line="300" w:before="0" w:after="0"/>
        <w:jc w:val="left"/>
        <w:rPr/>
      </w:pPr>
      <w:r>
        <w:rPr/>
        <w:t> </w:t>
      </w:r>
    </w:p>
    <w:p>
      <w:pPr>
        <w:pStyle w:val="HorizontalLine"/>
        <w:bidi w:val="0"/>
        <w:spacing w:before="200" w:after="200"/>
        <w:jc w:val="left"/>
        <w:rPr/>
      </w:pPr>
      <w:r>
        <w:rPr/>
      </w:r>
    </w:p>
    <w:tbl>
      <w:tblPr>
        <w:tblW w:w="6355" w:type="dxa"/>
        <w:jc w:val="left"/>
        <w:tblInd w:w="0" w:type="dxa"/>
        <w:tblLayout w:type="fixed"/>
        <w:tblCellMar>
          <w:top w:w="0" w:type="dxa"/>
          <w:left w:w="0" w:type="dxa"/>
          <w:bottom w:w="0" w:type="dxa"/>
          <w:right w:w="0" w:type="dxa"/>
        </w:tblCellMar>
      </w:tblPr>
      <w:tblGrid>
        <w:gridCol w:w="1200"/>
        <w:gridCol w:w="3350"/>
        <w:gridCol w:w="1805"/>
      </w:tblGrid>
      <w:tr>
        <w:trPr/>
        <w:tc>
          <w:tcPr>
            <w:tcW w:w="1200" w:type="dxa"/>
            <w:tcBorders/>
            <w:vAlign w:val="center"/>
          </w:tcPr>
          <w:p>
            <w:pPr>
              <w:pStyle w:val="TableContents"/>
              <w:bidi w:val="0"/>
              <w:spacing w:lineRule="auto" w:line="300" w:before="0" w:after="0"/>
              <w:jc w:val="left"/>
              <w:rPr/>
            </w:pPr>
            <w:r>
              <w:rPr/>
              <w:drawing>
                <wp:inline distT="0" distB="0" distL="0" distR="0">
                  <wp:extent cx="762000" cy="895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49"/>
                          <a:stretch>
                            <a:fillRect/>
                          </a:stretch>
                        </pic:blipFill>
                        <pic:spPr bwMode="auto">
                          <a:xfrm>
                            <a:off x="0" y="0"/>
                            <a:ext cx="762000" cy="895350"/>
                          </a:xfrm>
                          <a:prstGeom prst="rect">
                            <a:avLst/>
                          </a:prstGeom>
                        </pic:spPr>
                      </pic:pic>
                    </a:graphicData>
                  </a:graphic>
                </wp:inline>
              </w:drawing>
            </w:r>
          </w:p>
        </w:tc>
        <w:tc>
          <w:tcPr>
            <w:tcW w:w="335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Kost Forer Gabbay &amp; Kasierer</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144 Menachem Begin Road, Building A,</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Tel-Aviv 6492102, Israel</w:t>
            </w:r>
          </w:p>
        </w:tc>
        <w:tc>
          <w:tcPr>
            <w:tcW w:w="180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Tel: +972-3-6232525</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Fax: +972-3-5622555</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ey.com</w:t>
            </w:r>
          </w:p>
        </w:tc>
      </w:tr>
    </w:tbl>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bookmarkStart w:id="350" w:name="REPORTOFINDEPENDENTREGISTEREDPUBLICACCOU"/>
      <w:bookmarkEnd w:id="350"/>
      <w:r>
        <w:rPr>
          <w:rFonts w:ascii="Times New Roman;Times;serif" w:hAnsi="Times New Roman;Times;serif"/>
          <w:b/>
          <w:sz w:val="20"/>
        </w:rPr>
        <w:t>REPORT OF INDEPENDENT REGISTERED PUBLIC ACCOUNTING FIRM</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To the Shareholders and the Board of Directors of WalkMe Ltd. and its subsidiaries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have audited the accompanying consolidated balance sheets of WalkMe Ltd. and its subsidiaries (the "Company") as of December 31, 2023, and 2022, the related consolidated statements of operations, comprehensive loss, convertible preferred shares and shareholders’ equity (deficit),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/s/ KOST FORER GABBAY &amp; KASIERER</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 Member of EY Global</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have served as the Company’s auditor since 2012.</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Tel-Aviv, Israel</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March 18, 2024</w:t>
      </w:r>
    </w:p>
    <w:p>
      <w:pPr>
        <w:pStyle w:val="TextBody"/>
        <w:bidi w:val="0"/>
        <w:spacing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p>
      <w:pPr>
        <w:pStyle w:val="HorizontalLine"/>
        <w:bidi w:val="0"/>
        <w:spacing w:before="200" w:after="200"/>
        <w:jc w:val="left"/>
        <w:rPr/>
      </w:pPr>
      <w:r>
        <w:rPr/>
      </w:r>
    </w:p>
    <w:p>
      <w:pPr>
        <w:pStyle w:val="TextBody"/>
        <w:bidi w:val="0"/>
        <w:spacing w:lineRule="auto" w:line="300" w:before="200" w:after="160"/>
        <w:ind w:left="6" w:right="0" w:hanging="0"/>
        <w:jc w:val="right"/>
        <w:rPr>
          <w:b/>
          <w:sz w:val="20"/>
        </w:rPr>
      </w:pPr>
      <w:r>
        <w:rPr>
          <w:b/>
          <w:sz w:val="20"/>
        </w:rPr>
        <w:t>WALKME LTD. AND ITS SUBSIDIARIES</w:t>
      </w:r>
    </w:p>
    <w:p>
      <w:pPr>
        <w:pStyle w:val="TextBody"/>
        <w:bidi w:val="0"/>
        <w:spacing w:lineRule="auto" w:line="300" w:before="0" w:after="0"/>
        <w:jc w:val="left"/>
        <w:rPr>
          <w:b/>
          <w:sz w:val="20"/>
        </w:rPr>
      </w:pPr>
      <w:bookmarkStart w:id="351" w:name="CONSOLIDATEDBALANCESHEETS_integixAnchor"/>
      <w:bookmarkEnd w:id="351"/>
      <w:r>
        <w:rPr>
          <w:b/>
          <w:sz w:val="20"/>
        </w:rPr>
        <w:t>CONSOLIDATED BALANCE SHEETS</w:t>
      </w:r>
    </w:p>
    <w:p>
      <w:pPr>
        <w:pStyle w:val="TextBody"/>
        <w:bidi w:val="0"/>
        <w:spacing w:lineRule="auto" w:line="300" w:before="0" w:after="0"/>
        <w:jc w:val="left"/>
        <w:rPr>
          <w:b/>
          <w:sz w:val="20"/>
        </w:rPr>
      </w:pPr>
      <w:r>
        <w:rPr>
          <w:b/>
          <w:sz w:val="20"/>
        </w:rPr>
        <w:t>U.S. dollars in thousands (except share and per share data)</w:t>
      </w:r>
    </w:p>
    <w:p>
      <w:pPr>
        <w:pStyle w:val="HorizontalLine"/>
        <w:bidi w:val="0"/>
        <w:spacing w:lineRule="auto" w:line="300"/>
        <w:jc w:val="left"/>
        <w:rPr/>
      </w:pPr>
      <w:r>
        <w:rPr/>
      </w:r>
    </w:p>
    <w:p>
      <w:pPr>
        <w:pStyle w:val="TextBody"/>
        <w:bidi w:val="0"/>
        <w:spacing w:lineRule="auto" w:line="300"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4295"/>
        <w:gridCol w:w="60"/>
        <w:gridCol w:w="140"/>
        <w:gridCol w:w="800"/>
        <w:gridCol w:w="60"/>
        <w:gridCol w:w="60"/>
        <w:gridCol w:w="140"/>
        <w:gridCol w:w="800"/>
        <w:gridCol w:w="75"/>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lineRule="auto" w:line="300" w:before="0" w:after="0"/>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94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lineRule="auto" w:line="300" w:before="0" w:after="0"/>
              <w:jc w:val="left"/>
              <w:rPr/>
            </w:pPr>
            <w:r>
              <w:rPr/>
              <w:t>CURRENT ASSETS:</w:t>
            </w:r>
          </w:p>
        </w:tc>
        <w:tc>
          <w:tcPr>
            <w:tcW w:w="60" w:type="dxa"/>
            <w:tcBorders/>
            <w:shd w:fill="CCEEFF" w:val="clear"/>
            <w:vAlign w:val="center"/>
          </w:tcPr>
          <w:p>
            <w:pPr>
              <w:pStyle w:val="TableContents"/>
              <w:bidi w:val="0"/>
              <w:spacing w:before="0" w:after="283"/>
              <w:jc w:val="left"/>
              <w:rPr/>
            </w:pPr>
            <w:r>
              <w:rPr/>
              <w:t> </w:t>
            </w:r>
          </w:p>
        </w:tc>
        <w:tc>
          <w:tcPr>
            <w:tcW w:w="94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lineRule="auto" w:line="300" w:before="0" w:after="0"/>
              <w:ind w:left="227" w:right="0" w:hanging="0"/>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800" w:type="dxa"/>
            <w:tcBorders/>
            <w:shd w:fill="CCEEFF" w:val="clear"/>
            <w:vAlign w:val="center"/>
          </w:tcPr>
          <w:p>
            <w:pPr>
              <w:pStyle w:val="TableContents"/>
              <w:bidi w:val="0"/>
              <w:spacing w:lineRule="auto" w:line="300" w:before="0" w:after="0"/>
              <w:jc w:val="right"/>
              <w:rPr/>
            </w:pPr>
            <w:r>
              <w:rPr/>
              <w:t>177,223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800" w:type="dxa"/>
            <w:tcBorders/>
            <w:shd w:fill="CCEEFF" w:val="clear"/>
            <w:vAlign w:val="center"/>
          </w:tcPr>
          <w:p>
            <w:pPr>
              <w:pStyle w:val="TableContents"/>
              <w:bidi w:val="0"/>
              <w:spacing w:lineRule="auto" w:line="300" w:before="0" w:after="0"/>
              <w:jc w:val="right"/>
              <w:rPr/>
            </w:pPr>
            <w:r>
              <w:rPr/>
              <w:t>94,105</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lineRule="auto" w:line="300" w:before="0" w:after="0"/>
              <w:ind w:left="227" w:right="0" w:hanging="0"/>
              <w:jc w:val="left"/>
              <w:rPr/>
            </w:pPr>
            <w:r>
              <w:rPr/>
              <w:t>Short-term deposits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28,027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125,231</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lineRule="auto" w:line="300" w:before="0" w:after="0"/>
              <w:ind w:left="227" w:right="0" w:hanging="0"/>
              <w:jc w:val="left"/>
              <w:rPr/>
            </w:pPr>
            <w:r>
              <w:rPr/>
              <w:t>Short-term 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60,290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42,187</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lineRule="auto" w:line="300" w:before="0" w:after="0"/>
              <w:ind w:left="227" w:right="0" w:hanging="0"/>
              <w:jc w:val="left"/>
              <w:rPr/>
            </w:pPr>
            <w:r>
              <w:rPr/>
              <w:t>Trade receivables,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40,494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45,024</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lineRule="auto" w:line="300" w:before="0" w:after="0"/>
              <w:ind w:left="227" w:right="0" w:hanging="0"/>
              <w:jc w:val="left"/>
              <w:rPr/>
            </w:pPr>
            <w:r>
              <w:rPr/>
              <w:t>Short-term deferred contract acquisition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26,793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26,287</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lineRule="auto" w:line="300" w:before="0" w:after="0"/>
              <w:ind w:left="227" w:right="0" w:hanging="0"/>
              <w:jc w:val="left"/>
              <w:rPr/>
            </w:pPr>
            <w:r>
              <w:rPr/>
              <w:t>Prepaid expenses and other assets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pPr>
            <w:r>
              <w:rPr/>
              <w:t>8,739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pPr>
            <w:r>
              <w:rPr/>
              <w:t>6,243</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lineRule="auto" w:line="300" w:before="0" w:after="0"/>
              <w:jc w:val="left"/>
              <w:rPr/>
            </w:pPr>
            <w:r>
              <w:rPr/>
              <w:t>Total current assets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pPr>
            <w:r>
              <w:rPr/>
              <w:t>341,566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pPr>
            <w:r>
              <w:rPr/>
              <w:t>339,077</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lineRule="auto" w:line="300" w:before="0" w:after="0"/>
              <w:jc w:val="left"/>
              <w:rPr/>
            </w:pPr>
            <w:r>
              <w:rPr/>
              <w:t>NON-CURRENT 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lineRule="auto" w:line="300" w:before="0" w:after="0"/>
              <w:ind w:left="227" w:right="0" w:hanging="0"/>
              <w:jc w:val="left"/>
              <w:rPr/>
            </w:pPr>
            <w:r>
              <w:rPr/>
              <w:t>Long-term deferred contract acquisition costs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30,267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40,110</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lineRule="auto" w:line="300" w:before="0" w:after="0"/>
              <w:ind w:left="227" w:right="0" w:hanging="0"/>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584</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lineRule="auto" w:line="300" w:before="0" w:after="0"/>
              <w:ind w:left="227" w:right="0" w:hanging="0"/>
              <w:jc w:val="left"/>
              <w:rPr/>
            </w:pPr>
            <w:r>
              <w:rPr/>
              <w:t>Long-term marketable securities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56,282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43,334</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lineRule="auto" w:line="300" w:before="0" w:after="0"/>
              <w:ind w:left="227" w:right="0" w:hanging="0"/>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12,059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13,268</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lineRule="auto" w:line="300" w:before="0" w:after="0"/>
              <w:ind w:left="227" w:right="0" w:hanging="0"/>
              <w:jc w:val="left"/>
              <w:rPr/>
            </w:pPr>
            <w:r>
              <w:rPr/>
              <w:t>Operating lease right-of-use 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12,005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7,003</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lineRule="auto" w:line="300" w:before="0" w:after="0"/>
              <w:ind w:left="227" w:right="0" w:hanging="0"/>
              <w:jc w:val="left"/>
              <w:rPr/>
            </w:pPr>
            <w:r>
              <w:rPr/>
              <w:t>Goodwill and 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1,830</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lineRule="auto" w:line="300" w:before="0" w:after="0"/>
              <w:jc w:val="left"/>
              <w:rPr/>
            </w:pPr>
            <w:r>
              <w:rPr/>
              <w:t>Total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112,491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106,129</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lineRule="auto" w:line="300" w:before="0" w:after="0"/>
              <w:ind w:left="57" w:right="0" w:hanging="0"/>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w:t>
            </w:r>
          </w:p>
        </w:tc>
        <w:tc>
          <w:tcPr>
            <w:tcW w:w="8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454,057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w:t>
            </w:r>
          </w:p>
        </w:tc>
        <w:tc>
          <w:tcPr>
            <w:tcW w:w="8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445,206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F-3</w:t>
      </w:r>
    </w:p>
    <w:p>
      <w:pPr>
        <w:pStyle w:val="HorizontalLine"/>
        <w:bidi w:val="0"/>
        <w:spacing w:before="200" w:after="200"/>
        <w:jc w:val="left"/>
        <w:rPr/>
      </w:pPr>
      <w:r>
        <w:rPr/>
      </w:r>
    </w:p>
    <w:p>
      <w:pPr>
        <w:pStyle w:val="TextBody"/>
        <w:bidi w:val="0"/>
        <w:spacing w:lineRule="auto" w:line="300" w:before="0" w:after="0"/>
        <w:ind w:left="6" w:right="0" w:hanging="0"/>
        <w:jc w:val="right"/>
        <w:rPr>
          <w:b/>
          <w:sz w:val="20"/>
        </w:rPr>
      </w:pPr>
      <w:r>
        <w:rPr>
          <w:b/>
          <w:sz w:val="20"/>
        </w:rPr>
        <w:t>WALKME LTD. AND ITS SUBSIDIARIES</w:t>
      </w:r>
    </w:p>
    <w:p>
      <w:pPr>
        <w:pStyle w:val="TextBody"/>
        <w:bidi w:val="0"/>
        <w:spacing w:lineRule="auto" w:line="300" w:before="0" w:after="0"/>
        <w:jc w:val="left"/>
        <w:rPr>
          <w:b/>
          <w:sz w:val="20"/>
        </w:rPr>
      </w:pPr>
      <w:r>
        <w:rPr>
          <w:b/>
          <w:sz w:val="20"/>
        </w:rPr>
        <w:t>CONSOLIDATED BALANCE SHEETS</w:t>
      </w:r>
    </w:p>
    <w:p>
      <w:pPr>
        <w:pStyle w:val="TextBody"/>
        <w:bidi w:val="0"/>
        <w:spacing w:lineRule="auto" w:line="300" w:before="0" w:after="0"/>
        <w:jc w:val="left"/>
        <w:rPr>
          <w:b/>
          <w:sz w:val="20"/>
        </w:rPr>
      </w:pPr>
      <w:r>
        <w:rPr>
          <w:b/>
          <w:sz w:val="20"/>
        </w:rPr>
        <w:t>U.S. dollars in thousands (except share and per share data)</w:t>
      </w:r>
    </w:p>
    <w:p>
      <w:pPr>
        <w:pStyle w:val="HorizontalLine"/>
        <w:bidi w:val="0"/>
        <w:spacing w:lineRule="auto" w:line="300"/>
        <w:jc w:val="left"/>
        <w:rPr/>
      </w:pPr>
      <w:r>
        <w:rPr/>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7850"/>
        <w:gridCol w:w="60"/>
        <w:gridCol w:w="140"/>
        <w:gridCol w:w="875"/>
        <w:gridCol w:w="95"/>
        <w:gridCol w:w="60"/>
        <w:gridCol w:w="140"/>
        <w:gridCol w:w="875"/>
        <w:gridCol w:w="110"/>
      </w:tblGrid>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bottom w:val="single" w:sz="12" w:space="0" w:color="000000"/>
            </w:tcBorders>
            <w:tcMar>
              <w:bottom w:w="28" w:type="dxa"/>
            </w:tcMar>
            <w:vAlign w:val="center"/>
          </w:tcPr>
          <w:p>
            <w:pPr>
              <w:pStyle w:val="TableContents"/>
              <w:bidi w:val="0"/>
              <w:spacing w:lineRule="auto" w:line="300" w:before="0" w:after="0"/>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lineRule="auto" w:line="300" w:before="0" w:after="0"/>
              <w:ind w:left="0" w:right="0" w:firstLine="5"/>
              <w:jc w:val="left"/>
              <w:rPr>
                <w:b/>
              </w:rPr>
            </w:pPr>
            <w:r>
              <w:rPr>
                <w:b/>
              </w:rPr>
              <w:t>LIABILITIES, REDEEMABLE NON-CONTROLLING INTEREST AND SHAREHOLDERS’ EQUITY</w:t>
            </w:r>
          </w:p>
        </w:tc>
        <w:tc>
          <w:tcPr>
            <w:tcW w:w="60" w:type="dxa"/>
            <w:tcBorders/>
            <w:shd w:fill="CCEEFF" w:val="clear"/>
            <w:vAlign w:val="center"/>
          </w:tcPr>
          <w:p>
            <w:pPr>
              <w:pStyle w:val="TableContents"/>
              <w:bidi w:val="0"/>
              <w:spacing w:before="0" w:after="283"/>
              <w:jc w:val="left"/>
              <w:rPr/>
            </w:pPr>
            <w:r>
              <w:rPr/>
              <w:t> </w:t>
            </w:r>
          </w:p>
        </w:tc>
        <w:tc>
          <w:tcPr>
            <w:tcW w:w="101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5"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lineRule="auto" w:line="300" w:before="0" w:after="0"/>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01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5"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lineRule="auto" w:line="300" w:before="0" w:after="0"/>
              <w:ind w:left="227" w:right="0" w:hanging="0"/>
              <w:jc w:val="left"/>
              <w:rPr/>
            </w:pPr>
            <w:r>
              <w:rPr/>
              <w:t>Trade payables</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875" w:type="dxa"/>
            <w:tcBorders/>
            <w:shd w:fill="CCEEFF" w:val="clear"/>
            <w:vAlign w:val="center"/>
          </w:tcPr>
          <w:p>
            <w:pPr>
              <w:pStyle w:val="TableContents"/>
              <w:bidi w:val="0"/>
              <w:spacing w:lineRule="auto" w:line="300" w:before="0" w:after="0"/>
              <w:jc w:val="right"/>
              <w:rPr/>
            </w:pPr>
            <w:r>
              <w:rPr/>
              <w:t>3,508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875" w:type="dxa"/>
            <w:tcBorders/>
            <w:shd w:fill="CCEEFF" w:val="clear"/>
            <w:vAlign w:val="center"/>
          </w:tcPr>
          <w:p>
            <w:pPr>
              <w:pStyle w:val="TableContents"/>
              <w:bidi w:val="0"/>
              <w:spacing w:lineRule="auto" w:line="300" w:before="0" w:after="0"/>
              <w:jc w:val="right"/>
              <w:rPr/>
            </w:pPr>
            <w:r>
              <w:rPr/>
              <w:t>5,957</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lineRule="auto" w:line="300" w:before="0" w:after="0"/>
              <w:ind w:left="227" w:right="0" w:hanging="0"/>
              <w:jc w:val="left"/>
              <w:rPr/>
            </w:pPr>
            <w:r>
              <w:rPr/>
              <w:t>Employees and payroll accruals</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25,041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30,720</w:t>
            </w:r>
          </w:p>
        </w:tc>
        <w:tc>
          <w:tcPr>
            <w:tcW w:w="110" w:type="dxa"/>
            <w:tcBorders/>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lineRule="auto" w:line="300" w:before="0" w:after="0"/>
              <w:ind w:left="227" w:right="0" w:hanging="0"/>
              <w:jc w:val="left"/>
              <w:rPr/>
            </w:pPr>
            <w:r>
              <w:rPr/>
              <w:t>Accrued expenses and other liabilities</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18,127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17,685</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lineRule="auto" w:line="300" w:before="0" w:after="0"/>
              <w:ind w:left="227" w:right="0" w:hanging="0"/>
              <w:jc w:val="left"/>
              <w:rPr/>
            </w:pPr>
            <w:r>
              <w:rPr/>
              <w:t>Short-term operating lease liabilities</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4,604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5,009</w:t>
            </w:r>
          </w:p>
        </w:tc>
        <w:tc>
          <w:tcPr>
            <w:tcW w:w="110" w:type="dxa"/>
            <w:tcBorders/>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lineRule="auto" w:line="300" w:before="0" w:after="0"/>
              <w:ind w:left="227" w:right="0" w:hanging="0"/>
              <w:jc w:val="left"/>
              <w:rPr/>
            </w:pPr>
            <w:r>
              <w:rPr/>
              <w:t>Deferred revenues</w:t>
            </w:r>
          </w:p>
        </w:tc>
        <w:tc>
          <w:tcPr>
            <w:tcW w:w="60" w:type="dxa"/>
            <w:tcBorders/>
            <w:shd w:fill="CCEEFF" w:val="clear"/>
            <w:vAlign w:val="center"/>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110,701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108,097</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lineRule="auto" w:line="300" w:before="0" w:after="0"/>
              <w:ind w:left="57" w:right="0" w:hanging="0"/>
              <w:jc w:val="left"/>
              <w:rPr/>
            </w:pPr>
            <w:r>
              <w:rPr/>
              <w:t>Total current liabilities</w:t>
            </w:r>
          </w:p>
        </w:tc>
        <w:tc>
          <w:tcPr>
            <w:tcW w:w="60" w:type="dxa"/>
            <w:tcBorders/>
            <w:shd w:fill="CCEEFF" w:val="clear"/>
            <w:vAlign w:val="center"/>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161,981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167,468</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lineRule="auto" w:line="300" w:before="0" w:after="0"/>
              <w:jc w:val="left"/>
              <w:rPr/>
            </w:pPr>
            <w:r>
              <w:rPr/>
              <w:t>NON-CURRENT LIABILITIES:</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lineRule="auto" w:line="300" w:before="0" w:after="0"/>
              <w:ind w:left="0" w:right="0" w:firstLine="227"/>
              <w:jc w:val="left"/>
              <w:rPr/>
            </w:pPr>
            <w:r>
              <w:rPr/>
              <w:t>Deferred revenues</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1,613</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lineRule="auto" w:line="300" w:before="0" w:after="0"/>
              <w:ind w:left="0" w:right="0" w:firstLine="227"/>
              <w:jc w:val="left"/>
              <w:rPr/>
            </w:pPr>
            <w:r>
              <w:rPr/>
              <w:t>Deferred tax liabilities, net</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5,559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7,330</w:t>
            </w:r>
          </w:p>
        </w:tc>
        <w:tc>
          <w:tcPr>
            <w:tcW w:w="110" w:type="dxa"/>
            <w:tcBorders/>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lineRule="auto" w:line="300" w:before="0" w:after="0"/>
              <w:ind w:left="0" w:right="0" w:firstLine="227"/>
              <w:jc w:val="left"/>
              <w:rPr/>
            </w:pPr>
            <w:r>
              <w:rPr/>
              <w:t>Other liabilities</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6,825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2,708</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lineRule="auto" w:line="300" w:before="0" w:after="0"/>
              <w:ind w:left="226" w:right="0" w:hanging="0"/>
              <w:jc w:val="left"/>
              <w:rPr/>
            </w:pPr>
            <w:r>
              <w:rPr/>
              <w:t>Long-term operating lease liabilities</w:t>
            </w:r>
          </w:p>
        </w:tc>
        <w:tc>
          <w:tcPr>
            <w:tcW w:w="60" w:type="dxa"/>
            <w:tcBorders/>
            <w:vAlign w:val="center"/>
          </w:tcPr>
          <w:p>
            <w:pPr>
              <w:pStyle w:val="TableContents"/>
              <w:bidi w:val="0"/>
              <w:spacing w:before="0" w:after="283"/>
              <w:jc w:val="righ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pPr>
            <w:r>
              <w:rPr/>
              <w:t>8,222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pPr>
            <w:r>
              <w:rPr/>
              <w:t>3,833</w:t>
            </w:r>
          </w:p>
        </w:tc>
        <w:tc>
          <w:tcPr>
            <w:tcW w:w="110" w:type="dxa"/>
            <w:tcBorders/>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lineRule="auto" w:line="300" w:before="0" w:after="0"/>
              <w:ind w:left="57" w:right="0" w:hanging="0"/>
              <w:jc w:val="left"/>
              <w:rPr/>
            </w:pPr>
            <w:r>
              <w:rPr/>
              <w:t>Total non-current liabilities</w:t>
            </w:r>
          </w:p>
        </w:tc>
        <w:tc>
          <w:tcPr>
            <w:tcW w:w="60" w:type="dxa"/>
            <w:tcBorders/>
            <w:vAlign w:val="center"/>
          </w:tcPr>
          <w:p>
            <w:pPr>
              <w:pStyle w:val="TableContents"/>
              <w:bidi w:val="0"/>
              <w:spacing w:before="0" w:after="283"/>
              <w:jc w:val="righ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pPr>
            <w:r>
              <w:rPr/>
              <w:t>21,500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pPr>
            <w:r>
              <w:rPr/>
              <w:t>15,484</w:t>
            </w:r>
          </w:p>
        </w:tc>
        <w:tc>
          <w:tcPr>
            <w:tcW w:w="110" w:type="dxa"/>
            <w:tcBorders/>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lineRule="auto" w:line="300" w:before="0" w:after="0"/>
              <w:ind w:left="57" w:right="0" w:hanging="0"/>
              <w:jc w:val="left"/>
              <w:rPr>
                <w:b/>
              </w:rPr>
            </w:pPr>
            <w:r>
              <w:rPr>
                <w:b/>
              </w:rPr>
              <w:t>TOTAL LIABILITIES</w:t>
            </w:r>
          </w:p>
        </w:tc>
        <w:tc>
          <w:tcPr>
            <w:tcW w:w="60" w:type="dxa"/>
            <w:tcBorders/>
            <w:vAlign w:val="center"/>
          </w:tcPr>
          <w:p>
            <w:pPr>
              <w:pStyle w:val="TableContents"/>
              <w:bidi w:val="0"/>
              <w:spacing w:before="0" w:after="283"/>
              <w:jc w:val="righ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pPr>
            <w:r>
              <w:rPr/>
              <w:t>183,481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pPr>
            <w:r>
              <w:rPr/>
              <w:t>182,952</w:t>
            </w:r>
          </w:p>
        </w:tc>
        <w:tc>
          <w:tcPr>
            <w:tcW w:w="110" w:type="dxa"/>
            <w:tcBorders/>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lineRule="auto" w:line="300" w:before="0" w:after="0"/>
              <w:jc w:val="left"/>
              <w:rPr/>
            </w:pPr>
            <w:r>
              <w:rPr/>
              <w:t>COMMITMENTS AND CONTINGENT LIABILITIES (note 7)</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lineRule="auto" w:line="300" w:before="0" w:after="0"/>
              <w:jc w:val="left"/>
              <w:rPr/>
            </w:pPr>
            <w:r>
              <w:rPr/>
              <w:t>REDEEMABLE NON-CONTROLLING INTEREST</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10,429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8,080</w:t>
            </w:r>
          </w:p>
        </w:tc>
        <w:tc>
          <w:tcPr>
            <w:tcW w:w="110" w:type="dxa"/>
            <w:tcBorders/>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lineRule="auto" w:line="300" w:before="0" w:after="0"/>
              <w:jc w:val="left"/>
              <w:rPr/>
            </w:pPr>
            <w:r>
              <w:rPr/>
              <w:t>SHAREHOLDERS’ EQUITY:</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lineRule="auto" w:line="300" w:before="0" w:after="0"/>
              <w:ind w:left="227" w:right="0" w:hanging="0"/>
              <w:jc w:val="left"/>
              <w:rPr/>
            </w:pPr>
            <w:r>
              <w:rPr/>
              <w:t>Ordinary shares of no par value -</w:t>
            </w:r>
          </w:p>
          <w:p>
            <w:pPr>
              <w:pStyle w:val="TableContents"/>
              <w:bidi w:val="0"/>
              <w:spacing w:lineRule="auto" w:line="300" w:before="0" w:after="0"/>
              <w:ind w:left="397" w:right="0" w:hanging="0"/>
              <w:jc w:val="left"/>
              <w:rPr/>
            </w:pPr>
            <w:r>
              <w:rPr/>
              <w:t>Authorized: 900,000,000 shares at December 31, 2023 and 2022; Issued and outstanding: 90,864,662 and 86,780,082 shares at December 31, 2023 and 2022, respectively</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lineRule="auto" w:line="300" w:before="0" w:after="0"/>
              <w:ind w:left="227" w:right="0" w:hanging="0"/>
              <w:jc w:val="left"/>
              <w:rPr/>
            </w:pPr>
            <w:r>
              <w:rPr/>
              <w:t>Additional paid-in capital</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748,801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688,636</w:t>
            </w:r>
          </w:p>
        </w:tc>
        <w:tc>
          <w:tcPr>
            <w:tcW w:w="110" w:type="dxa"/>
            <w:tcBorders/>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lineRule="auto" w:line="300" w:before="0" w:after="0"/>
              <w:ind w:left="227" w:right="0" w:hanging="0"/>
              <w:jc w:val="left"/>
              <w:rPr/>
            </w:pPr>
            <w:r>
              <w:rPr/>
              <w:t>Accumulated other comprehensive income (loss)</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478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(1,817</w:t>
            </w:r>
          </w:p>
        </w:tc>
        <w:tc>
          <w:tcPr>
            <w:tcW w:w="110" w:type="dxa"/>
            <w:tcBorders/>
            <w:shd w:fill="CCEEFF" w:val="clear"/>
            <w:vAlign w:val="center"/>
          </w:tcPr>
          <w:p>
            <w:pPr>
              <w:pStyle w:val="TableContents"/>
              <w:bidi w:val="0"/>
              <w:spacing w:lineRule="auto" w:line="300" w:before="0" w:after="0"/>
              <w:jc w:val="left"/>
              <w:rPr/>
            </w:pPr>
            <w:r>
              <w:rPr/>
              <w:t>)</w:t>
            </w:r>
          </w:p>
        </w:tc>
      </w:tr>
      <w:tr>
        <w:trPr/>
        <w:tc>
          <w:tcPr>
            <w:tcW w:w="7850" w:type="dxa"/>
            <w:tcBorders/>
            <w:vAlign w:val="center"/>
          </w:tcPr>
          <w:p>
            <w:pPr>
              <w:pStyle w:val="TableContents"/>
              <w:bidi w:val="0"/>
              <w:spacing w:lineRule="auto" w:line="300" w:before="0" w:after="0"/>
              <w:ind w:left="227" w:right="0" w:hanging="0"/>
              <w:jc w:val="left"/>
              <w:rPr/>
            </w:pPr>
            <w:r>
              <w:rPr/>
              <w:t>Accumulated deficit</w:t>
            </w:r>
          </w:p>
        </w:tc>
        <w:tc>
          <w:tcPr>
            <w:tcW w:w="60" w:type="dxa"/>
            <w:tcBorders/>
            <w:vAlign w:val="center"/>
          </w:tcPr>
          <w:p>
            <w:pPr>
              <w:pStyle w:val="TableContents"/>
              <w:bidi w:val="0"/>
              <w:spacing w:before="0" w:after="283"/>
              <w:jc w:val="righ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pPr>
            <w:r>
              <w:rPr/>
              <w:t>(489,132</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righ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pPr>
            <w:r>
              <w:rPr/>
              <w:t>(432,645</w:t>
            </w:r>
          </w:p>
        </w:tc>
        <w:tc>
          <w:tcPr>
            <w:tcW w:w="110" w:type="dxa"/>
            <w:tcBorders/>
            <w:vAlign w:val="center"/>
          </w:tcPr>
          <w:p>
            <w:pPr>
              <w:pStyle w:val="TableContents"/>
              <w:bidi w:val="0"/>
              <w:spacing w:lineRule="auto" w:line="300" w:before="0" w:after="0"/>
              <w:jc w:val="left"/>
              <w:rPr/>
            </w:pPr>
            <w:r>
              <w:rPr/>
              <w:t>)</w:t>
            </w:r>
          </w:p>
        </w:tc>
      </w:tr>
      <w:tr>
        <w:trPr/>
        <w:tc>
          <w:tcPr>
            <w:tcW w:w="7850" w:type="dxa"/>
            <w:tcBorders/>
            <w:shd w:fill="CCEEFF" w:val="clear"/>
            <w:vAlign w:val="center"/>
          </w:tcPr>
          <w:p>
            <w:pPr>
              <w:pStyle w:val="TableContents"/>
              <w:bidi w:val="0"/>
              <w:spacing w:lineRule="auto" w:line="300" w:before="0" w:after="0"/>
              <w:ind w:left="57" w:right="0" w:hanging="0"/>
              <w:jc w:val="left"/>
              <w:rPr/>
            </w:pPr>
            <w:r>
              <w:rPr/>
              <w:t>Total shareholders’ equity</w:t>
            </w:r>
          </w:p>
        </w:tc>
        <w:tc>
          <w:tcPr>
            <w:tcW w:w="60" w:type="dxa"/>
            <w:tcBorders/>
            <w:shd w:fill="CCEEFF" w:val="clear"/>
            <w:vAlign w:val="center"/>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260,147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254,174</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lineRule="auto" w:line="300" w:before="0" w:after="0"/>
              <w:ind w:left="57" w:right="0" w:hanging="0"/>
              <w:jc w:val="left"/>
              <w:rPr>
                <w:b/>
              </w:rPr>
            </w:pPr>
            <w:r>
              <w:rPr>
                <w:b/>
              </w:rPr>
              <w:t>TOTAL LIABILITIES, REDEEMABLE NON-CONTROLLING INTEREST AND SHAREHOLDERS’ EQUITY</w:t>
            </w:r>
          </w:p>
        </w:tc>
        <w:tc>
          <w:tcPr>
            <w:tcW w:w="60" w:type="dxa"/>
            <w:tcBorders/>
            <w:vAlign w:val="center"/>
          </w:tcPr>
          <w:p>
            <w:pPr>
              <w:pStyle w:val="TableContents"/>
              <w:bidi w:val="0"/>
              <w:spacing w:before="0" w:after="283"/>
              <w:jc w:val="righ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pPr>
            <w:r>
              <w:rPr/>
              <w:t>$</w:t>
            </w:r>
          </w:p>
        </w:tc>
        <w:tc>
          <w:tcPr>
            <w:tcW w:w="875" w:type="dxa"/>
            <w:tcBorders>
              <w:bottom w:val="double" w:sz="8" w:space="0" w:color="000000"/>
            </w:tcBorders>
            <w:tcMar>
              <w:bottom w:w="28" w:type="dxa"/>
            </w:tcMar>
            <w:vAlign w:val="center"/>
          </w:tcPr>
          <w:p>
            <w:pPr>
              <w:pStyle w:val="TableContents"/>
              <w:bidi w:val="0"/>
              <w:spacing w:lineRule="auto" w:line="300" w:before="0" w:after="0"/>
              <w:jc w:val="right"/>
              <w:rPr/>
            </w:pPr>
            <w:r>
              <w:rPr/>
              <w:t>454,057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pPr>
            <w:r>
              <w:rPr/>
              <w:t>$</w:t>
            </w:r>
          </w:p>
        </w:tc>
        <w:tc>
          <w:tcPr>
            <w:tcW w:w="875" w:type="dxa"/>
            <w:tcBorders>
              <w:bottom w:val="double" w:sz="8" w:space="0" w:color="000000"/>
            </w:tcBorders>
            <w:tcMar>
              <w:bottom w:w="28" w:type="dxa"/>
            </w:tcMar>
            <w:vAlign w:val="center"/>
          </w:tcPr>
          <w:p>
            <w:pPr>
              <w:pStyle w:val="TableContents"/>
              <w:bidi w:val="0"/>
              <w:spacing w:lineRule="auto" w:line="300" w:before="0" w:after="0"/>
              <w:jc w:val="right"/>
              <w:rPr/>
            </w:pPr>
            <w:r>
              <w:rPr/>
              <w:t>445,206</w:t>
            </w:r>
          </w:p>
        </w:tc>
        <w:tc>
          <w:tcPr>
            <w:tcW w:w="110"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lineRule="auto" w:line="300" w:before="0" w:after="0"/>
        <w:jc w:val="left"/>
        <w:rPr/>
      </w:pPr>
      <w:r>
        <w:rPr/>
        <w:t> </w:t>
      </w:r>
    </w:p>
    <w:p>
      <w:pPr>
        <w:pStyle w:val="TextBody"/>
        <w:bidi w:val="0"/>
        <w:spacing w:before="20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- 4</w:t>
      </w:r>
    </w:p>
    <w:p>
      <w:pPr>
        <w:pStyle w:val="HorizontalLine"/>
        <w:pBdr>
          <w:bottom w:val="double" w:sz="2" w:space="0" w:color="808080"/>
        </w:pBdr>
        <w:bidi w:val="0"/>
        <w:spacing w:before="0" w:after="283"/>
        <w:jc w:val="left"/>
        <w:rPr/>
      </w:pPr>
      <w:r>
        <w:rPr/>
      </w:r>
    </w:p>
    <w:p>
      <w:pPr>
        <w:pStyle w:val="TextBody"/>
        <w:bidi w:val="0"/>
        <w:spacing w:lineRule="auto" w:line="300" w:before="0" w:after="0"/>
        <w:ind w:left="6" w:right="0" w:hanging="0"/>
        <w:jc w:val="right"/>
        <w:rPr>
          <w:b/>
          <w:sz w:val="20"/>
        </w:rPr>
      </w:pPr>
      <w:r>
        <w:rPr>
          <w:b/>
          <w:sz w:val="20"/>
        </w:rPr>
        <w:t>WALKME LTD. AND ITS SUBSIDIARIES</w:t>
      </w:r>
    </w:p>
    <w:p>
      <w:pPr>
        <w:pStyle w:val="TextBody"/>
        <w:bidi w:val="0"/>
        <w:spacing w:lineRule="auto" w:line="300" w:before="0" w:after="0"/>
        <w:jc w:val="left"/>
        <w:rPr>
          <w:b/>
          <w:sz w:val="20"/>
        </w:rPr>
      </w:pPr>
      <w:bookmarkStart w:id="352" w:name="CONSOLIDATEDSTATEMENTSOFOPERATIONS_integ"/>
      <w:bookmarkEnd w:id="352"/>
      <w:r>
        <w:rPr>
          <w:b/>
          <w:sz w:val="20"/>
        </w:rPr>
        <w:t>CONSOLIDATED STATEMENTS OF OPERATIONS</w:t>
      </w:r>
    </w:p>
    <w:p>
      <w:pPr>
        <w:pStyle w:val="TextBody"/>
        <w:bidi w:val="0"/>
        <w:spacing w:lineRule="auto" w:line="300" w:before="0" w:after="0"/>
        <w:jc w:val="left"/>
        <w:rPr>
          <w:b/>
          <w:sz w:val="20"/>
        </w:rPr>
      </w:pPr>
      <w:r>
        <w:rPr>
          <w:b/>
          <w:sz w:val="20"/>
        </w:rPr>
        <w:t>U.S. dollars in thousands (except share and per share data)</w:t>
      </w:r>
    </w:p>
    <w:p>
      <w:pPr>
        <w:pStyle w:val="HorizontalLine"/>
        <w:bidi w:val="0"/>
        <w:spacing w:lineRule="auto" w:line="300"/>
        <w:jc w:val="left"/>
        <w:rPr/>
      </w:pPr>
      <w:r>
        <w:rPr/>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05"/>
        <w:gridCol w:w="60"/>
        <w:gridCol w:w="140"/>
        <w:gridCol w:w="1100"/>
        <w:gridCol w:w="95"/>
        <w:gridCol w:w="60"/>
        <w:gridCol w:w="140"/>
        <w:gridCol w:w="1100"/>
        <w:gridCol w:w="95"/>
        <w:gridCol w:w="60"/>
        <w:gridCol w:w="140"/>
        <w:gridCol w:w="1100"/>
        <w:gridCol w:w="110"/>
      </w:tblGrid>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0" w:type="dxa"/>
            <w:gridSpan w:val="10"/>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w:t>
            </w:r>
          </w:p>
          <w:p>
            <w:pPr>
              <w:pStyle w:val="TableContents"/>
              <w:bidi w:val="0"/>
              <w:spacing w:lineRule="auto" w:line="300" w:before="0" w:after="0"/>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lineRule="auto" w:line="300" w:before="0" w:after="0"/>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24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0"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lineRule="auto" w:line="300" w:before="0" w:after="0"/>
              <w:ind w:left="0" w:right="0" w:firstLine="397"/>
              <w:jc w:val="left"/>
              <w:rPr/>
            </w:pPr>
            <w:r>
              <w:rPr/>
              <w:t>Subscription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1100" w:type="dxa"/>
            <w:tcBorders/>
            <w:vAlign w:val="center"/>
          </w:tcPr>
          <w:p>
            <w:pPr>
              <w:pStyle w:val="TableContents"/>
              <w:bidi w:val="0"/>
              <w:spacing w:lineRule="auto" w:line="300" w:before="0" w:after="0"/>
              <w:jc w:val="right"/>
              <w:rPr/>
            </w:pPr>
            <w:r>
              <w:rPr/>
              <w:t>247,715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1100" w:type="dxa"/>
            <w:tcBorders/>
            <w:vAlign w:val="center"/>
          </w:tcPr>
          <w:p>
            <w:pPr>
              <w:pStyle w:val="TableContents"/>
              <w:bidi w:val="0"/>
              <w:spacing w:lineRule="auto" w:line="300" w:before="0" w:after="0"/>
              <w:jc w:val="right"/>
              <w:rPr/>
            </w:pPr>
            <w:r>
              <w:rPr/>
              <w:t>220,972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1100" w:type="dxa"/>
            <w:tcBorders/>
            <w:vAlign w:val="center"/>
          </w:tcPr>
          <w:p>
            <w:pPr>
              <w:pStyle w:val="TableContents"/>
              <w:bidi w:val="0"/>
              <w:spacing w:lineRule="auto" w:line="300" w:before="0" w:after="0"/>
              <w:jc w:val="right"/>
              <w:rPr/>
            </w:pPr>
            <w:r>
              <w:rPr/>
              <w:t>175,328</w:t>
            </w:r>
          </w:p>
        </w:tc>
        <w:tc>
          <w:tcPr>
            <w:tcW w:w="11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lineRule="auto" w:line="300" w:before="0" w:after="0"/>
              <w:ind w:left="0" w:right="0" w:firstLine="397"/>
              <w:jc w:val="left"/>
              <w:rPr/>
            </w:pPr>
            <w:r>
              <w:rPr/>
              <w:t>Professional 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19,239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24,034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17,975</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lineRule="auto" w:line="300" w:before="0" w:after="0"/>
              <w:ind w:left="0" w:right="0" w:firstLine="567"/>
              <w:jc w:val="left"/>
              <w:rPr/>
            </w:pPr>
            <w:r>
              <w:rPr/>
              <w:t>Total revenues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266,954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245,006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193,303</w:t>
            </w:r>
          </w:p>
        </w:tc>
        <w:tc>
          <w:tcPr>
            <w:tcW w:w="11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lineRule="auto" w:line="300" w:before="0" w:after="0"/>
              <w:jc w:val="left"/>
              <w:rPr/>
            </w:pPr>
            <w:r>
              <w:rPr/>
              <w:t>Cost of revenues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lineRule="auto" w:line="300" w:before="0" w:after="0"/>
              <w:ind w:left="57" w:right="0" w:firstLine="340"/>
              <w:jc w:val="left"/>
              <w:rPr/>
            </w:pPr>
            <w:r>
              <w:rPr/>
              <w:t>Subscription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25,360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25,990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24,025</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lineRule="auto" w:line="300" w:before="0" w:after="0"/>
              <w:ind w:left="0" w:right="0" w:firstLine="397"/>
              <w:jc w:val="left"/>
              <w:rPr/>
            </w:pPr>
            <w:r>
              <w:rPr/>
              <w:t>Professional services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lineRule="auto" w:line="300" w:before="0" w:after="0"/>
              <w:jc w:val="right"/>
              <w:rPr/>
            </w:pPr>
            <w:r>
              <w:rPr/>
              <w:t>19,013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lineRule="auto" w:line="300" w:before="0" w:after="0"/>
              <w:jc w:val="right"/>
              <w:rPr/>
            </w:pPr>
            <w:r>
              <w:rPr/>
              <w:t>27,894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lineRule="auto" w:line="300" w:before="0" w:after="0"/>
              <w:jc w:val="right"/>
              <w:rPr/>
            </w:pPr>
            <w:r>
              <w:rPr/>
              <w:t>22,632</w:t>
            </w:r>
          </w:p>
        </w:tc>
        <w:tc>
          <w:tcPr>
            <w:tcW w:w="11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lineRule="auto" w:line="300" w:before="0" w:after="0"/>
              <w:ind w:left="0" w:right="0" w:firstLine="720"/>
              <w:jc w:val="left"/>
              <w:rPr/>
            </w:pPr>
            <w:r>
              <w:rPr/>
              <w:t>Total 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44,373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53,884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46,657</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lineRule="auto" w:line="300" w:before="0" w:after="0"/>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222,581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191,122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146,646</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lineRule="auto" w:line="300" w:before="0" w:after="0"/>
              <w:ind w:left="227" w:right="0" w:hanging="0"/>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55,107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59,468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48,160</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lineRule="auto" w:line="300" w:before="0" w:after="0"/>
              <w:ind w:left="227" w:right="0" w:hanging="0"/>
              <w:jc w:val="left"/>
              <w:rPr/>
            </w:pPr>
            <w:r>
              <w:rPr/>
              <w:t>Sales and marketing</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161,372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176,307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127,719</w:t>
            </w:r>
          </w:p>
        </w:tc>
        <w:tc>
          <w:tcPr>
            <w:tcW w:w="11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lineRule="auto" w:line="300" w:before="0" w:after="0"/>
              <w:ind w:left="227" w:right="0" w:hanging="0"/>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70,983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65,188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48,557</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lineRule="auto" w:line="300" w:before="0" w:after="0"/>
              <w:ind w:left="57" w:right="0" w:hanging="0"/>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287,462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300,963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224,436</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lineRule="auto" w:line="300" w:before="0" w:after="0"/>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(64,881</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(109,841</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(77,790</w:t>
            </w:r>
          </w:p>
        </w:tc>
        <w:tc>
          <w:tcPr>
            <w:tcW w:w="110" w:type="dxa"/>
            <w:tcBorders/>
            <w:shd w:fill="CCEEFF" w:val="clear"/>
            <w:vAlign w:val="center"/>
          </w:tcPr>
          <w:p>
            <w:pPr>
              <w:pStyle w:val="TableContents"/>
              <w:bidi w:val="0"/>
              <w:spacing w:lineRule="auto" w:line="300" w:before="0" w:after="0"/>
              <w:jc w:val="left"/>
              <w:rPr/>
            </w:pPr>
            <w:r>
              <w:rPr/>
              <w:t>)</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lineRule="auto" w:line="300" w:before="0" w:after="0"/>
              <w:jc w:val="left"/>
              <w:rPr/>
            </w:pPr>
            <w:r>
              <w:rPr/>
              <w:t>Financial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13,195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5,322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(9</w:t>
            </w:r>
          </w:p>
        </w:tc>
        <w:tc>
          <w:tcPr>
            <w:tcW w:w="110" w:type="dxa"/>
            <w:tcBorders/>
            <w:shd w:fill="CCEEFF" w:val="clear"/>
            <w:vAlign w:val="center"/>
          </w:tcPr>
          <w:p>
            <w:pPr>
              <w:pStyle w:val="TableContents"/>
              <w:bidi w:val="0"/>
              <w:spacing w:lineRule="auto" w:line="300" w:before="0" w:after="0"/>
              <w:jc w:val="left"/>
              <w:rPr/>
            </w:pPr>
            <w:r>
              <w:rPr/>
              <w:t>)</w:t>
            </w:r>
          </w:p>
        </w:tc>
      </w:tr>
      <w:tr>
        <w:trPr/>
        <w:tc>
          <w:tcPr>
            <w:tcW w:w="6005" w:type="dxa"/>
            <w:tcBorders/>
            <w:vAlign w:val="center"/>
          </w:tcPr>
          <w:p>
            <w:pPr>
              <w:pStyle w:val="TableContents"/>
              <w:bidi w:val="0"/>
              <w:spacing w:lineRule="auto" w:line="300" w:before="0" w:after="0"/>
              <w:jc w:val="left"/>
              <w:rPr/>
            </w:pPr>
            <w:r>
              <w:rPr/>
              <w:t>Loss before income taxes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(51,686</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(104,519</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(77,799</w:t>
            </w:r>
          </w:p>
        </w:tc>
        <w:tc>
          <w:tcPr>
            <w:tcW w:w="110" w:type="dxa"/>
            <w:tcBorders/>
            <w:vAlign w:val="center"/>
          </w:tcPr>
          <w:p>
            <w:pPr>
              <w:pStyle w:val="TableContents"/>
              <w:bidi w:val="0"/>
              <w:spacing w:lineRule="auto" w:line="300" w:before="0" w:after="0"/>
              <w:jc w:val="left"/>
              <w:rPr/>
            </w:pPr>
            <w:r>
              <w:rPr/>
              <w:t>)</w:t>
            </w:r>
          </w:p>
        </w:tc>
      </w:tr>
      <w:tr>
        <w:trPr/>
        <w:tc>
          <w:tcPr>
            <w:tcW w:w="6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lineRule="auto" w:line="300" w:before="0" w:after="0"/>
              <w:jc w:val="left"/>
              <w:rPr/>
            </w:pPr>
            <w:r>
              <w:rPr/>
              <w:t>Income taxes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lineRule="auto" w:line="300" w:before="0" w:after="0"/>
              <w:jc w:val="right"/>
              <w:rPr/>
            </w:pPr>
            <w:r>
              <w:rPr/>
              <w:t>(5,067</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lineRule="auto" w:line="300" w:before="0" w:after="0"/>
              <w:jc w:val="right"/>
              <w:rPr/>
            </w:pPr>
            <w:r>
              <w:rPr/>
              <w:t>(3,831</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lineRule="auto" w:line="300" w:before="0" w:after="0"/>
              <w:jc w:val="right"/>
              <w:rPr/>
            </w:pPr>
            <w:r>
              <w:rPr/>
              <w:t>(2,494</w:t>
            </w:r>
          </w:p>
        </w:tc>
        <w:tc>
          <w:tcPr>
            <w:tcW w:w="110" w:type="dxa"/>
            <w:tcBorders/>
            <w:vAlign w:val="center"/>
          </w:tcPr>
          <w:p>
            <w:pPr>
              <w:pStyle w:val="TableContents"/>
              <w:bidi w:val="0"/>
              <w:spacing w:lineRule="auto" w:line="300" w:before="0" w:after="0"/>
              <w:jc w:val="left"/>
              <w:rPr/>
            </w:pPr>
            <w:r>
              <w:rPr/>
              <w:t>)</w:t>
            </w:r>
          </w:p>
        </w:tc>
      </w:tr>
      <w:tr>
        <w:trPr/>
        <w:tc>
          <w:tcPr>
            <w:tcW w:w="6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lineRule="auto" w:line="300" w:before="0" w:after="0"/>
              <w:jc w:val="left"/>
              <w:rPr/>
            </w:pPr>
            <w:r>
              <w:rPr/>
              <w:t>Net loss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(56,753</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(108,350</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(80,293</w:t>
            </w:r>
          </w:p>
        </w:tc>
        <w:tc>
          <w:tcPr>
            <w:tcW w:w="110" w:type="dxa"/>
            <w:tcBorders/>
            <w:vAlign w:val="center"/>
          </w:tcPr>
          <w:p>
            <w:pPr>
              <w:pStyle w:val="TableContents"/>
              <w:bidi w:val="0"/>
              <w:spacing w:lineRule="auto" w:line="300" w:before="0" w:after="0"/>
              <w:jc w:val="left"/>
              <w:rPr/>
            </w:pPr>
            <w:r>
              <w:rPr/>
              <w:t>)</w:t>
            </w:r>
          </w:p>
        </w:tc>
      </w:tr>
      <w:tr>
        <w:trPr/>
        <w:tc>
          <w:tcPr>
            <w:tcW w:w="6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lineRule="auto" w:line="300" w:before="0" w:after="0"/>
              <w:jc w:val="left"/>
              <w:rPr/>
            </w:pPr>
            <w:r>
              <w:rPr/>
              <w:t>Net loss attributable to non-controlling interest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(266</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(743</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(1,169</w:t>
            </w:r>
          </w:p>
        </w:tc>
        <w:tc>
          <w:tcPr>
            <w:tcW w:w="110" w:type="dxa"/>
            <w:tcBorders/>
            <w:vAlign w:val="center"/>
          </w:tcPr>
          <w:p>
            <w:pPr>
              <w:pStyle w:val="TableContents"/>
              <w:bidi w:val="0"/>
              <w:spacing w:lineRule="auto" w:line="300" w:before="0" w:after="0"/>
              <w:jc w:val="left"/>
              <w:rPr/>
            </w:pPr>
            <w:r>
              <w:rPr/>
              <w:t>)</w:t>
            </w:r>
          </w:p>
        </w:tc>
      </w:tr>
      <w:tr>
        <w:trPr/>
        <w:tc>
          <w:tcPr>
            <w:tcW w:w="6005" w:type="dxa"/>
            <w:tcBorders/>
            <w:shd w:fill="CCEEFF" w:val="clear"/>
            <w:vAlign w:val="center"/>
          </w:tcPr>
          <w:p>
            <w:pPr>
              <w:pStyle w:val="TableContents"/>
              <w:bidi w:val="0"/>
              <w:spacing w:lineRule="auto" w:line="300" w:before="0" w:after="0"/>
              <w:jc w:val="left"/>
              <w:rPr/>
            </w:pPr>
            <w:r>
              <w:rPr/>
              <w:t>Adjustment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(14,979</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16,689</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lineRule="auto" w:line="300" w:before="0" w:after="0"/>
              <w:jc w:val="left"/>
              <w:rPr/>
            </w:pPr>
            <w:r>
              <w:rPr/>
              <w:t>Net loss attributable to WalkMe Ltd.</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lineRule="auto" w:line="300" w:before="0" w:after="0"/>
              <w:jc w:val="right"/>
              <w:rPr/>
            </w:pPr>
            <w:r>
              <w:rPr/>
              <w:t>(59,136</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lineRule="auto" w:line="300" w:before="0" w:after="0"/>
              <w:jc w:val="right"/>
              <w:rPr/>
            </w:pPr>
            <w:r>
              <w:rPr/>
              <w:t>(92,628</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lineRule="auto" w:line="300" w:before="0" w:after="0"/>
              <w:jc w:val="right"/>
              <w:rPr/>
            </w:pPr>
            <w:r>
              <w:rPr/>
              <w:t>(95,813</w:t>
            </w:r>
          </w:p>
        </w:tc>
        <w:tc>
          <w:tcPr>
            <w:tcW w:w="110" w:type="dxa"/>
            <w:tcBorders/>
            <w:vAlign w:val="center"/>
          </w:tcPr>
          <w:p>
            <w:pPr>
              <w:pStyle w:val="TableContents"/>
              <w:bidi w:val="0"/>
              <w:spacing w:lineRule="auto" w:line="300" w:before="0" w:after="0"/>
              <w:jc w:val="left"/>
              <w:rPr/>
            </w:pPr>
            <w:r>
              <w:rPr/>
              <w:t>)</w:t>
            </w:r>
          </w:p>
        </w:tc>
      </w:tr>
      <w:tr>
        <w:trPr/>
        <w:tc>
          <w:tcPr>
            <w:tcW w:w="6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lineRule="auto" w:line="300" w:before="0" w:after="0"/>
              <w:jc w:val="left"/>
              <w:rPr/>
            </w:pPr>
            <w:r>
              <w:rPr/>
              <w:t>Net loss per share attributable to WalkMe Ltd. basic and diluted</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pPr>
            <w:r>
              <w:rPr/>
              <w:t>$</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pPr>
            <w:r>
              <w:rPr/>
              <w:t>(0.67</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pPr>
            <w:r>
              <w:rPr/>
              <w:t>$</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pPr>
            <w:r>
              <w:rPr/>
              <w:t>(1.09</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pPr>
            <w:r>
              <w:rPr/>
              <w:t>$</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pPr>
            <w:r>
              <w:rPr/>
              <w:t>(1.85</w:t>
            </w:r>
          </w:p>
        </w:tc>
        <w:tc>
          <w:tcPr>
            <w:tcW w:w="110" w:type="dxa"/>
            <w:tcBorders/>
            <w:vAlign w:val="center"/>
          </w:tcPr>
          <w:p>
            <w:pPr>
              <w:pStyle w:val="TableContents"/>
              <w:bidi w:val="0"/>
              <w:spacing w:lineRule="auto" w:line="300" w:before="0" w:after="0"/>
              <w:jc w:val="left"/>
              <w:rPr/>
            </w:pPr>
            <w:r>
              <w:rPr/>
              <w:t>)</w:t>
            </w:r>
          </w:p>
        </w:tc>
      </w:tr>
      <w:tr>
        <w:trPr/>
        <w:tc>
          <w:tcPr>
            <w:tcW w:w="6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lineRule="auto" w:line="300" w:before="0" w:after="0"/>
              <w:jc w:val="left"/>
              <w:rPr/>
            </w:pPr>
            <w:r>
              <w:rPr/>
              <w:t>Weighted-average shares used in computing net loss per share attributable to ordinary shareholders, basic and diluted</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pPr>
            <w:r>
              <w:rPr/>
              <w:t>88,912,397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pPr>
            <w:r>
              <w:rPr/>
              <w:t>85,116,424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pPr>
            <w:r>
              <w:rPr/>
              <w:t>51,763,032</w:t>
            </w:r>
          </w:p>
        </w:tc>
        <w:tc>
          <w:tcPr>
            <w:tcW w:w="110"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lineRule="auto" w:line="300" w:before="0" w:after="0"/>
        <w:jc w:val="left"/>
        <w:rPr/>
      </w:pPr>
      <w:r>
        <w:rPr/>
        <w:t> </w:t>
      </w:r>
    </w:p>
    <w:p>
      <w:pPr>
        <w:pStyle w:val="TextBody"/>
        <w:bidi w:val="0"/>
        <w:spacing w:before="200" w:after="0"/>
        <w:jc w:val="center"/>
        <w:rPr>
          <w:b w:val="false"/>
          <w:i w:val="false"/>
          <w:caps w:val="false"/>
          <w:smallCaps w:val="false"/>
          <w:sz w:val="20"/>
        </w:rPr>
      </w:pPr>
      <w:r>
        <w:rPr>
          <w:b w:val="false"/>
          <w:i w:val="false"/>
          <w:caps w:val="false"/>
          <w:smallCaps w:val="false"/>
          <w:sz w:val="20"/>
        </w:rPr>
        <w:t>F-5</w:t>
      </w:r>
    </w:p>
    <w:p>
      <w:pPr>
        <w:pStyle w:val="HorizontalLine"/>
        <w:pBdr>
          <w:bottom w:val="double" w:sz="2" w:space="0" w:color="808080"/>
        </w:pBdr>
        <w:bidi w:val="0"/>
        <w:spacing w:before="0" w:after="283"/>
        <w:jc w:val="left"/>
        <w:rPr/>
      </w:pPr>
      <w:r>
        <w:rPr/>
      </w:r>
    </w:p>
    <w:p>
      <w:pPr>
        <w:pStyle w:val="TextBody"/>
        <w:bidi w:val="0"/>
        <w:spacing w:lineRule="auto" w:line="300" w:before="0" w:after="283"/>
        <w:ind w:left="6" w:right="0" w:hanging="0"/>
        <w:jc w:val="right"/>
        <w:rPr>
          <w:b/>
          <w:sz w:val="20"/>
        </w:rPr>
      </w:pPr>
      <w:r>
        <w:rPr>
          <w:b/>
          <w:sz w:val="20"/>
        </w:rPr>
        <w:t>WALKME LTD. AND ITS SUBSIDIARIES</w:t>
      </w:r>
    </w:p>
    <w:p>
      <w:pPr>
        <w:pStyle w:val="TextBody"/>
        <w:bidi w:val="0"/>
        <w:spacing w:lineRule="auto" w:line="300" w:before="0" w:after="0"/>
        <w:jc w:val="left"/>
        <w:rPr>
          <w:b/>
          <w:sz w:val="20"/>
        </w:rPr>
      </w:pPr>
      <w:bookmarkStart w:id="353" w:name="CONSOLIDATEDSTATEMENTSOFCOMPREHENSIVELOS"/>
      <w:bookmarkEnd w:id="353"/>
      <w:r>
        <w:rPr>
          <w:b/>
          <w:sz w:val="20"/>
        </w:rPr>
        <w:t>CONSOLIDATED STATEMENTS OF COMPREHENSIVE LOSS</w:t>
      </w:r>
    </w:p>
    <w:p>
      <w:pPr>
        <w:pStyle w:val="TextBody"/>
        <w:bidi w:val="0"/>
        <w:spacing w:lineRule="auto" w:line="300" w:before="0" w:after="0"/>
        <w:jc w:val="left"/>
        <w:rPr>
          <w:b/>
          <w:sz w:val="20"/>
        </w:rPr>
      </w:pPr>
      <w:r>
        <w:rPr>
          <w:b/>
          <w:sz w:val="20"/>
        </w:rPr>
        <w:t>U.S. dollars in thousands (except share and per share data)</w:t>
      </w:r>
    </w:p>
    <w:p>
      <w:pPr>
        <w:pStyle w:val="HorizontalLine"/>
        <w:bidi w:val="0"/>
        <w:spacing w:lineRule="auto" w:line="300"/>
        <w:jc w:val="left"/>
        <w:rPr/>
      </w:pPr>
      <w:r>
        <w:rPr/>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920"/>
        <w:gridCol w:w="60"/>
        <w:gridCol w:w="140"/>
        <w:gridCol w:w="755"/>
        <w:gridCol w:w="95"/>
        <w:gridCol w:w="60"/>
        <w:gridCol w:w="140"/>
        <w:gridCol w:w="875"/>
        <w:gridCol w:w="95"/>
        <w:gridCol w:w="60"/>
        <w:gridCol w:w="140"/>
        <w:gridCol w:w="755"/>
        <w:gridCol w:w="110"/>
      </w:tblGrid>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5" w:type="dxa"/>
            <w:gridSpan w:val="10"/>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w:t>
            </w:r>
          </w:p>
          <w:p>
            <w:pPr>
              <w:pStyle w:val="TableContents"/>
              <w:bidi w:val="0"/>
              <w:spacing w:lineRule="auto" w:line="300" w:before="0" w:after="0"/>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lineRule="auto" w:line="300" w:before="0" w:after="0"/>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755" w:type="dxa"/>
            <w:tcBorders/>
            <w:shd w:fill="CCEEFF" w:val="clear"/>
            <w:vAlign w:val="center"/>
          </w:tcPr>
          <w:p>
            <w:pPr>
              <w:pStyle w:val="TableContents"/>
              <w:bidi w:val="0"/>
              <w:spacing w:lineRule="auto" w:line="300" w:before="0" w:after="0"/>
              <w:jc w:val="right"/>
              <w:rPr/>
            </w:pPr>
            <w:r>
              <w:rPr/>
              <w:t>(56,753</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875" w:type="dxa"/>
            <w:tcBorders/>
            <w:shd w:fill="CCEEFF" w:val="clear"/>
            <w:vAlign w:val="center"/>
          </w:tcPr>
          <w:p>
            <w:pPr>
              <w:pStyle w:val="TableContents"/>
              <w:bidi w:val="0"/>
              <w:spacing w:lineRule="auto" w:line="300" w:before="0" w:after="0"/>
              <w:jc w:val="right"/>
              <w:rPr/>
            </w:pPr>
            <w:r>
              <w:rPr/>
              <w:t>(108,350</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755" w:type="dxa"/>
            <w:tcBorders/>
            <w:shd w:fill="CCEEFF" w:val="clear"/>
            <w:vAlign w:val="center"/>
          </w:tcPr>
          <w:p>
            <w:pPr>
              <w:pStyle w:val="TableContents"/>
              <w:bidi w:val="0"/>
              <w:spacing w:lineRule="auto" w:line="300" w:before="0" w:after="0"/>
              <w:jc w:val="right"/>
              <w:rPr/>
            </w:pPr>
            <w:r>
              <w:rPr/>
              <w:t>(80,293</w:t>
            </w:r>
          </w:p>
        </w:tc>
        <w:tc>
          <w:tcPr>
            <w:tcW w:w="110" w:type="dxa"/>
            <w:tcBorders/>
            <w:shd w:fill="CCEEFF" w:val="clear"/>
            <w:vAlign w:val="center"/>
          </w:tcPr>
          <w:p>
            <w:pPr>
              <w:pStyle w:val="TableContents"/>
              <w:bidi w:val="0"/>
              <w:spacing w:lineRule="auto" w:line="300" w:before="0" w:after="0"/>
              <w:jc w:val="left"/>
              <w:rPr/>
            </w:pPr>
            <w:r>
              <w:rPr/>
              <w:t>)</w:t>
            </w:r>
          </w:p>
        </w:tc>
      </w:tr>
      <w:tr>
        <w:trPr/>
        <w:tc>
          <w:tcPr>
            <w:tcW w:w="6920" w:type="dxa"/>
            <w:tcBorders/>
            <w:vAlign w:val="center"/>
          </w:tcPr>
          <w:p>
            <w:pPr>
              <w:pStyle w:val="TableContents"/>
              <w:bidi w:val="0"/>
              <w:spacing w:lineRule="auto" w:line="300" w:before="0" w:after="0"/>
              <w:jc w:val="left"/>
              <w:rPr/>
            </w:pPr>
            <w:r>
              <w:rPr/>
              <w:t>Other comprehensive income (loss):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lineRule="auto" w:line="300" w:before="0" w:after="0"/>
              <w:jc w:val="left"/>
              <w:rPr/>
            </w:pPr>
            <w:r>
              <w:rPr/>
              <w:t>Change in unrealized net gain (loss) on cash flow hedges: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lineRule="auto" w:line="300" w:before="0" w:after="0"/>
              <w:jc w:val="left"/>
              <w:rPr/>
            </w:pPr>
            <w:r>
              <w:rPr/>
              <w:t>Unrealized gain (loss) arising during the year</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(2,667</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(5,651</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1,271</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lineRule="auto" w:line="300" w:before="0" w:after="0"/>
              <w:jc w:val="left"/>
              <w:rPr/>
            </w:pPr>
            <w:r>
              <w:rPr/>
              <w:t>Net gain (loss) reclassified into 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4,997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3,471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(669</w:t>
            </w:r>
          </w:p>
        </w:tc>
        <w:tc>
          <w:tcPr>
            <w:tcW w:w="110" w:type="dxa"/>
            <w:tcBorders/>
            <w:shd w:fill="CCEEFF" w:val="clear"/>
            <w:vAlign w:val="center"/>
          </w:tcPr>
          <w:p>
            <w:pPr>
              <w:pStyle w:val="TableContents"/>
              <w:bidi w:val="0"/>
              <w:spacing w:lineRule="auto" w:line="300" w:before="0" w:after="0"/>
              <w:jc w:val="left"/>
              <w:rPr/>
            </w:pPr>
            <w:r>
              <w:rPr/>
              <w:t>)</w:t>
            </w:r>
          </w:p>
        </w:tc>
      </w:tr>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2,330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(2,180</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602</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lineRule="auto" w:line="300" w:before="0" w:after="0"/>
              <w:jc w:val="left"/>
              <w:rPr/>
            </w:pPr>
            <w:r>
              <w:rPr/>
              <w:t>Change in net unrealized gains on 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lineRule="auto" w:line="300" w:before="0" w:after="0"/>
              <w:jc w:val="left"/>
              <w:rPr/>
            </w:pPr>
            <w:r>
              <w:rPr/>
              <w:t>Foreign currency translation adjustments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pPr>
            <w:r>
              <w:rPr/>
              <w:t>(69</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pPr>
            <w:r>
              <w:rPr/>
              <w:t>(202</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pPr>
            <w:r>
              <w:rPr/>
              <w:t>(546</w:t>
            </w:r>
          </w:p>
        </w:tc>
        <w:tc>
          <w:tcPr>
            <w:tcW w:w="110" w:type="dxa"/>
            <w:tcBorders/>
            <w:vAlign w:val="center"/>
          </w:tcPr>
          <w:p>
            <w:pPr>
              <w:pStyle w:val="TableContents"/>
              <w:bidi w:val="0"/>
              <w:spacing w:lineRule="auto" w:line="300" w:before="0" w:after="0"/>
              <w:jc w:val="left"/>
              <w:rPr/>
            </w:pPr>
            <w:r>
              <w:rPr/>
              <w:t>)</w:t>
            </w:r>
          </w:p>
        </w:tc>
      </w:tr>
      <w:tr>
        <w:trPr/>
        <w:tc>
          <w:tcPr>
            <w:tcW w:w="6920" w:type="dxa"/>
            <w:tcBorders/>
            <w:shd w:fill="CCEEFF" w:val="clear"/>
            <w:vAlign w:val="center"/>
          </w:tcPr>
          <w:p>
            <w:pPr>
              <w:pStyle w:val="TableContents"/>
              <w:bidi w:val="0"/>
              <w:spacing w:lineRule="auto" w:line="300" w:before="0" w:after="0"/>
              <w:jc w:val="left"/>
              <w:rPr/>
            </w:pPr>
            <w:r>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2,261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(2,371</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56</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lineRule="auto" w:line="300" w:before="0" w:after="0"/>
              <w:jc w:val="left"/>
              <w:rPr/>
            </w:pPr>
            <w:r>
              <w:rPr/>
              <w:t>Comprehensive loss</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before="0" w:after="283"/>
              <w:jc w:val="left"/>
              <w:rPr/>
            </w:pPr>
            <w:r>
              <w:rPr/>
              <w:t> </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pPr>
            <w:r>
              <w:rPr/>
              <w:t>(54,492</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before="0" w:after="283"/>
              <w:jc w:val="left"/>
              <w:rPr/>
            </w:pPr>
            <w:r>
              <w:rPr/>
              <w:t> </w:t>
            </w:r>
          </w:p>
        </w:tc>
        <w:tc>
          <w:tcPr>
            <w:tcW w:w="875" w:type="dxa"/>
            <w:tcBorders>
              <w:bottom w:val="double" w:sz="8" w:space="0" w:color="000000"/>
            </w:tcBorders>
            <w:tcMar>
              <w:bottom w:w="28" w:type="dxa"/>
            </w:tcMar>
            <w:vAlign w:val="center"/>
          </w:tcPr>
          <w:p>
            <w:pPr>
              <w:pStyle w:val="TableContents"/>
              <w:bidi w:val="0"/>
              <w:spacing w:lineRule="auto" w:line="300" w:before="0" w:after="0"/>
              <w:jc w:val="right"/>
              <w:rPr/>
            </w:pPr>
            <w:r>
              <w:rPr/>
              <w:t>(110,721</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before="0" w:after="283"/>
              <w:jc w:val="left"/>
              <w:rPr/>
            </w:pPr>
            <w:r>
              <w:rPr/>
              <w:t> </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pPr>
            <w:r>
              <w:rPr/>
              <w:t>(80,237</w:t>
            </w:r>
          </w:p>
        </w:tc>
        <w:tc>
          <w:tcPr>
            <w:tcW w:w="110" w:type="dxa"/>
            <w:tcBorders/>
            <w:vAlign w:val="center"/>
          </w:tcPr>
          <w:p>
            <w:pPr>
              <w:pStyle w:val="TableContents"/>
              <w:bidi w:val="0"/>
              <w:spacing w:lineRule="auto" w:line="300" w:before="0" w:after="0"/>
              <w:jc w:val="left"/>
              <w:rPr/>
            </w:pPr>
            <w:r>
              <w:rPr/>
              <w:t>)</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lineRule="auto" w:line="300" w:before="0" w:after="0"/>
              <w:jc w:val="left"/>
              <w:rPr/>
            </w:pPr>
            <w:r>
              <w:rPr/>
              <w:t>Less comprehensive loss attributable to redeemable non-controlling interest: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lineRule="auto" w:line="300" w:before="0" w:after="0"/>
              <w:jc w:val="left"/>
              <w:rPr/>
            </w:pPr>
            <w:r>
              <w:rPr/>
              <w:t>Net loss attributable to redeemable non-controlling interest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(266</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(743</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(1,169</w:t>
            </w:r>
          </w:p>
        </w:tc>
        <w:tc>
          <w:tcPr>
            <w:tcW w:w="110" w:type="dxa"/>
            <w:tcBorders/>
            <w:vAlign w:val="center"/>
          </w:tcPr>
          <w:p>
            <w:pPr>
              <w:pStyle w:val="TableContents"/>
              <w:bidi w:val="0"/>
              <w:spacing w:lineRule="auto" w:line="300" w:before="0" w:after="0"/>
              <w:jc w:val="left"/>
              <w:rPr/>
            </w:pPr>
            <w:r>
              <w:rPr/>
              <w:t>)</w:t>
            </w:r>
          </w:p>
        </w:tc>
      </w:tr>
      <w:tr>
        <w:trPr/>
        <w:tc>
          <w:tcPr>
            <w:tcW w:w="6920" w:type="dxa"/>
            <w:tcBorders/>
            <w:shd w:fill="CCEEFF" w:val="clear"/>
            <w:vAlign w:val="center"/>
          </w:tcPr>
          <w:p>
            <w:pPr>
              <w:pStyle w:val="TableContents"/>
              <w:bidi w:val="0"/>
              <w:spacing w:lineRule="auto" w:line="300" w:before="0" w:after="0"/>
              <w:jc w:val="left"/>
              <w:rPr/>
            </w:pPr>
            <w:r>
              <w:rPr/>
              <w:t>Foreign currency translation adjustments attributable to redeemable 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(34</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(99</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(266</w:t>
            </w:r>
          </w:p>
        </w:tc>
        <w:tc>
          <w:tcPr>
            <w:tcW w:w="110" w:type="dxa"/>
            <w:tcBorders/>
            <w:shd w:fill="CCEEFF" w:val="clear"/>
            <w:vAlign w:val="center"/>
          </w:tcPr>
          <w:p>
            <w:pPr>
              <w:pStyle w:val="TableContents"/>
              <w:bidi w:val="0"/>
              <w:spacing w:lineRule="auto" w:line="300" w:before="0" w:after="0"/>
              <w:jc w:val="left"/>
              <w:rPr/>
            </w:pPr>
            <w:r>
              <w:rPr/>
              <w:t>)</w:t>
            </w:r>
          </w:p>
        </w:tc>
      </w:tr>
      <w:tr>
        <w:trPr/>
        <w:tc>
          <w:tcPr>
            <w:tcW w:w="6920" w:type="dxa"/>
            <w:tcBorders/>
            <w:vAlign w:val="center"/>
          </w:tcPr>
          <w:p>
            <w:pPr>
              <w:pStyle w:val="TableContents"/>
              <w:bidi w:val="0"/>
              <w:spacing w:lineRule="auto" w:line="300" w:before="0" w:after="0"/>
              <w:jc w:val="left"/>
              <w:rPr/>
            </w:pPr>
            <w:r>
              <w:rPr/>
              <w:t>Comprehensive loss attributable to redeemable non-controlling interest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pPr>
            <w:r>
              <w:rPr/>
              <w:t>(300</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pPr>
            <w:r>
              <w:rPr/>
              <w:t>(842</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pPr>
            <w:r>
              <w:rPr/>
              <w:t>(1,435</w:t>
            </w:r>
          </w:p>
        </w:tc>
        <w:tc>
          <w:tcPr>
            <w:tcW w:w="110" w:type="dxa"/>
            <w:tcBorders/>
            <w:vAlign w:val="center"/>
          </w:tcPr>
          <w:p>
            <w:pPr>
              <w:pStyle w:val="TableContents"/>
              <w:bidi w:val="0"/>
              <w:spacing w:lineRule="auto" w:line="300" w:before="0" w:after="0"/>
              <w:jc w:val="left"/>
              <w:rPr/>
            </w:pPr>
            <w:r>
              <w:rPr/>
              <w:t>)</w:t>
            </w:r>
          </w:p>
        </w:tc>
      </w:tr>
      <w:tr>
        <w:trPr/>
        <w:tc>
          <w:tcPr>
            <w:tcW w:w="6920" w:type="dxa"/>
            <w:tcBorders/>
            <w:shd w:fill="CCEEFF" w:val="clear"/>
            <w:vAlign w:val="center"/>
          </w:tcPr>
          <w:p>
            <w:pPr>
              <w:pStyle w:val="TableContents"/>
              <w:bidi w:val="0"/>
              <w:spacing w:lineRule="auto" w:line="300" w:before="0" w:after="0"/>
              <w:jc w:val="left"/>
              <w:rPr/>
            </w:pPr>
            <w:r>
              <w:rPr/>
              <w:t>Comprehensive loss attributable to WalkMe Ltd.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w:t>
            </w:r>
          </w:p>
        </w:tc>
        <w:tc>
          <w:tcPr>
            <w:tcW w:w="75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(54,192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(109,879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w:t>
            </w:r>
          </w:p>
        </w:tc>
        <w:tc>
          <w:tcPr>
            <w:tcW w:w="75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(78,802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lineRule="auto" w:line="300" w:before="0" w:after="0"/>
        <w:jc w:val="center"/>
        <w:rPr/>
      </w:pPr>
      <w:r>
        <w:rPr/>
        <w:t> </w:t>
      </w:r>
    </w:p>
    <w:p>
      <w:pPr>
        <w:pStyle w:val="TextBody"/>
        <w:bidi w:val="0"/>
        <w:spacing w:before="20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p>
      <w:pPr>
        <w:pStyle w:val="HorizontalLine"/>
        <w:bidi w:val="0"/>
        <w:spacing w:before="200" w:after="0"/>
        <w:jc w:val="left"/>
        <w:rPr/>
      </w:pPr>
      <w:r>
        <w:rPr/>
      </w:r>
    </w:p>
    <w:p>
      <w:pPr>
        <w:pStyle w:val="TextBody"/>
        <w:bidi w:val="0"/>
        <w:spacing w:lineRule="auto" w:line="300" w:before="0" w:after="0"/>
        <w:ind w:left="6" w:right="0" w:hanging="0"/>
        <w:jc w:val="right"/>
        <w:rPr>
          <w:b/>
          <w:sz w:val="20"/>
        </w:rPr>
      </w:pPr>
      <w:r>
        <w:rPr>
          <w:b/>
          <w:sz w:val="20"/>
        </w:rPr>
        <w:t>WALKME LTD. AND ITS SUBSIDIARIES</w:t>
      </w:r>
    </w:p>
    <w:p>
      <w:pPr>
        <w:pStyle w:val="TextBody"/>
        <w:bidi w:val="0"/>
        <w:spacing w:lineRule="auto" w:line="300" w:before="0" w:after="0"/>
        <w:jc w:val="left"/>
        <w:rPr/>
      </w:pPr>
      <w:r>
        <w:rPr/>
        <w:t> </w:t>
      </w:r>
    </w:p>
    <w:p>
      <w:pPr>
        <w:pStyle w:val="TextBody"/>
        <w:bidi w:val="0"/>
        <w:spacing w:lineRule="auto" w:line="300" w:before="0" w:after="0"/>
        <w:jc w:val="left"/>
        <w:rPr>
          <w:b/>
          <w:sz w:val="20"/>
        </w:rPr>
      </w:pPr>
      <w:bookmarkStart w:id="354" w:name="CONSOLIDATEDSTATEMENTSOFCONVERTIBLEPREFE"/>
      <w:bookmarkEnd w:id="354"/>
      <w:r>
        <w:rPr>
          <w:b/>
          <w:sz w:val="20"/>
        </w:rPr>
        <w:t>CONSOLIDATED STATEMENTS OF CONVERTIBLE PREFERRED SHARES AND SHAREHOLDERS’ EQUITY (DEFICIT)</w:t>
      </w:r>
    </w:p>
    <w:p>
      <w:pPr>
        <w:pStyle w:val="TextBody"/>
        <w:bidi w:val="0"/>
        <w:spacing w:lineRule="auto" w:line="300" w:before="0" w:after="0"/>
        <w:jc w:val="left"/>
        <w:rPr>
          <w:b/>
          <w:sz w:val="20"/>
        </w:rPr>
      </w:pPr>
      <w:r>
        <w:rPr>
          <w:b/>
          <w:sz w:val="20"/>
        </w:rPr>
        <w:t>U.S. dollars in thousands (except share and per share data)</w:t>
      </w:r>
    </w:p>
    <w:p>
      <w:pPr>
        <w:pStyle w:val="HorizontalLine"/>
        <w:bidi w:val="0"/>
        <w:spacing w:lineRule="auto" w:line="300"/>
        <w:jc w:val="left"/>
        <w:rPr/>
      </w:pPr>
      <w:r>
        <w:rPr/>
      </w:r>
    </w:p>
    <w:p>
      <w:pPr>
        <w:pStyle w:val="TextBody"/>
        <w:bidi w:val="0"/>
        <w:spacing w:lineRule="auto" w:line="300" w:before="0" w:after="0"/>
        <w:jc w:val="left"/>
        <w:rPr/>
      </w:pPr>
      <w:r>
        <w:rPr/>
        <w:t> </w:t>
      </w:r>
    </w:p>
    <w:tbl>
      <w:tblPr>
        <w:tblW w:w="12519" w:type="dxa"/>
        <w:jc w:val="left"/>
        <w:tblInd w:w="0" w:type="dxa"/>
        <w:tblLayout w:type="fixed"/>
        <w:tblCellMar>
          <w:top w:w="0" w:type="dxa"/>
          <w:left w:w="0" w:type="dxa"/>
          <w:bottom w:w="0" w:type="dxa"/>
          <w:right w:w="0" w:type="dxa"/>
        </w:tblCellMar>
      </w:tblPr>
      <w:tblGrid>
        <w:gridCol w:w="1349"/>
        <w:gridCol w:w="60"/>
        <w:gridCol w:w="60"/>
        <w:gridCol w:w="1175"/>
        <w:gridCol w:w="95"/>
        <w:gridCol w:w="60"/>
        <w:gridCol w:w="140"/>
        <w:gridCol w:w="980"/>
        <w:gridCol w:w="95"/>
        <w:gridCol w:w="60"/>
        <w:gridCol w:w="60"/>
        <w:gridCol w:w="1100"/>
        <w:gridCol w:w="60"/>
        <w:gridCol w:w="60"/>
        <w:gridCol w:w="536"/>
        <w:gridCol w:w="364"/>
        <w:gridCol w:w="60"/>
        <w:gridCol w:w="60"/>
        <w:gridCol w:w="169"/>
        <w:gridCol w:w="971"/>
        <w:gridCol w:w="95"/>
        <w:gridCol w:w="60"/>
        <w:gridCol w:w="284"/>
        <w:gridCol w:w="1291"/>
        <w:gridCol w:w="95"/>
        <w:gridCol w:w="60"/>
        <w:gridCol w:w="188"/>
        <w:gridCol w:w="1182"/>
        <w:gridCol w:w="95"/>
        <w:gridCol w:w="60"/>
        <w:gridCol w:w="204"/>
        <w:gridCol w:w="1281"/>
        <w:gridCol w:w="110"/>
      </w:tblGrid>
      <w:tr>
        <w:trPr/>
        <w:tc>
          <w:tcPr>
            <w:tcW w:w="1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vAlign w:val="center"/>
          </w:tcPr>
          <w:p>
            <w:pPr>
              <w:pStyle w:val="TableContents"/>
              <w:bidi w:val="0"/>
              <w:spacing w:before="0" w:after="283"/>
              <w:jc w:val="left"/>
              <w:rPr/>
            </w:pPr>
            <w:r>
              <w:rPr/>
              <w:t> </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gridSpan w:val="6"/>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40"/>
              <w:jc w:val="center"/>
              <w:rPr>
                <w:b/>
              </w:rPr>
            </w:pPr>
            <w:r>
              <w:rPr>
                <w:b/>
              </w:rPr>
              <w:t>Convertible preferred shares</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40"/>
              <w:jc w:val="center"/>
              <w:rPr>
                <w:b/>
              </w:rPr>
            </w:pPr>
            <w:r>
              <w:rPr>
                <w:b/>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0" w:type="dxa"/>
            <w:gridSpan w:val="2"/>
            <w:tcBorders/>
            <w:vAlign w:val="center"/>
          </w:tcPr>
          <w:p>
            <w:pPr>
              <w:pStyle w:val="TableContents"/>
              <w:bidi w:val="0"/>
              <w:spacing w:lineRule="auto" w:line="300" w:before="0" w:after="0"/>
              <w:ind w:left="0" w:right="0" w:firstLine="40"/>
              <w:jc w:val="center"/>
              <w:rPr>
                <w:b/>
              </w:rPr>
            </w:pPr>
            <w:r>
              <w:rPr>
                <w:b/>
              </w:rPr>
              <w:t>Additional</w:t>
            </w:r>
          </w:p>
          <w:p>
            <w:pPr>
              <w:pStyle w:val="TableContents"/>
              <w:bidi w:val="0"/>
              <w:spacing w:lineRule="auto" w:line="300" w:before="0" w:after="0"/>
              <w:ind w:left="0" w:right="0" w:firstLine="40"/>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5" w:type="dxa"/>
            <w:gridSpan w:val="2"/>
            <w:tcBorders/>
            <w:vAlign w:val="center"/>
          </w:tcPr>
          <w:p>
            <w:pPr>
              <w:pStyle w:val="TableContents"/>
              <w:bidi w:val="0"/>
              <w:spacing w:lineRule="auto" w:line="300" w:before="0" w:after="0"/>
              <w:ind w:left="0" w:right="0" w:firstLine="40"/>
              <w:jc w:val="center"/>
              <w:rPr>
                <w:b/>
              </w:rPr>
            </w:pPr>
            <w:r>
              <w:rPr>
                <w:b/>
              </w:rPr>
              <w:t>Accumulated other</w:t>
            </w:r>
          </w:p>
          <w:p>
            <w:pPr>
              <w:pStyle w:val="TableContents"/>
              <w:bidi w:val="0"/>
              <w:spacing w:lineRule="auto" w:line="300" w:before="0" w:after="0"/>
              <w:ind w:left="0" w:right="0" w:firstLine="40"/>
              <w:jc w:val="center"/>
              <w:rPr>
                <w:b/>
              </w:rPr>
            </w:pPr>
            <w:r>
              <w:rPr>
                <w:b/>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lineRule="auto" w:line="300" w:before="0" w:after="0"/>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5" w:type="dxa"/>
            <w:gridSpan w:val="2"/>
            <w:tcBorders/>
            <w:vAlign w:val="center"/>
          </w:tcPr>
          <w:p>
            <w:pPr>
              <w:pStyle w:val="TableContents"/>
              <w:bidi w:val="0"/>
              <w:spacing w:lineRule="auto" w:line="300" w:before="0" w:after="0"/>
              <w:ind w:left="0" w:right="0" w:firstLine="100"/>
              <w:jc w:val="center"/>
              <w:rPr/>
            </w:pPr>
            <w:r>
              <w:rPr>
                <w:b/>
              </w:rPr>
              <w:t>Total shareholder'</w:t>
            </w:r>
            <w:r>
              <w:rPr/>
              <w:t>s</w:t>
            </w:r>
          </w:p>
        </w:tc>
        <w:tc>
          <w:tcPr>
            <w:tcW w:w="110" w:type="dxa"/>
            <w:tcBorders/>
            <w:vAlign w:val="center"/>
          </w:tcPr>
          <w:p>
            <w:pPr>
              <w:pStyle w:val="TableContents"/>
              <w:bidi w:val="0"/>
              <w:spacing w:before="0" w:after="283"/>
              <w:jc w:val="left"/>
              <w:rPr/>
            </w:pPr>
            <w:r>
              <w:rPr/>
              <w:t> </w:t>
            </w:r>
          </w:p>
        </w:tc>
      </w:tr>
      <w:tr>
        <w:trPr/>
        <w:tc>
          <w:tcPr>
            <w:tcW w:w="1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40"/>
              <w:jc w:val="center"/>
              <w:rPr>
                <w:b/>
              </w:rPr>
            </w:pPr>
            <w:r>
              <w:rPr>
                <w:b/>
              </w:rPr>
              <w:t>Number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40"/>
              <w:jc w:val="center"/>
              <w:rPr>
                <w:b/>
              </w:rPr>
            </w:pPr>
            <w:r>
              <w:rPr>
                <w:b/>
              </w:rPr>
              <w:t>Amount</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40"/>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40"/>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40"/>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5"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40"/>
              <w:jc w:val="center"/>
              <w:rPr>
                <w:b/>
              </w:rPr>
            </w:pPr>
            <w:r>
              <w:rPr>
                <w:b/>
              </w:rPr>
              <w:t>Income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40"/>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5"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40"/>
              <w:jc w:val="center"/>
              <w:rPr>
                <w:b/>
              </w:rPr>
            </w:pPr>
            <w:r>
              <w:rPr>
                <w:b/>
              </w:rPr>
              <w:t>equity (deficit)</w:t>
            </w:r>
          </w:p>
        </w:tc>
        <w:tc>
          <w:tcPr>
            <w:tcW w:w="110" w:type="dxa"/>
            <w:tcBorders/>
            <w:vAlign w:val="center"/>
          </w:tcPr>
          <w:p>
            <w:pPr>
              <w:pStyle w:val="TableContents"/>
              <w:bidi w:val="0"/>
              <w:spacing w:before="0" w:after="283"/>
              <w:jc w:val="left"/>
              <w:rPr/>
            </w:pPr>
            <w:r>
              <w:rPr/>
              <w:t> </w:t>
            </w:r>
          </w:p>
        </w:tc>
      </w:tr>
      <w:tr>
        <w:trPr/>
        <w:tc>
          <w:tcPr>
            <w:tcW w:w="1349" w:type="dxa"/>
            <w:tcBorders/>
            <w:shd w:fill="CCEEFF" w:val="clear"/>
            <w:vAlign w:val="center"/>
          </w:tcPr>
          <w:p>
            <w:pPr>
              <w:pStyle w:val="TableContents"/>
              <w:bidi w:val="0"/>
              <w:spacing w:lineRule="auto" w:line="300" w:before="0" w:after="0"/>
              <w:ind w:left="567" w:right="0" w:hanging="141"/>
              <w:jc w:val="left"/>
              <w:rPr/>
            </w:pPr>
            <w:r>
              <w:rPr/>
              <w:t>Balance as of December 31, 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lineRule="auto" w:line="300" w:before="0" w:after="0"/>
              <w:jc w:val="right"/>
              <w:rPr/>
            </w:pPr>
            <w:r>
              <w:rPr/>
              <w:t>58,724,580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980" w:type="dxa"/>
            <w:tcBorders/>
            <w:shd w:fill="CCEEFF" w:val="clear"/>
            <w:vAlign w:val="center"/>
          </w:tcPr>
          <w:p>
            <w:pPr>
              <w:pStyle w:val="TableContents"/>
              <w:bidi w:val="0"/>
              <w:spacing w:lineRule="auto" w:line="300" w:before="0" w:after="0"/>
              <w:jc w:val="right"/>
              <w:rPr/>
            </w:pPr>
            <w:r>
              <w:rPr/>
              <w:t>$ 300,490</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13,773,000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lineRule="auto" w:line="300" w:before="0" w:after="0"/>
              <w:jc w:val="left"/>
              <w:rPr/>
            </w:pPr>
            <w:r>
              <w:rPr/>
              <w:t>$</w:t>
            </w:r>
          </w:p>
        </w:tc>
        <w:tc>
          <w:tcPr>
            <w:tcW w:w="364"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lineRule="auto" w:line="300" w:before="0" w:after="0"/>
              <w:jc w:val="left"/>
              <w:rPr/>
            </w:pPr>
            <w:r>
              <w:rPr/>
              <w:t>$</w:t>
            </w:r>
          </w:p>
        </w:tc>
        <w:tc>
          <w:tcPr>
            <w:tcW w:w="971" w:type="dxa"/>
            <w:tcBorders/>
            <w:shd w:fill="CCEEFF" w:val="clear"/>
            <w:vAlign w:val="center"/>
          </w:tcPr>
          <w:p>
            <w:pPr>
              <w:pStyle w:val="TableContents"/>
              <w:bidi w:val="0"/>
              <w:spacing w:lineRule="auto" w:line="300" w:before="0" w:after="0"/>
              <w:jc w:val="right"/>
              <w:rPr/>
            </w:pPr>
            <w:r>
              <w:rPr/>
              <w:t>21,524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lineRule="auto" w:line="300" w:before="0" w:after="0"/>
              <w:jc w:val="left"/>
              <w:rPr/>
            </w:pPr>
            <w:r>
              <w:rPr/>
              <w:t>$</w:t>
            </w:r>
          </w:p>
        </w:tc>
        <w:tc>
          <w:tcPr>
            <w:tcW w:w="1291" w:type="dxa"/>
            <w:tcBorders/>
            <w:shd w:fill="CCEEFF" w:val="clear"/>
            <w:vAlign w:val="center"/>
          </w:tcPr>
          <w:p>
            <w:pPr>
              <w:pStyle w:val="TableContents"/>
              <w:bidi w:val="0"/>
              <w:spacing w:lineRule="auto" w:line="300" w:before="0" w:after="0"/>
              <w:jc w:val="right"/>
              <w:rPr/>
            </w:pPr>
            <w:r>
              <w:rPr/>
              <w:t>131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lineRule="auto" w:line="300" w:before="0" w:after="0"/>
              <w:jc w:val="left"/>
              <w:rPr/>
            </w:pPr>
            <w:r>
              <w:rPr/>
              <w:t>$</w:t>
            </w:r>
          </w:p>
        </w:tc>
        <w:tc>
          <w:tcPr>
            <w:tcW w:w="1182" w:type="dxa"/>
            <w:tcBorders/>
            <w:shd w:fill="CCEEFF" w:val="clear"/>
            <w:vAlign w:val="center"/>
          </w:tcPr>
          <w:p>
            <w:pPr>
              <w:pStyle w:val="TableContents"/>
              <w:bidi w:val="0"/>
              <w:spacing w:lineRule="auto" w:line="300" w:before="0" w:after="0"/>
              <w:jc w:val="right"/>
              <w:rPr/>
            </w:pPr>
            <w:r>
              <w:rPr/>
              <w:t>(245,914</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lineRule="auto" w:line="300" w:before="0" w:after="0"/>
              <w:jc w:val="left"/>
              <w:rPr/>
            </w:pPr>
            <w:r>
              <w:rPr/>
              <w:t>$</w:t>
            </w:r>
          </w:p>
        </w:tc>
        <w:tc>
          <w:tcPr>
            <w:tcW w:w="1281" w:type="dxa"/>
            <w:tcBorders/>
            <w:shd w:fill="CCEEFF" w:val="clear"/>
            <w:vAlign w:val="center"/>
          </w:tcPr>
          <w:p>
            <w:pPr>
              <w:pStyle w:val="TableContents"/>
              <w:bidi w:val="0"/>
              <w:spacing w:lineRule="auto" w:line="300" w:before="0" w:after="0"/>
              <w:jc w:val="right"/>
              <w:rPr/>
            </w:pPr>
            <w:r>
              <w:rPr/>
              <w:t>(224,259</w:t>
            </w:r>
          </w:p>
        </w:tc>
        <w:tc>
          <w:tcPr>
            <w:tcW w:w="110" w:type="dxa"/>
            <w:tcBorders/>
            <w:shd w:fill="CCEEFF" w:val="clear"/>
            <w:vAlign w:val="center"/>
          </w:tcPr>
          <w:p>
            <w:pPr>
              <w:pStyle w:val="TableContents"/>
              <w:bidi w:val="0"/>
              <w:spacing w:lineRule="auto" w:line="300" w:before="0" w:after="0"/>
              <w:jc w:val="left"/>
              <w:rPr/>
            </w:pPr>
            <w:r>
              <w:rPr/>
              <w:t>)</w:t>
            </w:r>
          </w:p>
        </w:tc>
      </w:tr>
      <w:tr>
        <w:trPr/>
        <w:tc>
          <w:tcPr>
            <w:tcW w:w="1349" w:type="dxa"/>
            <w:tcBorders/>
            <w:vAlign w:val="center"/>
          </w:tcPr>
          <w:p>
            <w:pPr>
              <w:pStyle w:val="TableContents"/>
              <w:bidi w:val="0"/>
              <w:spacing w:lineRule="auto" w:line="300" w:before="0" w:after="0"/>
              <w:ind w:left="567" w:right="0" w:hanging="141"/>
              <w:jc w:val="left"/>
              <w:rPr/>
            </w:pPr>
            <w:r>
              <w:rPr/>
              <w:t>Issuance of Series F convertible preferred shares, 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lineRule="auto" w:line="300" w:before="0" w:after="0"/>
              <w:jc w:val="right"/>
              <w:rPr/>
            </w:pPr>
            <w:r>
              <w:rPr/>
              <w:t>455,942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pPr>
            <w:r>
              <w:rPr/>
              <w:t>10,000</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lineRule="auto" w:line="300"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1349" w:type="dxa"/>
            <w:tcBorders/>
            <w:shd w:fill="CCEEFF" w:val="clear"/>
            <w:vAlign w:val="center"/>
          </w:tcPr>
          <w:p>
            <w:pPr>
              <w:pStyle w:val="TableContents"/>
              <w:bidi w:val="0"/>
              <w:spacing w:lineRule="auto" w:line="300" w:before="0" w:after="0"/>
              <w:ind w:left="567" w:right="0" w:hanging="141"/>
              <w:jc w:val="left"/>
              <w:rPr/>
            </w:pPr>
            <w:r>
              <w:rPr/>
              <w:t>Issuance of ordinary shares in connection with asset acquisition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33,150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lineRule="auto" w:line="300" w:before="0" w:after="0"/>
              <w:jc w:val="right"/>
              <w:rPr/>
            </w:pPr>
            <w:r>
              <w:rPr/>
              <w:t>776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lineRule="auto" w:line="300" w:before="0" w:after="0"/>
              <w:jc w:val="right"/>
              <w:rPr/>
            </w:pPr>
            <w:r>
              <w:rPr/>
              <w:t>776</w:t>
            </w:r>
          </w:p>
        </w:tc>
        <w:tc>
          <w:tcPr>
            <w:tcW w:w="110" w:type="dxa"/>
            <w:tcBorders/>
            <w:shd w:fill="CCEEFF" w:val="clear"/>
            <w:vAlign w:val="center"/>
          </w:tcPr>
          <w:p>
            <w:pPr>
              <w:pStyle w:val="TableContents"/>
              <w:bidi w:val="0"/>
              <w:spacing w:before="0" w:after="283"/>
              <w:jc w:val="left"/>
              <w:rPr/>
            </w:pPr>
            <w:r>
              <w:rPr/>
              <w:t> </w:t>
            </w:r>
          </w:p>
        </w:tc>
      </w:tr>
      <w:tr>
        <w:trPr/>
        <w:tc>
          <w:tcPr>
            <w:tcW w:w="1349" w:type="dxa"/>
            <w:tcBorders/>
            <w:vAlign w:val="center"/>
          </w:tcPr>
          <w:p>
            <w:pPr>
              <w:pStyle w:val="TableContents"/>
              <w:bidi w:val="0"/>
              <w:spacing w:lineRule="auto" w:line="300" w:before="0" w:after="0"/>
              <w:ind w:left="567" w:right="0" w:hanging="141"/>
              <w:jc w:val="left"/>
              <w:rPr/>
            </w:pPr>
            <w:r>
              <w:rPr/>
              <w:t>Conversion of convertible preferred shares to ordinary shares upon initial public 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lineRule="auto" w:line="300" w:before="0" w:after="0"/>
              <w:jc w:val="right"/>
              <w:rPr/>
            </w:pPr>
            <w:r>
              <w:rPr/>
              <w:t>(59,180,522</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pPr>
            <w:r>
              <w:rPr/>
              <w:t>(310,490</w:t>
            </w:r>
          </w:p>
        </w:tc>
        <w:tc>
          <w:tcPr>
            <w:tcW w:w="95" w:type="dxa"/>
            <w:tcBorders>
              <w:right w:val="single" w:sz="12" w:space="0" w:color="000000"/>
            </w:tcBorders>
            <w:tcMar>
              <w:right w:w="28" w:type="dxa"/>
            </w:tcMar>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59,180,522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lineRule="auto" w:line="300" w:before="0" w:after="0"/>
              <w:jc w:val="right"/>
              <w:rPr/>
            </w:pPr>
            <w:r>
              <w:rPr/>
              <w:t>310,490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lineRule="auto" w:line="300" w:before="0" w:after="0"/>
              <w:jc w:val="right"/>
              <w:rPr/>
            </w:pPr>
            <w:r>
              <w:rPr/>
              <w:t>310,490</w:t>
            </w:r>
          </w:p>
        </w:tc>
        <w:tc>
          <w:tcPr>
            <w:tcW w:w="110" w:type="dxa"/>
            <w:tcBorders/>
            <w:vAlign w:val="center"/>
          </w:tcPr>
          <w:p>
            <w:pPr>
              <w:pStyle w:val="TableContents"/>
              <w:bidi w:val="0"/>
              <w:spacing w:before="0" w:after="283"/>
              <w:jc w:val="left"/>
              <w:rPr/>
            </w:pPr>
            <w:r>
              <w:rPr/>
              <w:t> </w:t>
            </w:r>
          </w:p>
        </w:tc>
      </w:tr>
      <w:tr>
        <w:trPr/>
        <w:tc>
          <w:tcPr>
            <w:tcW w:w="1349" w:type="dxa"/>
            <w:tcBorders/>
            <w:shd w:fill="CCEEFF" w:val="clear"/>
            <w:vAlign w:val="center"/>
          </w:tcPr>
          <w:p>
            <w:pPr>
              <w:pStyle w:val="TableContents"/>
              <w:bidi w:val="0"/>
              <w:spacing w:lineRule="auto" w:line="300" w:before="0" w:after="0"/>
              <w:ind w:left="567" w:right="0" w:hanging="141"/>
              <w:jc w:val="left"/>
              <w:rPr/>
            </w:pPr>
            <w:r>
              <w:rPr/>
              <w:t>Issuance of ordinary shares upon initial public offering, net of underwriting discounts and commissions and other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9,250,000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lineRule="auto" w:line="300" w:before="0" w:after="0"/>
              <w:jc w:val="right"/>
              <w:rPr/>
            </w:pPr>
            <w:r>
              <w:rPr/>
              <w:t>263,911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lineRule="auto" w:line="300" w:before="0" w:after="0"/>
              <w:jc w:val="right"/>
              <w:rPr/>
            </w:pPr>
            <w:r>
              <w:rPr/>
              <w:t>263,911</w:t>
            </w:r>
          </w:p>
        </w:tc>
        <w:tc>
          <w:tcPr>
            <w:tcW w:w="110" w:type="dxa"/>
            <w:tcBorders/>
            <w:shd w:fill="CCEEFF" w:val="clear"/>
            <w:vAlign w:val="center"/>
          </w:tcPr>
          <w:p>
            <w:pPr>
              <w:pStyle w:val="TableContents"/>
              <w:bidi w:val="0"/>
              <w:spacing w:before="0" w:after="283"/>
              <w:jc w:val="left"/>
              <w:rPr/>
            </w:pPr>
            <w:r>
              <w:rPr/>
              <w:t> </w:t>
            </w:r>
          </w:p>
        </w:tc>
      </w:tr>
      <w:tr>
        <w:trPr/>
        <w:tc>
          <w:tcPr>
            <w:tcW w:w="1349" w:type="dxa"/>
            <w:tcBorders/>
            <w:vAlign w:val="center"/>
          </w:tcPr>
          <w:p>
            <w:pPr>
              <w:pStyle w:val="TableContents"/>
              <w:bidi w:val="0"/>
              <w:spacing w:lineRule="auto" w:line="300" w:before="0" w:after="0"/>
              <w:ind w:left="567" w:right="0" w:hanging="141"/>
              <w:jc w:val="left"/>
              <w:rPr/>
            </w:pPr>
            <w:r>
              <w:rPr/>
              <w:t>Exercise of share options and vested RSUs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pPr>
            <w:r>
              <w:rPr/>
              <w:t>-</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1,517,334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lineRule="auto" w:line="300" w:before="0" w:after="0"/>
              <w:jc w:val="right"/>
              <w:rPr/>
            </w:pPr>
            <w:r>
              <w:rPr/>
              <w:t>2,849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lineRule="auto" w:line="300" w:before="0" w:after="0"/>
              <w:jc w:val="right"/>
              <w:rPr/>
            </w:pPr>
            <w:r>
              <w:rPr/>
              <w:t>2,849</w:t>
            </w:r>
          </w:p>
        </w:tc>
        <w:tc>
          <w:tcPr>
            <w:tcW w:w="110" w:type="dxa"/>
            <w:tcBorders/>
            <w:vAlign w:val="center"/>
          </w:tcPr>
          <w:p>
            <w:pPr>
              <w:pStyle w:val="TableContents"/>
              <w:bidi w:val="0"/>
              <w:spacing w:before="0" w:after="283"/>
              <w:jc w:val="left"/>
              <w:rPr/>
            </w:pPr>
            <w:r>
              <w:rPr/>
              <w:t> </w:t>
            </w:r>
          </w:p>
        </w:tc>
      </w:tr>
      <w:tr>
        <w:trPr/>
        <w:tc>
          <w:tcPr>
            <w:tcW w:w="1349" w:type="dxa"/>
            <w:tcBorders/>
            <w:shd w:fill="CCEEFF" w:val="clear"/>
            <w:vAlign w:val="center"/>
          </w:tcPr>
          <w:p>
            <w:pPr>
              <w:pStyle w:val="TableContents"/>
              <w:bidi w:val="0"/>
              <w:spacing w:lineRule="auto" w:line="300" w:before="0" w:after="0"/>
              <w:ind w:left="567" w:right="0" w:hanging="141"/>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lineRule="auto" w:line="300" w:before="0" w:after="0"/>
              <w:jc w:val="right"/>
              <w:rPr/>
            </w:pPr>
            <w:r>
              <w:rPr/>
              <w:t>27,332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lineRule="auto" w:line="300" w:before="0" w:after="0"/>
              <w:jc w:val="right"/>
              <w:rPr/>
            </w:pPr>
            <w:r>
              <w:rPr/>
              <w:t>27,332</w:t>
            </w:r>
          </w:p>
        </w:tc>
        <w:tc>
          <w:tcPr>
            <w:tcW w:w="110" w:type="dxa"/>
            <w:tcBorders/>
            <w:shd w:fill="CCEEFF" w:val="clear"/>
            <w:vAlign w:val="center"/>
          </w:tcPr>
          <w:p>
            <w:pPr>
              <w:pStyle w:val="TableContents"/>
              <w:bidi w:val="0"/>
              <w:spacing w:before="0" w:after="283"/>
              <w:jc w:val="left"/>
              <w:rPr/>
            </w:pPr>
            <w:r>
              <w:rPr/>
              <w:t> </w:t>
            </w:r>
          </w:p>
        </w:tc>
      </w:tr>
      <w:tr>
        <w:trPr/>
        <w:tc>
          <w:tcPr>
            <w:tcW w:w="1349" w:type="dxa"/>
            <w:tcBorders/>
            <w:vAlign w:val="center"/>
          </w:tcPr>
          <w:p>
            <w:pPr>
              <w:pStyle w:val="TableContents"/>
              <w:bidi w:val="0"/>
              <w:spacing w:lineRule="auto" w:line="300" w:before="0" w:after="0"/>
              <w:ind w:left="567" w:right="0" w:hanging="141"/>
              <w:jc w:val="left"/>
              <w:rPr/>
            </w:pPr>
            <w:r>
              <w:rPr/>
              <w:t>Other comprehensive 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pPr>
            <w:r>
              <w:rPr/>
              <w:t>-</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lineRule="auto" w:line="300" w:before="0" w:after="0"/>
              <w:jc w:val="right"/>
              <w:rPr/>
            </w:pPr>
            <w:r>
              <w:rPr/>
              <w:t>324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lineRule="auto" w:line="300" w:before="0" w:after="0"/>
              <w:jc w:val="right"/>
              <w:rPr/>
            </w:pPr>
            <w:r>
              <w:rPr/>
              <w:t>324</w:t>
            </w:r>
          </w:p>
        </w:tc>
        <w:tc>
          <w:tcPr>
            <w:tcW w:w="110" w:type="dxa"/>
            <w:tcBorders/>
            <w:vAlign w:val="center"/>
          </w:tcPr>
          <w:p>
            <w:pPr>
              <w:pStyle w:val="TableContents"/>
              <w:bidi w:val="0"/>
              <w:spacing w:before="0" w:after="283"/>
              <w:jc w:val="left"/>
              <w:rPr/>
            </w:pPr>
            <w:r>
              <w:rPr/>
              <w:t> </w:t>
            </w:r>
          </w:p>
        </w:tc>
      </w:tr>
      <w:tr>
        <w:trPr/>
        <w:tc>
          <w:tcPr>
            <w:tcW w:w="1349" w:type="dxa"/>
            <w:tcBorders/>
            <w:shd w:fill="CCEEFF" w:val="clear"/>
            <w:vAlign w:val="center"/>
          </w:tcPr>
          <w:p>
            <w:pPr>
              <w:pStyle w:val="TableContents"/>
              <w:bidi w:val="0"/>
              <w:spacing w:lineRule="auto" w:line="300" w:before="0" w:after="0"/>
              <w:ind w:left="567" w:right="0" w:hanging="141"/>
              <w:jc w:val="left"/>
              <w:rPr/>
            </w:pPr>
            <w:r>
              <w:rPr/>
              <w:t>Net loss attributable to WalkMe Ltd. including adjustment to redeemable non-controlling interest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6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(16,689</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(79,124</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(95,813</w:t>
            </w:r>
          </w:p>
        </w:tc>
        <w:tc>
          <w:tcPr>
            <w:tcW w:w="110" w:type="dxa"/>
            <w:tcBorders/>
            <w:shd w:fill="CCEEFF" w:val="clear"/>
            <w:vAlign w:val="center"/>
          </w:tcPr>
          <w:p>
            <w:pPr>
              <w:pStyle w:val="TableContents"/>
              <w:bidi w:val="0"/>
              <w:spacing w:lineRule="auto" w:line="300" w:before="0" w:after="0"/>
              <w:jc w:val="left"/>
              <w:rPr/>
            </w:pPr>
            <w:r>
              <w:rPr/>
              <w:t>)</w:t>
            </w:r>
          </w:p>
        </w:tc>
      </w:tr>
      <w:tr>
        <w:trPr/>
        <w:tc>
          <w:tcPr>
            <w:tcW w:w="1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1349" w:type="dxa"/>
            <w:tcBorders/>
            <w:shd w:fill="CCEEFF" w:val="clear"/>
            <w:vAlign w:val="center"/>
          </w:tcPr>
          <w:p>
            <w:pPr>
              <w:pStyle w:val="TableContents"/>
              <w:bidi w:val="0"/>
              <w:spacing w:lineRule="auto" w:line="300" w:before="0" w:after="0"/>
              <w:ind w:left="567" w:right="0" w:hanging="141"/>
              <w:jc w:val="left"/>
              <w:rPr/>
            </w:pPr>
            <w:r>
              <w:rPr/>
              <w:t>Balance as of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980" w:type="dxa"/>
            <w:tcBorders/>
            <w:shd w:fill="CCEEFF" w:val="clear"/>
            <w:vAlign w:val="center"/>
          </w:tcPr>
          <w:p>
            <w:pPr>
              <w:pStyle w:val="TableContents"/>
              <w:bidi w:val="0"/>
              <w:spacing w:lineRule="auto" w:line="300" w:before="0" w:after="0"/>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83,754,006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lineRule="auto" w:line="300" w:before="0" w:after="0"/>
              <w:jc w:val="left"/>
              <w:rPr/>
            </w:pPr>
            <w:r>
              <w:rPr/>
              <w:t>$</w:t>
            </w:r>
          </w:p>
        </w:tc>
        <w:tc>
          <w:tcPr>
            <w:tcW w:w="364"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lineRule="auto" w:line="300" w:before="0" w:after="0"/>
              <w:jc w:val="left"/>
              <w:rPr/>
            </w:pPr>
            <w:r>
              <w:rPr/>
              <w:t>$</w:t>
            </w:r>
          </w:p>
        </w:tc>
        <w:tc>
          <w:tcPr>
            <w:tcW w:w="971" w:type="dxa"/>
            <w:tcBorders/>
            <w:shd w:fill="CCEEFF" w:val="clear"/>
            <w:vAlign w:val="center"/>
          </w:tcPr>
          <w:p>
            <w:pPr>
              <w:pStyle w:val="TableContents"/>
              <w:bidi w:val="0"/>
              <w:spacing w:lineRule="auto" w:line="300" w:before="0" w:after="0"/>
              <w:jc w:val="right"/>
              <w:rPr/>
            </w:pPr>
            <w:r>
              <w:rPr/>
              <w:t>610,193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lineRule="auto" w:line="300" w:before="0" w:after="0"/>
              <w:jc w:val="left"/>
              <w:rPr/>
            </w:pPr>
            <w:r>
              <w:rPr/>
              <w:t>$</w:t>
            </w:r>
          </w:p>
        </w:tc>
        <w:tc>
          <w:tcPr>
            <w:tcW w:w="1291" w:type="dxa"/>
            <w:tcBorders/>
            <w:shd w:fill="CCEEFF" w:val="clear"/>
            <w:vAlign w:val="center"/>
          </w:tcPr>
          <w:p>
            <w:pPr>
              <w:pStyle w:val="TableContents"/>
              <w:bidi w:val="0"/>
              <w:spacing w:lineRule="auto" w:line="300" w:before="0" w:after="0"/>
              <w:jc w:val="right"/>
              <w:rPr/>
            </w:pPr>
            <w:r>
              <w:rPr/>
              <w:t>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lineRule="auto" w:line="300" w:before="0" w:after="0"/>
              <w:jc w:val="left"/>
              <w:rPr/>
            </w:pPr>
            <w:r>
              <w:rPr/>
              <w:t>$</w:t>
            </w:r>
          </w:p>
        </w:tc>
        <w:tc>
          <w:tcPr>
            <w:tcW w:w="1182" w:type="dxa"/>
            <w:tcBorders/>
            <w:shd w:fill="CCEEFF" w:val="clear"/>
            <w:vAlign w:val="center"/>
          </w:tcPr>
          <w:p>
            <w:pPr>
              <w:pStyle w:val="TableContents"/>
              <w:bidi w:val="0"/>
              <w:spacing w:lineRule="auto" w:line="300" w:before="0" w:after="0"/>
              <w:jc w:val="right"/>
              <w:rPr/>
            </w:pPr>
            <w:r>
              <w:rPr/>
              <w:t>(325,038</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lineRule="auto" w:line="300" w:before="0" w:after="0"/>
              <w:jc w:val="left"/>
              <w:rPr/>
            </w:pPr>
            <w:r>
              <w:rPr/>
              <w:t>$</w:t>
            </w:r>
          </w:p>
        </w:tc>
        <w:tc>
          <w:tcPr>
            <w:tcW w:w="1281" w:type="dxa"/>
            <w:tcBorders/>
            <w:shd w:fill="CCEEFF" w:val="clear"/>
            <w:vAlign w:val="center"/>
          </w:tcPr>
          <w:p>
            <w:pPr>
              <w:pStyle w:val="TableContents"/>
              <w:bidi w:val="0"/>
              <w:spacing w:lineRule="auto" w:line="300" w:before="0" w:after="0"/>
              <w:jc w:val="right"/>
              <w:rPr/>
            </w:pPr>
            <w:r>
              <w:rPr/>
              <w:t>285,610</w:t>
            </w:r>
          </w:p>
        </w:tc>
        <w:tc>
          <w:tcPr>
            <w:tcW w:w="110" w:type="dxa"/>
            <w:tcBorders/>
            <w:shd w:fill="CCEEFF" w:val="clear"/>
            <w:vAlign w:val="center"/>
          </w:tcPr>
          <w:p>
            <w:pPr>
              <w:pStyle w:val="TableContents"/>
              <w:bidi w:val="0"/>
              <w:spacing w:before="0" w:after="283"/>
              <w:jc w:val="left"/>
              <w:rPr/>
            </w:pPr>
            <w:r>
              <w:rPr/>
              <w:t> </w:t>
            </w:r>
          </w:p>
        </w:tc>
      </w:tr>
      <w:tr>
        <w:trPr/>
        <w:tc>
          <w:tcPr>
            <w:tcW w:w="1349" w:type="dxa"/>
            <w:tcBorders/>
            <w:vAlign w:val="center"/>
          </w:tcPr>
          <w:p>
            <w:pPr>
              <w:pStyle w:val="TableContents"/>
              <w:bidi w:val="0"/>
              <w:spacing w:lineRule="auto" w:line="300" w:before="0" w:after="0"/>
              <w:ind w:left="567" w:right="0" w:hanging="141"/>
              <w:jc w:val="left"/>
              <w:rPr/>
            </w:pPr>
            <w:r>
              <w:rPr/>
              <w:t>Exercise of share options and vested RSUs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pPr>
            <w:r>
              <w:rPr/>
              <w:t>-</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2,358,586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lineRule="auto" w:line="300" w:before="0" w:after="0"/>
              <w:jc w:val="right"/>
              <w:rPr/>
            </w:pPr>
            <w:r>
              <w:rPr/>
              <w:t>5,036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lineRule="auto" w:line="300" w:before="0" w:after="0"/>
              <w:jc w:val="right"/>
              <w:rPr/>
            </w:pPr>
            <w:r>
              <w:rPr/>
              <w:t>5,036</w:t>
            </w:r>
          </w:p>
        </w:tc>
        <w:tc>
          <w:tcPr>
            <w:tcW w:w="110" w:type="dxa"/>
            <w:tcBorders/>
            <w:vAlign w:val="center"/>
          </w:tcPr>
          <w:p>
            <w:pPr>
              <w:pStyle w:val="TableContents"/>
              <w:bidi w:val="0"/>
              <w:spacing w:before="0" w:after="283"/>
              <w:jc w:val="left"/>
              <w:rPr/>
            </w:pPr>
            <w:r>
              <w:rPr/>
              <w:t> </w:t>
            </w:r>
          </w:p>
        </w:tc>
      </w:tr>
      <w:tr>
        <w:trPr/>
        <w:tc>
          <w:tcPr>
            <w:tcW w:w="1349" w:type="dxa"/>
            <w:tcBorders/>
            <w:shd w:fill="CCEEFF" w:val="clear"/>
            <w:vAlign w:val="center"/>
          </w:tcPr>
          <w:p>
            <w:pPr>
              <w:pStyle w:val="TableContents"/>
              <w:bidi w:val="0"/>
              <w:spacing w:lineRule="auto" w:line="300" w:before="0" w:after="0"/>
              <w:ind w:left="567" w:right="0" w:hanging="141"/>
              <w:jc w:val="left"/>
              <w:rPr/>
            </w:pPr>
            <w:r>
              <w:rPr/>
              <w:t>Issuance of ordinary shares under Employee Share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667,490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lineRule="auto" w:line="300" w:before="0" w:after="0"/>
              <w:jc w:val="right"/>
              <w:rPr/>
            </w:pPr>
            <w:r>
              <w:rPr/>
              <w:t>7,656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lineRule="auto" w:line="300" w:before="0" w:after="0"/>
              <w:jc w:val="right"/>
              <w:rPr/>
            </w:pPr>
            <w:r>
              <w:rPr/>
              <w:t>7,656</w:t>
            </w:r>
          </w:p>
        </w:tc>
        <w:tc>
          <w:tcPr>
            <w:tcW w:w="110" w:type="dxa"/>
            <w:tcBorders/>
            <w:shd w:fill="CCEEFF" w:val="clear"/>
            <w:vAlign w:val="center"/>
          </w:tcPr>
          <w:p>
            <w:pPr>
              <w:pStyle w:val="TableContents"/>
              <w:bidi w:val="0"/>
              <w:spacing w:before="0" w:after="283"/>
              <w:jc w:val="left"/>
              <w:rPr/>
            </w:pPr>
            <w:r>
              <w:rPr/>
              <w:t> </w:t>
            </w:r>
          </w:p>
        </w:tc>
      </w:tr>
      <w:tr>
        <w:trPr/>
        <w:tc>
          <w:tcPr>
            <w:tcW w:w="1349" w:type="dxa"/>
            <w:tcBorders/>
            <w:vAlign w:val="center"/>
          </w:tcPr>
          <w:p>
            <w:pPr>
              <w:pStyle w:val="TableContents"/>
              <w:bidi w:val="0"/>
              <w:spacing w:lineRule="auto" w:line="300" w:before="0" w:after="0"/>
              <w:ind w:left="567" w:right="0" w:hanging="141"/>
              <w:jc w:val="left"/>
              <w:rPr/>
            </w:pPr>
            <w:r>
              <w:rPr/>
              <w:t>Share-based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pPr>
            <w:r>
              <w:rPr/>
              <w:t>-</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lineRule="auto" w:line="300" w:before="0" w:after="0"/>
              <w:jc w:val="right"/>
              <w:rPr/>
            </w:pPr>
            <w:r>
              <w:rPr/>
              <w:t>50,772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lineRule="auto" w:line="300" w:before="0" w:after="0"/>
              <w:jc w:val="right"/>
              <w:rPr/>
            </w:pPr>
            <w:r>
              <w:rPr/>
              <w:t>50,772</w:t>
            </w:r>
          </w:p>
        </w:tc>
        <w:tc>
          <w:tcPr>
            <w:tcW w:w="110" w:type="dxa"/>
            <w:tcBorders/>
            <w:vAlign w:val="center"/>
          </w:tcPr>
          <w:p>
            <w:pPr>
              <w:pStyle w:val="TableContents"/>
              <w:bidi w:val="0"/>
              <w:spacing w:before="0" w:after="283"/>
              <w:jc w:val="left"/>
              <w:rPr/>
            </w:pPr>
            <w:r>
              <w:rPr/>
              <w:t> </w:t>
            </w:r>
          </w:p>
        </w:tc>
      </w:tr>
      <w:tr>
        <w:trPr/>
        <w:tc>
          <w:tcPr>
            <w:tcW w:w="1349" w:type="dxa"/>
            <w:tcBorders/>
            <w:shd w:fill="CCEEFF" w:val="clear"/>
            <w:vAlign w:val="center"/>
          </w:tcPr>
          <w:p>
            <w:pPr>
              <w:pStyle w:val="TableContents"/>
              <w:bidi w:val="0"/>
              <w:spacing w:lineRule="auto" w:line="300" w:before="0" w:after="0"/>
              <w:ind w:left="567" w:right="0" w:hanging="141"/>
              <w:jc w:val="left"/>
              <w:rPr/>
            </w:pPr>
            <w:r>
              <w:rPr/>
              <w:t>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lineRule="auto" w:line="300" w:before="0" w:after="0"/>
              <w:jc w:val="right"/>
              <w:rPr/>
            </w:pPr>
            <w:r>
              <w:rPr/>
              <w:t>(2,272</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lineRule="auto" w:line="300" w:before="0" w:after="0"/>
              <w:jc w:val="right"/>
              <w:rPr/>
            </w:pPr>
            <w:r>
              <w:rPr/>
              <w:t>(2,272</w:t>
            </w:r>
          </w:p>
        </w:tc>
        <w:tc>
          <w:tcPr>
            <w:tcW w:w="110" w:type="dxa"/>
            <w:tcBorders/>
            <w:shd w:fill="CCEEFF" w:val="clear"/>
            <w:vAlign w:val="center"/>
          </w:tcPr>
          <w:p>
            <w:pPr>
              <w:pStyle w:val="TableContents"/>
              <w:bidi w:val="0"/>
              <w:spacing w:lineRule="auto" w:line="300" w:before="0" w:after="0"/>
              <w:jc w:val="left"/>
              <w:rPr/>
            </w:pPr>
            <w:r>
              <w:rPr/>
              <w:t>)</w:t>
            </w:r>
          </w:p>
        </w:tc>
      </w:tr>
      <w:tr>
        <w:trPr/>
        <w:tc>
          <w:tcPr>
            <w:tcW w:w="1349" w:type="dxa"/>
            <w:tcBorders/>
            <w:vAlign w:val="center"/>
          </w:tcPr>
          <w:p>
            <w:pPr>
              <w:pStyle w:val="TableContents"/>
              <w:bidi w:val="0"/>
              <w:spacing w:lineRule="auto" w:line="300" w:before="0" w:after="0"/>
              <w:ind w:left="567" w:right="0" w:hanging="141"/>
              <w:jc w:val="left"/>
              <w:rPr/>
            </w:pPr>
            <w:r>
              <w:rPr/>
              <w:t>Net loss attributable to WalkMe Ltd. including adjustment to redeemable non-controlling interest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lineRule="auto" w:line="300" w:before="0" w:after="0"/>
              <w:jc w:val="right"/>
              <w:rPr/>
            </w:pPr>
            <w:r>
              <w:rPr/>
              <w:t>-</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6" w:type="dxa"/>
            <w:tcBorders>
              <w:bottom w:val="single" w:sz="12" w:space="0" w:color="000000"/>
            </w:tcBorders>
            <w:tcMar>
              <w:bottom w:w="28" w:type="dxa"/>
            </w:tcMar>
            <w:vAlign w:val="center"/>
          </w:tcPr>
          <w:p>
            <w:pPr>
              <w:pStyle w:val="TableContents"/>
              <w:bidi w:val="0"/>
              <w:spacing w:before="0" w:after="283"/>
              <w:jc w:val="left"/>
              <w:rPr/>
            </w:pPr>
            <w:r>
              <w:rPr/>
              <w:t> </w:t>
            </w:r>
          </w:p>
        </w:tc>
        <w:tc>
          <w:tcPr>
            <w:tcW w:w="364" w:type="dxa"/>
            <w:tcBorders>
              <w:bottom w:val="single" w:sz="12" w:space="0" w:color="000000"/>
            </w:tcBorders>
            <w:tcMar>
              <w:bottom w:w="28" w:type="dxa"/>
            </w:tcMar>
            <w:vAlign w:val="center"/>
          </w:tcPr>
          <w:p>
            <w:pPr>
              <w:pStyle w:val="TableContents"/>
              <w:bidi w:val="0"/>
              <w:spacing w:lineRule="auto" w:line="300" w:before="0" w:after="0"/>
              <w:jc w:val="right"/>
              <w:rPr/>
            </w:pPr>
            <w:r>
              <w:rPr/>
              <w:t> </w:t>
            </w:r>
          </w:p>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bottom w:val="single" w:sz="12" w:space="0" w:color="000000"/>
            </w:tcBorders>
            <w:tcMar>
              <w:bottom w:w="28" w:type="dxa"/>
            </w:tcMar>
            <w:vAlign w:val="center"/>
          </w:tcPr>
          <w:p>
            <w:pPr>
              <w:pStyle w:val="TableContents"/>
              <w:bidi w:val="0"/>
              <w:spacing w:before="0" w:after="283"/>
              <w:jc w:val="left"/>
              <w:rPr/>
            </w:pPr>
            <w:r>
              <w:rPr/>
              <w:t> </w:t>
            </w:r>
          </w:p>
        </w:tc>
        <w:tc>
          <w:tcPr>
            <w:tcW w:w="971" w:type="dxa"/>
            <w:tcBorders>
              <w:bottom w:val="single" w:sz="12" w:space="0" w:color="000000"/>
            </w:tcBorders>
            <w:tcMar>
              <w:bottom w:w="28" w:type="dxa"/>
            </w:tcMar>
            <w:vAlign w:val="center"/>
          </w:tcPr>
          <w:p>
            <w:pPr>
              <w:pStyle w:val="TableContents"/>
              <w:bidi w:val="0"/>
              <w:spacing w:lineRule="auto" w:line="300" w:before="0" w:after="0"/>
              <w:jc w:val="right"/>
              <w:rPr/>
            </w:pPr>
            <w:r>
              <w:rPr/>
              <w:t>14,979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tcMar>
              <w:bottom w:w="28" w:type="dxa"/>
            </w:tcMar>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tcMar>
              <w:bottom w:w="28" w:type="dxa"/>
            </w:tcMar>
            <w:vAlign w:val="center"/>
          </w:tcPr>
          <w:p>
            <w:pPr>
              <w:pStyle w:val="TableContents"/>
              <w:bidi w:val="0"/>
              <w:spacing w:lineRule="auto" w:line="300" w:before="0" w:after="0"/>
              <w:jc w:val="right"/>
              <w:rPr/>
            </w:pPr>
            <w:r>
              <w:rPr/>
              <w:t>(107,607</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tcMar>
              <w:bottom w:w="28" w:type="dxa"/>
            </w:tcMar>
            <w:vAlign w:val="center"/>
          </w:tcPr>
          <w:p>
            <w:pPr>
              <w:pStyle w:val="TableContents"/>
              <w:bidi w:val="0"/>
              <w:spacing w:lineRule="auto" w:line="300" w:before="0" w:after="0"/>
              <w:jc w:val="right"/>
              <w:rPr/>
            </w:pPr>
            <w:r>
              <w:rPr/>
              <w:t>(92,628</w:t>
            </w:r>
          </w:p>
        </w:tc>
        <w:tc>
          <w:tcPr>
            <w:tcW w:w="110" w:type="dxa"/>
            <w:tcBorders/>
            <w:vAlign w:val="center"/>
          </w:tcPr>
          <w:p>
            <w:pPr>
              <w:pStyle w:val="TableContents"/>
              <w:bidi w:val="0"/>
              <w:spacing w:lineRule="auto" w:line="300" w:before="0" w:after="0"/>
              <w:jc w:val="left"/>
              <w:rPr/>
            </w:pPr>
            <w:r>
              <w:rPr/>
              <w:t>)</w:t>
            </w:r>
          </w:p>
        </w:tc>
      </w:tr>
      <w:tr>
        <w:trPr/>
        <w:tc>
          <w:tcPr>
            <w:tcW w:w="13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349" w:type="dxa"/>
            <w:tcBorders/>
            <w:vAlign w:val="center"/>
          </w:tcPr>
          <w:p>
            <w:pPr>
              <w:pStyle w:val="TableContents"/>
              <w:bidi w:val="0"/>
              <w:spacing w:lineRule="auto" w:line="300" w:before="0" w:after="0"/>
              <w:ind w:left="567" w:right="0" w:hanging="141"/>
              <w:jc w:val="left"/>
              <w:rPr/>
            </w:pPr>
            <w:r>
              <w:rPr/>
              <w:t>Balance as of December 31, 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980" w:type="dxa"/>
            <w:tcBorders/>
            <w:vAlign w:val="center"/>
          </w:tcPr>
          <w:p>
            <w:pPr>
              <w:pStyle w:val="TableContents"/>
              <w:bidi w:val="0"/>
              <w:spacing w:lineRule="auto" w:line="300" w:before="0" w:after="0"/>
              <w:jc w:val="right"/>
              <w:rPr/>
            </w:pPr>
            <w:r>
              <w:rPr/>
              <w:t>-</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86,780,082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lineRule="auto" w:line="300" w:before="0" w:after="0"/>
              <w:jc w:val="left"/>
              <w:rPr/>
            </w:pPr>
            <w:r>
              <w:rPr/>
              <w:t>$</w:t>
            </w:r>
          </w:p>
        </w:tc>
        <w:tc>
          <w:tcPr>
            <w:tcW w:w="364"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lineRule="auto" w:line="300" w:before="0" w:after="0"/>
              <w:jc w:val="left"/>
              <w:rPr/>
            </w:pPr>
            <w:r>
              <w:rPr/>
              <w:t>$</w:t>
            </w:r>
          </w:p>
        </w:tc>
        <w:tc>
          <w:tcPr>
            <w:tcW w:w="971" w:type="dxa"/>
            <w:tcBorders/>
            <w:vAlign w:val="center"/>
          </w:tcPr>
          <w:p>
            <w:pPr>
              <w:pStyle w:val="TableContents"/>
              <w:bidi w:val="0"/>
              <w:spacing w:lineRule="auto" w:line="300" w:before="0" w:after="0"/>
              <w:jc w:val="right"/>
              <w:rPr/>
            </w:pPr>
            <w:r>
              <w:rPr/>
              <w:t>688,636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lineRule="auto" w:line="300" w:before="0" w:after="0"/>
              <w:jc w:val="left"/>
              <w:rPr/>
            </w:pPr>
            <w:r>
              <w:rPr/>
              <w:t>$</w:t>
            </w:r>
          </w:p>
        </w:tc>
        <w:tc>
          <w:tcPr>
            <w:tcW w:w="1291" w:type="dxa"/>
            <w:tcBorders/>
            <w:vAlign w:val="center"/>
          </w:tcPr>
          <w:p>
            <w:pPr>
              <w:pStyle w:val="TableContents"/>
              <w:bidi w:val="0"/>
              <w:spacing w:lineRule="auto" w:line="300" w:before="0" w:after="0"/>
              <w:jc w:val="right"/>
              <w:rPr/>
            </w:pPr>
            <w:r>
              <w:rPr/>
              <w:t>(1,817</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lineRule="auto" w:line="300" w:before="0" w:after="0"/>
              <w:jc w:val="left"/>
              <w:rPr/>
            </w:pPr>
            <w:r>
              <w:rPr/>
              <w:t>$</w:t>
            </w:r>
          </w:p>
        </w:tc>
        <w:tc>
          <w:tcPr>
            <w:tcW w:w="1182" w:type="dxa"/>
            <w:tcBorders/>
            <w:vAlign w:val="center"/>
          </w:tcPr>
          <w:p>
            <w:pPr>
              <w:pStyle w:val="TableContents"/>
              <w:bidi w:val="0"/>
              <w:spacing w:lineRule="auto" w:line="300" w:before="0" w:after="0"/>
              <w:jc w:val="right"/>
              <w:rPr/>
            </w:pPr>
            <w:r>
              <w:rPr/>
              <w:t>(432,645</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lineRule="auto" w:line="300" w:before="0" w:after="0"/>
              <w:jc w:val="left"/>
              <w:rPr/>
            </w:pPr>
            <w:r>
              <w:rPr/>
              <w:t>$</w:t>
            </w:r>
          </w:p>
        </w:tc>
        <w:tc>
          <w:tcPr>
            <w:tcW w:w="1281" w:type="dxa"/>
            <w:tcBorders/>
            <w:vAlign w:val="center"/>
          </w:tcPr>
          <w:p>
            <w:pPr>
              <w:pStyle w:val="TableContents"/>
              <w:bidi w:val="0"/>
              <w:spacing w:lineRule="auto" w:line="300" w:before="0" w:after="0"/>
              <w:jc w:val="right"/>
              <w:rPr/>
            </w:pPr>
            <w:r>
              <w:rPr/>
              <w:t>254,174</w:t>
            </w:r>
          </w:p>
        </w:tc>
        <w:tc>
          <w:tcPr>
            <w:tcW w:w="110" w:type="dxa"/>
            <w:tcBorders/>
            <w:vAlign w:val="center"/>
          </w:tcPr>
          <w:p>
            <w:pPr>
              <w:pStyle w:val="TableContents"/>
              <w:bidi w:val="0"/>
              <w:spacing w:before="0" w:after="283"/>
              <w:jc w:val="left"/>
              <w:rPr/>
            </w:pPr>
            <w:r>
              <w:rPr/>
              <w:t> </w:t>
            </w:r>
          </w:p>
        </w:tc>
      </w:tr>
      <w:tr>
        <w:trPr/>
        <w:tc>
          <w:tcPr>
            <w:tcW w:w="1349" w:type="dxa"/>
            <w:tcBorders/>
            <w:shd w:fill="CCEEFF" w:val="clear"/>
            <w:vAlign w:val="center"/>
          </w:tcPr>
          <w:p>
            <w:pPr>
              <w:pStyle w:val="TableContents"/>
              <w:bidi w:val="0"/>
              <w:spacing w:lineRule="auto" w:line="300" w:before="0" w:after="0"/>
              <w:ind w:left="567" w:right="0" w:hanging="141"/>
              <w:jc w:val="left"/>
              <w:rPr/>
            </w:pPr>
            <w:r>
              <w:rPr/>
              <w:t>Exercise of share options and vested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3,492,917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lineRule="auto" w:line="300" w:before="0" w:after="0"/>
              <w:jc w:val="right"/>
              <w:rPr/>
            </w:pPr>
            <w:r>
              <w:rPr/>
              <w:t>1,864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lineRule="auto" w:line="300" w:before="0" w:after="0"/>
              <w:jc w:val="right"/>
              <w:rPr/>
            </w:pPr>
            <w:r>
              <w:rPr/>
              <w:t>1,864</w:t>
            </w:r>
          </w:p>
        </w:tc>
        <w:tc>
          <w:tcPr>
            <w:tcW w:w="110" w:type="dxa"/>
            <w:tcBorders/>
            <w:shd w:fill="CCEEFF" w:val="clear"/>
            <w:vAlign w:val="center"/>
          </w:tcPr>
          <w:p>
            <w:pPr>
              <w:pStyle w:val="TableContents"/>
              <w:bidi w:val="0"/>
              <w:spacing w:before="0" w:after="283"/>
              <w:jc w:val="left"/>
              <w:rPr/>
            </w:pPr>
            <w:r>
              <w:rPr/>
              <w:t> </w:t>
            </w:r>
          </w:p>
        </w:tc>
      </w:tr>
      <w:tr>
        <w:trPr/>
        <w:tc>
          <w:tcPr>
            <w:tcW w:w="1349" w:type="dxa"/>
            <w:tcBorders/>
            <w:vAlign w:val="center"/>
          </w:tcPr>
          <w:p>
            <w:pPr>
              <w:pStyle w:val="TableContents"/>
              <w:bidi w:val="0"/>
              <w:spacing w:lineRule="auto" w:line="300" w:before="0" w:after="0"/>
              <w:ind w:left="567" w:right="0" w:hanging="141"/>
              <w:jc w:val="left"/>
              <w:rPr/>
            </w:pPr>
            <w:r>
              <w:rPr/>
              <w:t>Issuance of ordinary shares under Employee Share Purchase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pPr>
            <w:r>
              <w:rPr/>
              <w:t>-</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591,663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lineRule="auto" w:line="300" w:before="0" w:after="0"/>
              <w:jc w:val="right"/>
              <w:rPr/>
            </w:pPr>
            <w:r>
              <w:rPr/>
              <w:t>4,874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lineRule="auto" w:line="300" w:before="0" w:after="0"/>
              <w:jc w:val="right"/>
              <w:rPr/>
            </w:pPr>
            <w:r>
              <w:rPr/>
              <w:t>4,874</w:t>
            </w:r>
          </w:p>
        </w:tc>
        <w:tc>
          <w:tcPr>
            <w:tcW w:w="110" w:type="dxa"/>
            <w:tcBorders/>
            <w:vAlign w:val="center"/>
          </w:tcPr>
          <w:p>
            <w:pPr>
              <w:pStyle w:val="TableContents"/>
              <w:bidi w:val="0"/>
              <w:spacing w:before="0" w:after="283"/>
              <w:jc w:val="left"/>
              <w:rPr/>
            </w:pPr>
            <w:r>
              <w:rPr/>
              <w:t> </w:t>
            </w:r>
          </w:p>
        </w:tc>
      </w:tr>
      <w:tr>
        <w:trPr/>
        <w:tc>
          <w:tcPr>
            <w:tcW w:w="1349" w:type="dxa"/>
            <w:tcBorders/>
            <w:shd w:fill="CCEEFF" w:val="clear"/>
            <w:vAlign w:val="center"/>
          </w:tcPr>
          <w:p>
            <w:pPr>
              <w:pStyle w:val="TableContents"/>
              <w:bidi w:val="0"/>
              <w:spacing w:lineRule="auto" w:line="300" w:before="0" w:after="0"/>
              <w:ind w:left="567" w:right="0" w:hanging="141"/>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lineRule="auto" w:line="300" w:before="0" w:after="0"/>
              <w:jc w:val="right"/>
              <w:rPr/>
            </w:pPr>
            <w:r>
              <w:rPr/>
              <w:t>56,076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lineRule="auto" w:line="300" w:before="0" w:after="0"/>
              <w:jc w:val="right"/>
              <w:rPr/>
            </w:pPr>
            <w:r>
              <w:rPr/>
              <w:t>56,076</w:t>
            </w:r>
          </w:p>
        </w:tc>
        <w:tc>
          <w:tcPr>
            <w:tcW w:w="110" w:type="dxa"/>
            <w:tcBorders/>
            <w:shd w:fill="CCEEFF" w:val="clear"/>
            <w:vAlign w:val="center"/>
          </w:tcPr>
          <w:p>
            <w:pPr>
              <w:pStyle w:val="TableContents"/>
              <w:bidi w:val="0"/>
              <w:spacing w:before="0" w:after="283"/>
              <w:jc w:val="left"/>
              <w:rPr/>
            </w:pPr>
            <w:r>
              <w:rPr/>
              <w:t> </w:t>
            </w:r>
          </w:p>
        </w:tc>
      </w:tr>
      <w:tr>
        <w:trPr/>
        <w:tc>
          <w:tcPr>
            <w:tcW w:w="1349" w:type="dxa"/>
            <w:tcBorders/>
            <w:vAlign w:val="center"/>
          </w:tcPr>
          <w:p>
            <w:pPr>
              <w:pStyle w:val="TableContents"/>
              <w:bidi w:val="0"/>
              <w:spacing w:lineRule="auto" w:line="300" w:before="0" w:after="0"/>
              <w:ind w:left="567" w:right="0" w:hanging="141"/>
              <w:jc w:val="left"/>
              <w:rPr/>
            </w:pPr>
            <w:r>
              <w:rPr/>
              <w:t>Other comprehensive 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pPr>
            <w:r>
              <w:rPr/>
              <w:t>-</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lineRule="auto" w:line="300" w:before="0" w:after="0"/>
              <w:jc w:val="right"/>
              <w:rPr/>
            </w:pPr>
            <w:r>
              <w:rPr/>
              <w:t>2,295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lineRule="auto" w:line="300" w:before="0" w:after="0"/>
              <w:jc w:val="right"/>
              <w:rPr/>
            </w:pPr>
            <w:r>
              <w:rPr/>
              <w:t>2,295</w:t>
            </w:r>
          </w:p>
        </w:tc>
        <w:tc>
          <w:tcPr>
            <w:tcW w:w="110" w:type="dxa"/>
            <w:tcBorders/>
            <w:vAlign w:val="center"/>
          </w:tcPr>
          <w:p>
            <w:pPr>
              <w:pStyle w:val="TableContents"/>
              <w:bidi w:val="0"/>
              <w:spacing w:before="0" w:after="283"/>
              <w:jc w:val="left"/>
              <w:rPr/>
            </w:pPr>
            <w:r>
              <w:rPr/>
              <w:t> </w:t>
            </w:r>
          </w:p>
        </w:tc>
      </w:tr>
      <w:tr>
        <w:trPr/>
        <w:tc>
          <w:tcPr>
            <w:tcW w:w="1349" w:type="dxa"/>
            <w:tcBorders/>
            <w:shd w:fill="CCEEFF" w:val="clear"/>
            <w:vAlign w:val="center"/>
          </w:tcPr>
          <w:p>
            <w:pPr>
              <w:pStyle w:val="TableContents"/>
              <w:bidi w:val="0"/>
              <w:spacing w:lineRule="auto" w:line="300" w:before="0" w:after="0"/>
              <w:ind w:left="567" w:right="0" w:hanging="141"/>
              <w:jc w:val="left"/>
              <w:rPr/>
            </w:pPr>
            <w:r>
              <w:rPr/>
              <w:t>Net loss attributable to WalkMe Ltd. including adjustment to redeemable non-controlling interest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6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 </w:t>
            </w:r>
          </w:p>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(2,649</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(56,487</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(59,136</w:t>
            </w:r>
          </w:p>
        </w:tc>
        <w:tc>
          <w:tcPr>
            <w:tcW w:w="110" w:type="dxa"/>
            <w:tcBorders/>
            <w:shd w:fill="CCEEFF" w:val="clear"/>
            <w:vAlign w:val="center"/>
          </w:tcPr>
          <w:p>
            <w:pPr>
              <w:pStyle w:val="TableContents"/>
              <w:bidi w:val="0"/>
              <w:spacing w:lineRule="auto" w:line="300" w:before="0" w:after="0"/>
              <w:jc w:val="left"/>
              <w:rPr/>
            </w:pPr>
            <w:r>
              <w:rPr/>
              <w:t>)</w:t>
            </w:r>
          </w:p>
        </w:tc>
      </w:tr>
      <w:tr>
        <w:trPr/>
        <w:tc>
          <w:tcPr>
            <w:tcW w:w="1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1349" w:type="dxa"/>
            <w:tcBorders/>
            <w:shd w:fill="CCEEFF" w:val="clear"/>
            <w:vAlign w:val="center"/>
          </w:tcPr>
          <w:p>
            <w:pPr>
              <w:pStyle w:val="TableContents"/>
              <w:bidi w:val="0"/>
              <w:spacing w:lineRule="auto" w:line="300" w:before="0" w:after="0"/>
              <w:ind w:left="567" w:right="0" w:hanging="141"/>
              <w:jc w:val="left"/>
              <w:rPr/>
            </w:pPr>
            <w:r>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w:t>
            </w:r>
          </w:p>
        </w:tc>
        <w:tc>
          <w:tcPr>
            <w:tcW w:w="98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90,864,662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6"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w:t>
            </w:r>
          </w:p>
        </w:tc>
        <w:tc>
          <w:tcPr>
            <w:tcW w:w="36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w:t>
            </w:r>
          </w:p>
        </w:tc>
        <w:tc>
          <w:tcPr>
            <w:tcW w:w="971"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748,801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w:t>
            </w:r>
          </w:p>
        </w:tc>
        <w:tc>
          <w:tcPr>
            <w:tcW w:w="1291"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478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w:t>
            </w:r>
          </w:p>
        </w:tc>
        <w:tc>
          <w:tcPr>
            <w:tcW w:w="1182"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(489,132</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w:t>
            </w:r>
          </w:p>
        </w:tc>
        <w:tc>
          <w:tcPr>
            <w:tcW w:w="1281"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260,147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lineRule="auto" w:line="300" w:before="0" w:after="0"/>
        <w:jc w:val="left"/>
        <w:rPr/>
      </w:pPr>
      <w:r>
        <w:rPr/>
        <w:t> </w:t>
      </w:r>
    </w:p>
    <w:p>
      <w:pPr>
        <w:pStyle w:val="TextBody"/>
        <w:bidi w:val="0"/>
        <w:spacing w:before="20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p>
      <w:pPr>
        <w:pStyle w:val="HorizontalLine"/>
        <w:pBdr>
          <w:bottom w:val="double" w:sz="2" w:space="0" w:color="808080"/>
        </w:pBdr>
        <w:bidi w:val="0"/>
        <w:spacing w:before="0" w:after="283"/>
        <w:jc w:val="left"/>
        <w:rPr/>
      </w:pPr>
      <w:r>
        <w:rPr/>
      </w:r>
    </w:p>
    <w:p>
      <w:pPr>
        <w:pStyle w:val="TextBody"/>
        <w:bidi w:val="0"/>
        <w:spacing w:lineRule="auto" w:line="300" w:before="0" w:after="0"/>
        <w:ind w:left="6" w:right="0" w:hanging="0"/>
        <w:jc w:val="right"/>
        <w:rPr>
          <w:b/>
          <w:sz w:val="20"/>
        </w:rPr>
      </w:pPr>
      <w:r>
        <w:rPr>
          <w:b/>
          <w:sz w:val="20"/>
        </w:rPr>
        <w:t>WALKME LTD. AND ITS SUBSIDIARIES</w:t>
      </w:r>
    </w:p>
    <w:p>
      <w:pPr>
        <w:pStyle w:val="TextBody"/>
        <w:bidi w:val="0"/>
        <w:spacing w:lineRule="auto" w:line="300" w:before="0" w:after="0"/>
        <w:jc w:val="left"/>
        <w:rPr/>
      </w:pPr>
      <w:r>
        <w:rPr/>
        <w:t> </w:t>
      </w:r>
    </w:p>
    <w:p>
      <w:pPr>
        <w:pStyle w:val="TextBody"/>
        <w:bidi w:val="0"/>
        <w:spacing w:lineRule="auto" w:line="300" w:before="0" w:after="0"/>
        <w:jc w:val="left"/>
        <w:rPr>
          <w:b/>
          <w:sz w:val="20"/>
        </w:rPr>
      </w:pPr>
      <w:bookmarkStart w:id="355" w:name="CONSOLIDATEDSTATEMENTSOFCASHFLOW_integix"/>
      <w:bookmarkEnd w:id="355"/>
      <w:r>
        <w:rPr>
          <w:b/>
          <w:sz w:val="20"/>
        </w:rPr>
        <w:t>CONSOLIDATED STATEMENTS OF CASH FLOW</w:t>
      </w:r>
    </w:p>
    <w:p>
      <w:pPr>
        <w:pStyle w:val="TextBody"/>
        <w:bidi w:val="0"/>
        <w:spacing w:lineRule="auto" w:line="300" w:before="0" w:after="0"/>
        <w:jc w:val="left"/>
        <w:rPr>
          <w:b/>
          <w:sz w:val="20"/>
        </w:rPr>
      </w:pPr>
      <w:r>
        <w:rPr>
          <w:b/>
          <w:sz w:val="20"/>
        </w:rPr>
        <w:t>U.S. dollars in thousands (except share and per share data)</w:t>
      </w:r>
    </w:p>
    <w:p>
      <w:pPr>
        <w:pStyle w:val="HorizontalLine"/>
        <w:bidi w:val="0"/>
        <w:spacing w:lineRule="auto" w:line="300"/>
        <w:jc w:val="left"/>
        <w:rPr/>
      </w:pPr>
      <w:r>
        <w:rPr/>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830"/>
        <w:gridCol w:w="60"/>
        <w:gridCol w:w="140"/>
        <w:gridCol w:w="800"/>
        <w:gridCol w:w="95"/>
        <w:gridCol w:w="60"/>
        <w:gridCol w:w="140"/>
        <w:gridCol w:w="875"/>
        <w:gridCol w:w="95"/>
        <w:gridCol w:w="60"/>
        <w:gridCol w:w="140"/>
        <w:gridCol w:w="800"/>
        <w:gridCol w:w="110"/>
      </w:tblGrid>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5" w:type="dxa"/>
            <w:gridSpan w:val="10"/>
            <w:tcBorders>
              <w:bottom w:val="single" w:sz="12" w:space="0" w:color="000000"/>
            </w:tcBorders>
            <w:tcMar>
              <w:bottom w:w="28" w:type="dxa"/>
            </w:tcMar>
            <w:vAlign w:val="center"/>
          </w:tcPr>
          <w:p>
            <w:pPr>
              <w:pStyle w:val="TableContents"/>
              <w:bidi w:val="0"/>
              <w:spacing w:lineRule="auto" w:line="300" w:before="0" w:after="0"/>
              <w:jc w:val="center"/>
              <w:rPr>
                <w:b/>
              </w:rPr>
            </w:pPr>
            <w:r>
              <w:rPr>
                <w:b/>
              </w:rPr>
              <w:t>Year ended</w:t>
            </w:r>
          </w:p>
          <w:p>
            <w:pPr>
              <w:pStyle w:val="TableContents"/>
              <w:bidi w:val="0"/>
              <w:spacing w:lineRule="auto" w:line="300" w:before="0" w:after="0"/>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lineRule="auto" w:line="300" w:before="0" w:after="0"/>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lineRule="auto" w:line="300" w:before="0" w:after="0"/>
              <w:jc w:val="left"/>
              <w:rPr>
                <w:u w:val="single"/>
              </w:rPr>
            </w:pPr>
            <w:r>
              <w:rPr>
                <w:u w:val="single"/>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94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0"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lineRule="auto" w:line="300" w:before="0" w:after="0"/>
              <w:ind w:left="397" w:right="0" w:hanging="0"/>
              <w:jc w:val="left"/>
              <w:rPr/>
            </w:pPr>
            <w:r>
              <w:rPr/>
              <w:t>Net loss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800" w:type="dxa"/>
            <w:tcBorders/>
            <w:vAlign w:val="center"/>
          </w:tcPr>
          <w:p>
            <w:pPr>
              <w:pStyle w:val="TableContents"/>
              <w:bidi w:val="0"/>
              <w:spacing w:lineRule="auto" w:line="300" w:before="0" w:after="0"/>
              <w:jc w:val="right"/>
              <w:rPr/>
            </w:pPr>
            <w:r>
              <w:rPr/>
              <w:t>(56,753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875" w:type="dxa"/>
            <w:tcBorders/>
            <w:vAlign w:val="center"/>
          </w:tcPr>
          <w:p>
            <w:pPr>
              <w:pStyle w:val="TableContents"/>
              <w:bidi w:val="0"/>
              <w:spacing w:lineRule="auto" w:line="300" w:before="0" w:after="0"/>
              <w:jc w:val="right"/>
              <w:rPr/>
            </w:pPr>
            <w:r>
              <w:rPr/>
              <w:t>(108,350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800" w:type="dxa"/>
            <w:tcBorders/>
            <w:vAlign w:val="center"/>
          </w:tcPr>
          <w:p>
            <w:pPr>
              <w:pStyle w:val="TableContents"/>
              <w:bidi w:val="0"/>
              <w:spacing w:lineRule="auto" w:line="300" w:before="0" w:after="0"/>
              <w:jc w:val="right"/>
              <w:rPr/>
            </w:pPr>
            <w:r>
              <w:rPr/>
              <w:t>(80,293</w:t>
            </w:r>
          </w:p>
        </w:tc>
        <w:tc>
          <w:tcPr>
            <w:tcW w:w="110" w:type="dxa"/>
            <w:tcBorders/>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lineRule="auto" w:line="300" w:before="0" w:after="0"/>
              <w:ind w:left="397" w:right="0" w:hanging="0"/>
              <w:jc w:val="left"/>
              <w:rPr/>
            </w:pPr>
            <w:r>
              <w:rPr/>
              <w:t>Adjustments to reconcile net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lineRule="auto" w:line="300" w:before="0" w:after="0"/>
              <w:ind w:left="567" w:right="0" w:hanging="0"/>
              <w:jc w:val="left"/>
              <w:rPr/>
            </w:pPr>
            <w:r>
              <w:rPr/>
              <w:t>Share-based compensation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55,457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50,104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27,332</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lineRule="auto" w:line="300" w:before="0" w:after="0"/>
              <w:ind w:left="567" w:right="0" w:hanging="0"/>
              <w:jc w:val="left"/>
              <w:rPr/>
            </w:pPr>
            <w:r>
              <w:rPr/>
              <w:t>Depreciation, amortization and impairment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6,157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7,878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4,773</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lineRule="auto" w:line="300" w:before="0" w:after="0"/>
              <w:ind w:left="567" w:right="0" w:hanging="0"/>
              <w:jc w:val="left"/>
              <w:rPr/>
            </w:pPr>
            <w:r>
              <w:rPr/>
              <w:t>Operating lease right-of-use assets and liabilities,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(1,318</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(551</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lineRule="auto" w:line="300" w:before="0" w:after="0"/>
              <w:ind w:left="567" w:right="0" w:hanging="0"/>
              <w:jc w:val="left"/>
              <w:rPr/>
            </w:pPr>
            <w:r>
              <w:rPr/>
              <w:t>Finance (income)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2,125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(1,758</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(59</w:t>
            </w:r>
          </w:p>
        </w:tc>
        <w:tc>
          <w:tcPr>
            <w:tcW w:w="110" w:type="dxa"/>
            <w:tcBorders/>
            <w:shd w:fill="CCEEFF" w:val="clear"/>
            <w:vAlign w:val="center"/>
          </w:tcPr>
          <w:p>
            <w:pPr>
              <w:pStyle w:val="TableContents"/>
              <w:bidi w:val="0"/>
              <w:spacing w:lineRule="auto" w:line="300" w:before="0" w:after="0"/>
              <w:jc w:val="left"/>
              <w:rPr/>
            </w:pPr>
            <w:r>
              <w:rPr/>
              <w:t>)</w:t>
            </w:r>
          </w:p>
        </w:tc>
      </w:tr>
      <w:tr>
        <w:trPr/>
        <w:tc>
          <w:tcPr>
            <w:tcW w:w="6830" w:type="dxa"/>
            <w:tcBorders/>
            <w:vAlign w:val="center"/>
          </w:tcPr>
          <w:p>
            <w:pPr>
              <w:pStyle w:val="TableContents"/>
              <w:bidi w:val="0"/>
              <w:spacing w:lineRule="auto" w:line="300" w:before="0" w:after="0"/>
              <w:ind w:left="567" w:right="0" w:hanging="0"/>
              <w:jc w:val="left"/>
              <w:rPr/>
            </w:pPr>
            <w:r>
              <w:rPr/>
              <w:t>Amortization of premium and accretion of discount on marketable securities,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(2,245</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(370</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lineRule="auto" w:line="300" w:before="0" w:after="0"/>
              <w:ind w:left="567" w:right="0" w:hanging="0"/>
              <w:jc w:val="left"/>
              <w:rPr/>
            </w:pPr>
            <w:r>
              <w:rPr/>
              <w:t>Decrease (increase) in trade receivables,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4,530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(7,417</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(6,976</w:t>
            </w:r>
          </w:p>
        </w:tc>
        <w:tc>
          <w:tcPr>
            <w:tcW w:w="110" w:type="dxa"/>
            <w:tcBorders/>
            <w:shd w:fill="CCEEFF" w:val="clear"/>
            <w:vAlign w:val="center"/>
          </w:tcPr>
          <w:p>
            <w:pPr>
              <w:pStyle w:val="TableContents"/>
              <w:bidi w:val="0"/>
              <w:spacing w:lineRule="auto" w:line="300" w:before="0" w:after="0"/>
              <w:jc w:val="left"/>
              <w:rPr/>
            </w:pPr>
            <w:r>
              <w:rPr/>
              <w:t>)</w:t>
            </w:r>
          </w:p>
        </w:tc>
      </w:tr>
      <w:tr>
        <w:trPr/>
        <w:tc>
          <w:tcPr>
            <w:tcW w:w="6830" w:type="dxa"/>
            <w:tcBorders/>
            <w:vAlign w:val="center"/>
          </w:tcPr>
          <w:p>
            <w:pPr>
              <w:pStyle w:val="TableContents"/>
              <w:bidi w:val="0"/>
              <w:spacing w:lineRule="auto" w:line="300" w:before="0" w:after="0"/>
              <w:ind w:left="567" w:right="0" w:hanging="0"/>
              <w:jc w:val="left"/>
              <w:rPr/>
            </w:pPr>
            <w:r>
              <w:rPr/>
              <w:t>Decrease (increase) in prepaid expenses and other 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7,878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(8,882</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(29,763</w:t>
            </w:r>
          </w:p>
        </w:tc>
        <w:tc>
          <w:tcPr>
            <w:tcW w:w="110" w:type="dxa"/>
            <w:tcBorders/>
            <w:vAlign w:val="center"/>
          </w:tcPr>
          <w:p>
            <w:pPr>
              <w:pStyle w:val="TableContents"/>
              <w:bidi w:val="0"/>
              <w:spacing w:lineRule="auto" w:line="300" w:before="0" w:after="0"/>
              <w:jc w:val="left"/>
              <w:rPr/>
            </w:pPr>
            <w:r>
              <w:rPr/>
              <w:t>)</w:t>
            </w:r>
          </w:p>
        </w:tc>
      </w:tr>
      <w:tr>
        <w:trPr/>
        <w:tc>
          <w:tcPr>
            <w:tcW w:w="6830" w:type="dxa"/>
            <w:tcBorders/>
            <w:shd w:fill="CCEEFF" w:val="clear"/>
            <w:vAlign w:val="center"/>
          </w:tcPr>
          <w:p>
            <w:pPr>
              <w:pStyle w:val="TableContents"/>
              <w:bidi w:val="0"/>
              <w:spacing w:lineRule="auto" w:line="300" w:before="0" w:after="0"/>
              <w:ind w:left="567" w:right="0" w:hanging="0"/>
              <w:jc w:val="left"/>
              <w:rPr/>
            </w:pPr>
            <w:r>
              <w:rPr/>
              <w:t>Increase (decrease) in trade payables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(2,449</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(354</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906</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lineRule="auto" w:line="300" w:before="0" w:after="0"/>
              <w:ind w:left="567" w:right="0" w:hanging="0"/>
              <w:jc w:val="left"/>
              <w:rPr/>
            </w:pPr>
            <w:r>
              <w:rPr/>
              <w:t>Increase (decrease) in employees and payroll accruals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(4,907</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(5,782</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15,010</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lineRule="auto" w:line="300" w:before="0" w:after="0"/>
              <w:ind w:left="567" w:right="0" w:hanging="0"/>
              <w:jc w:val="left"/>
              <w:rPr/>
            </w:pPr>
            <w:r>
              <w:rPr/>
              <w:t>Increase in 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6,147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3,215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4,574</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lineRule="auto" w:line="300" w:before="0" w:after="0"/>
              <w:ind w:left="567" w:right="0" w:hanging="0"/>
              <w:jc w:val="left"/>
              <w:rPr/>
            </w:pPr>
            <w:r>
              <w:rPr/>
              <w:t>Increase in deferred revenues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2,429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22,924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28,577</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lineRule="auto" w:line="300" w:before="0" w:after="0"/>
              <w:ind w:left="567" w:right="0" w:hanging="0"/>
              <w:jc w:val="left"/>
              <w:rPr/>
            </w:pPr>
            <w:r>
              <w:rPr/>
              <w:t>Increase (decrease) in deferred taxes,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(1,771</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1,694</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lineRule="auto" w:line="300" w:before="0" w:after="0"/>
              <w:ind w:left="170" w:right="0" w:hanging="0"/>
              <w:jc w:val="left"/>
              <w:rPr/>
            </w:pPr>
            <w:r>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15,280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(46,808</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(34,225</w:t>
            </w:r>
          </w:p>
        </w:tc>
        <w:tc>
          <w:tcPr>
            <w:tcW w:w="110" w:type="dxa"/>
            <w:tcBorders/>
            <w:shd w:fill="CCEEFF" w:val="clear"/>
            <w:vAlign w:val="center"/>
          </w:tcPr>
          <w:p>
            <w:pPr>
              <w:pStyle w:val="TableContents"/>
              <w:bidi w:val="0"/>
              <w:spacing w:lineRule="auto" w:line="300" w:before="0" w:after="0"/>
              <w:jc w:val="left"/>
              <w:rPr/>
            </w:pPr>
            <w:r>
              <w:rPr/>
              <w:t>)</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lineRule="auto" w:line="300" w:before="0" w:after="0"/>
              <w:ind w:left="170" w:right="0" w:hanging="0"/>
              <w:jc w:val="left"/>
              <w:rPr>
                <w:u w:val="single"/>
              </w:rPr>
            </w:pPr>
            <w:r>
              <w:rPr>
                <w:u w:val="single"/>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lineRule="auto" w:line="300" w:before="0" w:after="0"/>
              <w:ind w:left="567" w:right="0" w:hanging="0"/>
              <w:jc w:val="left"/>
              <w:rPr/>
            </w:pPr>
            <w:r>
              <w:rPr/>
              <w:t>Purchase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(1,338</w:t>
            </w:r>
          </w:p>
        </w:tc>
        <w:tc>
          <w:tcPr>
            <w:tcW w:w="110" w:type="dxa"/>
            <w:tcBorders/>
            <w:shd w:fill="CCEEFF" w:val="clear"/>
            <w:vAlign w:val="center"/>
          </w:tcPr>
          <w:p>
            <w:pPr>
              <w:pStyle w:val="TableContents"/>
              <w:bidi w:val="0"/>
              <w:spacing w:lineRule="auto" w:line="300" w:before="0" w:after="0"/>
              <w:jc w:val="left"/>
              <w:rPr/>
            </w:pPr>
            <w:r>
              <w:rPr/>
              <w:t>)</w:t>
            </w:r>
          </w:p>
        </w:tc>
      </w:tr>
      <w:tr>
        <w:trPr/>
        <w:tc>
          <w:tcPr>
            <w:tcW w:w="6830" w:type="dxa"/>
            <w:tcBorders/>
            <w:vAlign w:val="center"/>
          </w:tcPr>
          <w:p>
            <w:pPr>
              <w:pStyle w:val="TableContents"/>
              <w:bidi w:val="0"/>
              <w:spacing w:lineRule="auto" w:line="300" w:before="0" w:after="0"/>
              <w:ind w:left="567" w:right="0" w:hanging="0"/>
              <w:jc w:val="left"/>
              <w:rPr/>
            </w:pPr>
            <w:r>
              <w:rPr/>
              <w:t>Capitalization of software development costs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(3,255</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(4,260</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(3,912</w:t>
            </w:r>
          </w:p>
        </w:tc>
        <w:tc>
          <w:tcPr>
            <w:tcW w:w="110" w:type="dxa"/>
            <w:tcBorders/>
            <w:vAlign w:val="center"/>
          </w:tcPr>
          <w:p>
            <w:pPr>
              <w:pStyle w:val="TableContents"/>
              <w:bidi w:val="0"/>
              <w:spacing w:lineRule="auto" w:line="300" w:before="0" w:after="0"/>
              <w:jc w:val="left"/>
              <w:rPr/>
            </w:pPr>
            <w:r>
              <w:rPr/>
              <w:t>)</w:t>
            </w:r>
          </w:p>
        </w:tc>
      </w:tr>
      <w:tr>
        <w:trPr/>
        <w:tc>
          <w:tcPr>
            <w:tcW w:w="6830" w:type="dxa"/>
            <w:tcBorders/>
            <w:shd w:fill="CCEEFF" w:val="clear"/>
            <w:vAlign w:val="center"/>
          </w:tcPr>
          <w:p>
            <w:pPr>
              <w:pStyle w:val="TableContents"/>
              <w:bidi w:val="0"/>
              <w:spacing w:lineRule="auto" w:line="300" w:before="0" w:after="0"/>
              <w:ind w:left="567" w:right="0" w:hanging="0"/>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(540</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(2,867</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(2,642</w:t>
            </w:r>
          </w:p>
        </w:tc>
        <w:tc>
          <w:tcPr>
            <w:tcW w:w="110" w:type="dxa"/>
            <w:tcBorders/>
            <w:shd w:fill="CCEEFF" w:val="clear"/>
            <w:vAlign w:val="center"/>
          </w:tcPr>
          <w:p>
            <w:pPr>
              <w:pStyle w:val="TableContents"/>
              <w:bidi w:val="0"/>
              <w:spacing w:lineRule="auto" w:line="300" w:before="0" w:after="0"/>
              <w:jc w:val="left"/>
              <w:rPr/>
            </w:pPr>
            <w:r>
              <w:rPr/>
              <w:t>)</w:t>
            </w:r>
          </w:p>
        </w:tc>
      </w:tr>
      <w:tr>
        <w:trPr/>
        <w:tc>
          <w:tcPr>
            <w:tcW w:w="6830" w:type="dxa"/>
            <w:tcBorders/>
            <w:vAlign w:val="center"/>
          </w:tcPr>
          <w:p>
            <w:pPr>
              <w:pStyle w:val="TableContents"/>
              <w:bidi w:val="0"/>
              <w:spacing w:lineRule="auto" w:line="300" w:before="0" w:after="0"/>
              <w:ind w:left="567" w:right="0" w:hanging="0"/>
              <w:jc w:val="left"/>
              <w:rPr/>
            </w:pPr>
            <w:r>
              <w:rPr/>
              <w:t>Investment in short-term deposits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(28,000</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(170,500</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(66,260</w:t>
            </w:r>
          </w:p>
        </w:tc>
        <w:tc>
          <w:tcPr>
            <w:tcW w:w="110" w:type="dxa"/>
            <w:tcBorders/>
            <w:vAlign w:val="center"/>
          </w:tcPr>
          <w:p>
            <w:pPr>
              <w:pStyle w:val="TableContents"/>
              <w:bidi w:val="0"/>
              <w:spacing w:lineRule="auto" w:line="300" w:before="0" w:after="0"/>
              <w:jc w:val="left"/>
              <w:rPr/>
            </w:pPr>
            <w:r>
              <w:rPr/>
              <w:t>)</w:t>
            </w:r>
          </w:p>
        </w:tc>
      </w:tr>
      <w:tr>
        <w:trPr/>
        <w:tc>
          <w:tcPr>
            <w:tcW w:w="6830" w:type="dxa"/>
            <w:tcBorders/>
            <w:shd w:fill="CCEEFF" w:val="clear"/>
            <w:vAlign w:val="center"/>
          </w:tcPr>
          <w:p>
            <w:pPr>
              <w:pStyle w:val="TableContents"/>
              <w:bidi w:val="0"/>
              <w:spacing w:lineRule="auto" w:line="300" w:before="0" w:after="0"/>
              <w:ind w:left="567" w:right="0" w:hanging="0"/>
              <w:jc w:val="left"/>
              <w:rPr/>
            </w:pPr>
            <w:r>
              <w:rPr/>
              <w:t>Proceeds from short-term 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123,500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112,257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45,003</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lineRule="auto" w:line="300" w:before="0" w:after="0"/>
              <w:ind w:left="567" w:right="0" w:hanging="0"/>
              <w:jc w:val="left"/>
              <w:rPr/>
            </w:pPr>
            <w:r>
              <w:rPr/>
              <w:t>Investment in restricted deposits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(1,298</w:t>
            </w:r>
          </w:p>
        </w:tc>
        <w:tc>
          <w:tcPr>
            <w:tcW w:w="110" w:type="dxa"/>
            <w:tcBorders/>
            <w:vAlign w:val="center"/>
          </w:tcPr>
          <w:p>
            <w:pPr>
              <w:pStyle w:val="TableContents"/>
              <w:bidi w:val="0"/>
              <w:spacing w:lineRule="auto" w:line="300" w:before="0" w:after="0"/>
              <w:jc w:val="left"/>
              <w:rPr/>
            </w:pPr>
            <w:r>
              <w:rPr/>
              <w:t>)</w:t>
            </w:r>
          </w:p>
        </w:tc>
      </w:tr>
      <w:tr>
        <w:trPr/>
        <w:tc>
          <w:tcPr>
            <w:tcW w:w="6830" w:type="dxa"/>
            <w:tcBorders/>
            <w:shd w:fill="CCEEFF" w:val="clear"/>
            <w:vAlign w:val="center"/>
          </w:tcPr>
          <w:p>
            <w:pPr>
              <w:pStyle w:val="TableContents"/>
              <w:bidi w:val="0"/>
              <w:spacing w:lineRule="auto" w:line="300" w:before="0" w:after="0"/>
              <w:ind w:left="567" w:right="0" w:hanging="0"/>
              <w:jc w:val="left"/>
              <w:rPr/>
            </w:pPr>
            <w:r>
              <w:rPr/>
              <w:t>Proceeds from restricted 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2,924</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lineRule="auto" w:line="300" w:before="0" w:after="0"/>
              <w:ind w:left="567" w:right="0" w:hanging="0"/>
              <w:jc w:val="left"/>
              <w:rPr/>
            </w:pPr>
            <w:r>
              <w:rPr/>
              <w:t>Investment in marketable securities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(75,653</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(84,881</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lineRule="auto" w:line="300" w:before="0" w:after="0"/>
              <w:ind w:left="567" w:right="0" w:hanging="0"/>
              <w:jc w:val="left"/>
              <w:rPr/>
            </w:pPr>
            <w:r>
              <w:rPr/>
              <w:t>Proceeds from maturity of 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46,057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lineRule="auto" w:line="300" w:before="0" w:after="0"/>
              <w:ind w:left="170" w:right="0" w:hanging="0"/>
              <w:jc w:val="left"/>
              <w:rPr/>
            </w:pPr>
            <w:r>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62,109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(149,956</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(27,523</w:t>
            </w:r>
          </w:p>
        </w:tc>
        <w:tc>
          <w:tcPr>
            <w:tcW w:w="110" w:type="dxa"/>
            <w:tcBorders/>
            <w:shd w:fill="CCEEFF" w:val="clear"/>
            <w:vAlign w:val="center"/>
          </w:tcPr>
          <w:p>
            <w:pPr>
              <w:pStyle w:val="TableContents"/>
              <w:bidi w:val="0"/>
              <w:spacing w:lineRule="auto" w:line="300" w:before="0" w:after="0"/>
              <w:jc w:val="left"/>
              <w:rPr/>
            </w:pPr>
            <w:r>
              <w:rPr/>
              <w:t>)</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lineRule="auto" w:line="300" w:before="0" w:after="0"/>
              <w:ind w:left="170" w:right="0" w:hanging="0"/>
              <w:jc w:val="left"/>
              <w:rPr>
                <w:u w:val="single"/>
              </w:rPr>
            </w:pPr>
            <w:r>
              <w:rPr>
                <w:u w:val="single"/>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lineRule="auto" w:line="300" w:before="0" w:after="0"/>
              <w:ind w:left="567" w:right="0" w:hanging="0"/>
              <w:jc w:val="left"/>
              <w:rPr/>
            </w:pPr>
            <w:r>
              <w:rPr/>
              <w:t>Proceeds from initial public offering, net of underwriting discounts and commissions and other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263,922</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lineRule="auto" w:line="300" w:before="0" w:after="0"/>
              <w:ind w:left="567" w:right="0" w:hanging="0"/>
              <w:jc w:val="left"/>
              <w:rPr/>
            </w:pPr>
            <w:r>
              <w:rPr/>
              <w:t>Proceeds from exercise of options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1,864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5,074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2,867</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lineRule="auto" w:line="300" w:before="0" w:after="0"/>
              <w:ind w:left="567" w:right="0" w:hanging="0"/>
              <w:jc w:val="left"/>
              <w:rPr/>
            </w:pPr>
            <w:r>
              <w:rPr/>
              <w:t>Proceeds from employees share purchase plan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4,102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9,717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lineRule="auto" w:line="300" w:before="0" w:after="0"/>
              <w:ind w:left="567" w:right="0" w:hanging="0"/>
              <w:jc w:val="left"/>
              <w:rPr/>
            </w:pPr>
            <w:r>
              <w:rPr/>
              <w:t>Issuance of preferred shares, net of issuance costs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pPr>
            <w:r>
              <w:rPr/>
              <w:t>10,000</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lineRule="auto" w:line="300" w:before="0" w:after="0"/>
              <w:ind w:left="170" w:right="0" w:hanging="0"/>
              <w:jc w:val="left"/>
              <w:rPr/>
            </w:pPr>
            <w:r>
              <w:rPr/>
              <w:t>Net cash provided by financing activities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pPr>
            <w:r>
              <w:rPr/>
              <w:t>5,966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pPr>
            <w:r>
              <w:rPr/>
              <w:t>14,791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pPr>
            <w:r>
              <w:rPr/>
              <w:t>276,789</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lineRule="auto" w:line="300" w:before="0" w:after="0"/>
              <w:ind w:left="147" w:right="0" w:hanging="0"/>
              <w:jc w:val="left"/>
              <w:rPr/>
            </w:pPr>
            <w:r>
              <w:rPr/>
              <w:t>Effect of foreign currency exchange rate changes on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(560</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(850</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(685</w:t>
            </w:r>
          </w:p>
        </w:tc>
        <w:tc>
          <w:tcPr>
            <w:tcW w:w="110" w:type="dxa"/>
            <w:tcBorders/>
            <w:shd w:fill="CCEEFF" w:val="clear"/>
            <w:vAlign w:val="center"/>
          </w:tcPr>
          <w:p>
            <w:pPr>
              <w:pStyle w:val="TableContents"/>
              <w:bidi w:val="0"/>
              <w:spacing w:lineRule="auto" w:line="300" w:before="0" w:after="0"/>
              <w:jc w:val="left"/>
              <w:rPr/>
            </w:pPr>
            <w:r>
              <w:rPr/>
              <w:t>)</w:t>
            </w:r>
          </w:p>
        </w:tc>
      </w:tr>
      <w:tr>
        <w:trPr/>
        <w:tc>
          <w:tcPr>
            <w:tcW w:w="6830" w:type="dxa"/>
            <w:tcBorders/>
            <w:vAlign w:val="center"/>
          </w:tcPr>
          <w:p>
            <w:pPr>
              <w:pStyle w:val="TableContents"/>
              <w:bidi w:val="0"/>
              <w:spacing w:lineRule="auto" w:line="300" w:before="0" w:after="0"/>
              <w:ind w:left="170" w:right="0" w:hanging="0"/>
              <w:jc w:val="left"/>
              <w:rPr/>
            </w:pPr>
            <w:r>
              <w:rPr/>
              <w:t>Increase (decrease) in cash, cash equivalents and restricted cash</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82,795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(182,823</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214,356</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lineRule="auto" w:line="300" w:before="0" w:after="0"/>
              <w:ind w:left="170" w:right="0" w:hanging="0"/>
              <w:jc w:val="left"/>
              <w:rPr/>
            </w:pPr>
            <w:r>
              <w:rPr/>
              <w:t>Cash, cash equivalents and restricted cash -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94,428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277,251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62,895</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lineRule="auto" w:line="300" w:before="0" w:after="0"/>
              <w:ind w:left="170" w:right="0" w:hanging="0"/>
              <w:jc w:val="left"/>
              <w:rPr/>
            </w:pPr>
            <w:r>
              <w:rPr/>
              <w:t>Cash, cash equivalents and restricted cash - End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w:t>
            </w:r>
          </w:p>
        </w:tc>
        <w:tc>
          <w:tcPr>
            <w:tcW w:w="8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177,223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94,428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w:t>
            </w:r>
          </w:p>
        </w:tc>
        <w:tc>
          <w:tcPr>
            <w:tcW w:w="8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277,251</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lineRule="auto" w:line="300" w:before="0" w:after="0"/>
              <w:jc w:val="left"/>
              <w:rPr>
                <w:u w:val="single"/>
              </w:rPr>
            </w:pPr>
            <w:r>
              <w:rPr>
                <w:u w:val="single"/>
              </w:rPr>
              <w:t>Supplemental disclosures of cash flow information: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lineRule="auto" w:line="300" w:before="0" w:after="0"/>
              <w:ind w:left="170" w:right="0" w:hanging="0"/>
              <w:jc w:val="left"/>
              <w:rPr/>
            </w:pPr>
            <w:r>
              <w:rPr/>
              <w:t>Cash paid for income taxes, net of refunds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800" w:type="dxa"/>
            <w:tcBorders/>
            <w:shd w:fill="CCEEFF" w:val="clear"/>
            <w:vAlign w:val="center"/>
          </w:tcPr>
          <w:p>
            <w:pPr>
              <w:pStyle w:val="TableContents"/>
              <w:bidi w:val="0"/>
              <w:spacing w:lineRule="auto" w:line="300" w:before="0" w:after="0"/>
              <w:jc w:val="right"/>
              <w:rPr/>
            </w:pPr>
            <w:r>
              <w:rPr/>
              <w:t>3,310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875" w:type="dxa"/>
            <w:tcBorders/>
            <w:shd w:fill="CCEEFF" w:val="clear"/>
            <w:vAlign w:val="center"/>
          </w:tcPr>
          <w:p>
            <w:pPr>
              <w:pStyle w:val="TableContents"/>
              <w:bidi w:val="0"/>
              <w:spacing w:lineRule="auto" w:line="300" w:before="0" w:after="0"/>
              <w:jc w:val="right"/>
              <w:rPr/>
            </w:pPr>
            <w:r>
              <w:rPr/>
              <w:t>(572</w:t>
            </w:r>
          </w:p>
        </w:tc>
        <w:tc>
          <w:tcPr>
            <w:tcW w:w="95" w:type="dxa"/>
            <w:tcBorders/>
            <w:shd w:fill="CCEEFF" w:val="clear"/>
            <w:vAlign w:val="center"/>
          </w:tcPr>
          <w:p>
            <w:pPr>
              <w:pStyle w:val="TableContents"/>
              <w:bidi w:val="0"/>
              <w:spacing w:lineRule="auto" w:line="300"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800" w:type="dxa"/>
            <w:tcBorders/>
            <w:shd w:fill="CCEEFF" w:val="clear"/>
            <w:vAlign w:val="center"/>
          </w:tcPr>
          <w:p>
            <w:pPr>
              <w:pStyle w:val="TableContents"/>
              <w:bidi w:val="0"/>
              <w:spacing w:lineRule="auto" w:line="300" w:before="0" w:after="0"/>
              <w:jc w:val="right"/>
              <w:rPr/>
            </w:pPr>
            <w:r>
              <w:rPr/>
              <w:t>365</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lineRule="auto" w:line="300" w:before="0" w:after="0"/>
              <w:jc w:val="left"/>
              <w:rPr>
                <w:u w:val="single"/>
              </w:rPr>
            </w:pPr>
            <w:r>
              <w:rPr>
                <w:u w:val="single"/>
              </w:rPr>
              <w:t>Supplemental disclosures of noncash investing and financing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lineRule="auto" w:line="300" w:before="0" w:after="0"/>
              <w:ind w:left="170" w:right="0" w:hanging="0"/>
              <w:jc w:val="left"/>
              <w:rPr/>
            </w:pPr>
            <w:r>
              <w:rPr/>
              <w:t>Lease liabilities arising from obtaining right-of-use-assets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800" w:type="dxa"/>
            <w:tcBorders/>
            <w:shd w:fill="CCEEFF" w:val="clear"/>
            <w:vAlign w:val="center"/>
          </w:tcPr>
          <w:p>
            <w:pPr>
              <w:pStyle w:val="TableContents"/>
              <w:bidi w:val="0"/>
              <w:spacing w:lineRule="auto" w:line="300" w:before="0" w:after="0"/>
              <w:jc w:val="right"/>
              <w:rPr/>
            </w:pPr>
            <w:r>
              <w:rPr/>
              <w:t>10,155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875" w:type="dxa"/>
            <w:tcBorders/>
            <w:shd w:fill="CCEEFF" w:val="clear"/>
            <w:vAlign w:val="center"/>
          </w:tcPr>
          <w:p>
            <w:pPr>
              <w:pStyle w:val="TableContents"/>
              <w:bidi w:val="0"/>
              <w:spacing w:lineRule="auto" w:line="300" w:before="0" w:after="0"/>
              <w:jc w:val="right"/>
              <w:rPr/>
            </w:pPr>
            <w:r>
              <w:rPr/>
              <w:t>14,240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800" w:type="dxa"/>
            <w:tcBorders/>
            <w:shd w:fill="CCEEFF" w:val="clear"/>
            <w:vAlign w:val="center"/>
          </w:tcPr>
          <w:p>
            <w:pPr>
              <w:pStyle w:val="TableContents"/>
              <w:bidi w:val="0"/>
              <w:spacing w:lineRule="auto" w:line="300"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lineRule="auto" w:line="300" w:before="0" w:after="0"/>
              <w:ind w:left="170" w:right="0" w:hanging="0"/>
              <w:jc w:val="left"/>
              <w:rPr/>
            </w:pPr>
            <w:r>
              <w:rPr/>
              <w:t>Purchase of property and equipment, accrued but not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800" w:type="dxa"/>
            <w:tcBorders/>
            <w:vAlign w:val="center"/>
          </w:tcPr>
          <w:p>
            <w:pPr>
              <w:pStyle w:val="TableContents"/>
              <w:bidi w:val="0"/>
              <w:spacing w:lineRule="auto" w:line="300" w:before="0" w:after="0"/>
              <w:jc w:val="right"/>
              <w:rPr/>
            </w:pPr>
            <w:r>
              <w:rPr/>
              <w:t>(35</w:t>
            </w:r>
          </w:p>
        </w:tc>
        <w:tc>
          <w:tcPr>
            <w:tcW w:w="95"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875" w:type="dxa"/>
            <w:tcBorders/>
            <w:vAlign w:val="center"/>
          </w:tcPr>
          <w:p>
            <w:pPr>
              <w:pStyle w:val="TableContents"/>
              <w:bidi w:val="0"/>
              <w:spacing w:lineRule="auto" w:line="300" w:before="0" w:after="0"/>
              <w:jc w:val="right"/>
              <w:rPr/>
            </w:pPr>
            <w:r>
              <w:rPr/>
              <w:t>268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800" w:type="dxa"/>
            <w:tcBorders/>
            <w:vAlign w:val="center"/>
          </w:tcPr>
          <w:p>
            <w:pPr>
              <w:pStyle w:val="TableContents"/>
              <w:bidi w:val="0"/>
              <w:spacing w:lineRule="auto" w:line="300" w:before="0" w:after="0"/>
              <w:jc w:val="right"/>
              <w:rPr/>
            </w:pPr>
            <w:r>
              <w:rPr/>
              <w:t>180</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lineRule="auto" w:line="300" w:before="0" w:after="0"/>
              <w:ind w:left="170" w:right="0" w:hanging="0"/>
              <w:jc w:val="left"/>
              <w:rPr/>
            </w:pPr>
            <w:r>
              <w:rPr/>
              <w:t>Issuance of ordinary shares in connection with asset acquisition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800"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875"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pPr>
            <w:r>
              <w:rPr/>
              <w:t>$</w:t>
            </w:r>
          </w:p>
        </w:tc>
        <w:tc>
          <w:tcPr>
            <w:tcW w:w="800" w:type="dxa"/>
            <w:tcBorders/>
            <w:shd w:fill="CCEEFF" w:val="clear"/>
            <w:vAlign w:val="center"/>
          </w:tcPr>
          <w:p>
            <w:pPr>
              <w:pStyle w:val="TableContents"/>
              <w:bidi w:val="0"/>
              <w:spacing w:lineRule="auto" w:line="300" w:before="0" w:after="0"/>
              <w:jc w:val="right"/>
              <w:rPr/>
            </w:pPr>
            <w:r>
              <w:rPr/>
              <w:t>776</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lineRule="auto" w:line="300" w:before="0" w:after="0"/>
              <w:ind w:left="170" w:right="0" w:hanging="0"/>
              <w:jc w:val="left"/>
              <w:rPr/>
            </w:pPr>
            <w:r>
              <w:rPr/>
              <w:t>Conversion of convertible preferred shares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800"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875"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800" w:type="dxa"/>
            <w:tcBorders/>
            <w:vAlign w:val="center"/>
          </w:tcPr>
          <w:p>
            <w:pPr>
              <w:pStyle w:val="TableContents"/>
              <w:bidi w:val="0"/>
              <w:spacing w:lineRule="auto" w:line="300" w:before="0" w:after="0"/>
              <w:jc w:val="right"/>
              <w:rPr/>
            </w:pPr>
            <w:r>
              <w:rPr/>
              <w:t>310,490</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lineRule="auto" w:line="300" w:before="0" w:after="0"/>
              <w:jc w:val="left"/>
              <w:rPr>
                <w:u w:val="single"/>
              </w:rPr>
            </w:pPr>
            <w:r>
              <w:rPr>
                <w:u w:val="single"/>
              </w:rPr>
              <w:t>Reconciliation of cash, cash equivalents and restricted cash within the consolidated balance sheets to the amounts shown in the consolidated statements of cash flows above: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lineRule="auto" w:line="300" w:before="0" w:after="0"/>
              <w:ind w:left="170" w:right="0" w:hanging="0"/>
              <w:jc w:val="left"/>
              <w:rPr/>
            </w:pPr>
            <w:r>
              <w:rPr/>
              <w:t>Cash and cash equivalents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800" w:type="dxa"/>
            <w:tcBorders/>
            <w:vAlign w:val="center"/>
          </w:tcPr>
          <w:p>
            <w:pPr>
              <w:pStyle w:val="TableContents"/>
              <w:bidi w:val="0"/>
              <w:spacing w:lineRule="auto" w:line="300" w:before="0" w:after="0"/>
              <w:jc w:val="right"/>
              <w:rPr/>
            </w:pPr>
            <w:r>
              <w:rPr/>
              <w:t>177,223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875" w:type="dxa"/>
            <w:tcBorders/>
            <w:vAlign w:val="center"/>
          </w:tcPr>
          <w:p>
            <w:pPr>
              <w:pStyle w:val="TableContents"/>
              <w:bidi w:val="0"/>
              <w:spacing w:lineRule="auto" w:line="300" w:before="0" w:after="0"/>
              <w:jc w:val="right"/>
              <w:rPr/>
            </w:pPr>
            <w:r>
              <w:rPr/>
              <w:t>94,105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800" w:type="dxa"/>
            <w:tcBorders/>
            <w:vAlign w:val="center"/>
          </w:tcPr>
          <w:p>
            <w:pPr>
              <w:pStyle w:val="TableContents"/>
              <w:bidi w:val="0"/>
              <w:spacing w:lineRule="auto" w:line="300" w:before="0" w:after="0"/>
              <w:jc w:val="right"/>
              <w:rPr/>
            </w:pPr>
            <w:r>
              <w:rPr/>
              <w:t>276,889</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lineRule="auto" w:line="300" w:before="0" w:after="0"/>
              <w:ind w:left="170" w:right="0" w:hanging="0"/>
              <w:jc w:val="left"/>
              <w:rPr/>
            </w:pPr>
            <w:r>
              <w:rPr/>
              <w:t>Restricted cash – included in short-term and long-term restricted deposits.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362</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800" w:type="dxa"/>
            <w:tcBorders/>
            <w:vAlign w:val="center"/>
          </w:tcPr>
          <w:p>
            <w:pPr>
              <w:pStyle w:val="TableContents"/>
              <w:bidi w:val="0"/>
              <w:spacing w:lineRule="auto" w:line="300" w:before="0" w:after="0"/>
              <w:jc w:val="right"/>
              <w:rPr/>
            </w:pPr>
            <w:r>
              <w:rPr/>
              <w:t>177,223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875" w:type="dxa"/>
            <w:tcBorders/>
            <w:vAlign w:val="center"/>
          </w:tcPr>
          <w:p>
            <w:pPr>
              <w:pStyle w:val="TableContents"/>
              <w:bidi w:val="0"/>
              <w:spacing w:lineRule="auto" w:line="300" w:before="0" w:after="0"/>
              <w:jc w:val="right"/>
              <w:rPr/>
            </w:pPr>
            <w:r>
              <w:rPr/>
              <w:t>94,428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pPr>
            <w:r>
              <w:rPr/>
              <w:t>$</w:t>
            </w:r>
          </w:p>
        </w:tc>
        <w:tc>
          <w:tcPr>
            <w:tcW w:w="800" w:type="dxa"/>
            <w:tcBorders/>
            <w:vAlign w:val="center"/>
          </w:tcPr>
          <w:p>
            <w:pPr>
              <w:pStyle w:val="TableContents"/>
              <w:bidi w:val="0"/>
              <w:spacing w:lineRule="auto" w:line="300" w:before="0" w:after="0"/>
              <w:jc w:val="right"/>
              <w:rPr/>
            </w:pPr>
            <w:r>
              <w:rPr/>
              <w:t>277,251</w:t>
            </w:r>
          </w:p>
        </w:tc>
        <w:tc>
          <w:tcPr>
            <w:tcW w:w="110" w:type="dxa"/>
            <w:tcBorders/>
            <w:vAlign w:val="center"/>
          </w:tcPr>
          <w:p>
            <w:pPr>
              <w:pStyle w:val="TableContents"/>
              <w:bidi w:val="0"/>
              <w:spacing w:before="0" w:after="283"/>
              <w:jc w:val="left"/>
              <w:rPr/>
            </w:pPr>
            <w:r>
              <w:rPr/>
              <w:t> </w:t>
            </w:r>
          </w:p>
        </w:tc>
      </w:tr>
    </w:tbl>
    <w:p>
      <w:pPr>
        <w:pStyle w:val="TextBody"/>
        <w:bidi w:val="0"/>
        <w:spacing w:lineRule="auto" w:line="300" w:before="0" w:after="0"/>
        <w:jc w:val="center"/>
        <w:rPr/>
      </w:pPr>
      <w:r>
        <w:rPr/>
        <w:t> </w:t>
      </w:r>
    </w:p>
    <w:p>
      <w:pPr>
        <w:pStyle w:val="TextBody"/>
        <w:bidi w:val="0"/>
        <w:spacing w:lineRule="auto" w:line="300" w:before="0" w:after="0"/>
        <w:jc w:val="center"/>
        <w:rPr>
          <w:sz w:val="20"/>
        </w:rPr>
      </w:pPr>
      <w:r>
        <w:rPr>
          <w:sz w:val="20"/>
        </w:rPr>
        <w:t>The accompanying notes are an integral part of the consolidated financial statements.</w:t>
      </w:r>
    </w:p>
    <w:p>
      <w:pPr>
        <w:pStyle w:val="TextBody"/>
        <w:bidi w:val="0"/>
        <w:spacing w:lineRule="auto" w:line="300" w:before="0" w:after="0"/>
        <w:ind w:left="6" w:right="0" w:hanging="0"/>
        <w:jc w:val="right"/>
        <w:rPr/>
      </w:pPr>
      <w:r>
        <w:rPr/>
        <w:t> </w:t>
      </w:r>
    </w:p>
    <w:p>
      <w:pPr>
        <w:pStyle w:val="TextBody"/>
        <w:bidi w:val="0"/>
        <w:spacing w:before="200" w:after="200"/>
        <w:jc w:val="center"/>
        <w:rPr>
          <w:b w:val="false"/>
          <w:i w:val="false"/>
          <w:caps w:val="false"/>
          <w:smallCaps w:val="false"/>
          <w:sz w:val="20"/>
        </w:rPr>
      </w:pPr>
      <w:r>
        <w:rPr>
          <w:b w:val="false"/>
          <w:i w:val="false"/>
          <w:caps w:val="false"/>
          <w:smallCaps w:val="false"/>
          <w:sz w:val="20"/>
        </w:rPr>
        <w:t>F-8</w:t>
      </w:r>
    </w:p>
    <w:p>
      <w:pPr>
        <w:pStyle w:val="HorizontalLine"/>
        <w:bidi w:val="0"/>
        <w:spacing w:before="200" w:after="200"/>
        <w:jc w:val="left"/>
        <w:rPr/>
      </w:pPr>
      <w:r>
        <w:rPr/>
      </w:r>
    </w:p>
    <w:p>
      <w:pPr>
        <w:pStyle w:val="TextBody"/>
        <w:bidi w:val="0"/>
        <w:spacing w:lineRule="auto" w:line="300" w:before="0" w:after="160"/>
        <w:ind w:left="6" w:right="0" w:hanging="0"/>
        <w:jc w:val="right"/>
        <w:rPr/>
      </w:pPr>
      <w:r>
        <w:rPr/>
        <w:t xml:space="preserve">  </w:t>
      </w:r>
      <w:r>
        <w:rPr>
          <w:rFonts w:ascii="Times New Roman;Times;serif" w:hAnsi="Times New Roman;Times;serif"/>
          <w:b/>
          <w:sz w:val="20"/>
        </w:rPr>
        <w:t>WALKME LTD. AND ITS SUBSIDIARIES</w:t>
      </w:r>
    </w:p>
    <w:p>
      <w:pPr>
        <w:pStyle w:val="TextBody"/>
        <w:bidi w:val="0"/>
        <w:spacing w:lineRule="auto" w:line="300" w:before="0" w:after="0"/>
        <w:jc w:val="left"/>
        <w:rPr>
          <w:rFonts w:ascii="Times New Roman;Times;serif" w:hAnsi="Times New Roman;Times;serif"/>
          <w:b/>
          <w:sz w:val="20"/>
        </w:rPr>
      </w:pPr>
      <w:bookmarkStart w:id="356" w:name="notesToConsolidatedFinancialStatements_i"/>
      <w:bookmarkStart w:id="357" w:name="NOTESTOCONSOLIDATEDFINANCIALSTATEMENTS_i"/>
      <w:bookmarkEnd w:id="356"/>
      <w:bookmarkEnd w:id="357"/>
      <w:r>
        <w:rPr>
          <w:rFonts w:ascii="Times New Roman;Times;serif" w:hAnsi="Times New Roman;Times;serif"/>
          <w:b/>
          <w:sz w:val="20"/>
        </w:rPr>
        <w:t>NOTES TO CONSOLIDATED FINANCIAL STATEMENTS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 GENERAL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WalkMe Ltd. (together with its subsidiaries, The "Company") was incorporated under the laws of Israel and commenced its operations on October 26, 2011. The Company provides a cloud-based Digital Adoption Platform that enables organizations to better realize the value of their software investments. The Digital Adoption Platform drives the success of digital transformation initiatives by empowering the Company’s customers with critical business insights to increase software adoption and improve user experiences for their employees and customers. WalkMe Ltd. has subsidiaries in the US, Australia, United Kingdom, Singapore, Canada, Germany, and Japan.</w:t>
      </w:r>
    </w:p>
    <w:p>
      <w:pPr>
        <w:pStyle w:val="TextBody"/>
        <w:bidi w:val="0"/>
        <w:spacing w:lineRule="auto" w:line="300" w:before="0" w:after="0"/>
        <w:jc w:val="left"/>
        <w:rPr/>
      </w:pPr>
      <w:r>
        <w:rPr/>
        <w:t> </w:t>
      </w:r>
    </w:p>
    <w:p>
      <w:pPr>
        <w:pStyle w:val="TextBody"/>
        <w:bidi w:val="0"/>
        <w:spacing w:lineRule="auto" w:line="300"/>
        <w:jc w:val="both"/>
        <w:rPr>
          <w:rFonts w:ascii="Times New Roman;Times;serif" w:hAnsi="Times New Roman;Times;serif"/>
          <w:sz w:val="20"/>
        </w:rPr>
      </w:pPr>
      <w:r>
        <w:rPr>
          <w:rFonts w:ascii="Times New Roman;Times;serif" w:hAnsi="Times New Roman;Times;serif"/>
          <w:sz w:val="20"/>
        </w:rPr>
        <w:t>On June 16, 2021, the Company completed its initial public offering (“IPO”), in which the Company issued and sold 9,250,000 shares of its ordinary shares at an offering price of $31.00 per share. The Company received net proceeds of $263,911 after deducting underwriting discounts and commissions of $18,639, and other issuance costs of $4,200. Immediately prior to the closing of the IPO, all convertible preferred shares then outstanding automatically converted into 59,180,522 ordinary shares.</w:t>
      </w:r>
    </w:p>
    <w:p>
      <w:pPr>
        <w:pStyle w:val="TextBody"/>
        <w:bidi w:val="0"/>
        <w:spacing w:before="0" w:after="0"/>
        <w:jc w:val="left"/>
        <w:rPr/>
      </w:pPr>
      <w:r>
        <w:rPr/>
        <w:t> </w:t>
      </w:r>
    </w:p>
    <w:p>
      <w:pPr>
        <w:pStyle w:val="TextBody"/>
        <w:bidi w:val="0"/>
        <w:spacing w:lineRule="auto" w:line="300" w:before="0" w:after="0"/>
        <w:jc w:val="left"/>
        <w:rPr>
          <w:sz w:val="20"/>
        </w:rPr>
      </w:pPr>
      <w:r>
        <w:rPr>
          <w:rFonts w:ascii="Times New Roman;Times;serif" w:hAnsi="Times New Roman;Times;serif"/>
          <w:b/>
          <w:sz w:val="20"/>
        </w:rPr>
        <w:t>NOTE 2:</w:t>
      </w:r>
      <w:r>
        <w:rPr>
          <w:sz w:val="20"/>
        </w:rPr>
        <w:t> </w:t>
      </w:r>
      <w:r>
        <w:rPr>
          <w:rFonts w:ascii="Times New Roman;Times;serif" w:hAnsi="Times New Roman;Times;serif"/>
          <w:b/>
          <w:sz w:val="20"/>
        </w:rPr>
        <w:t>SUMMARY OF SIGNIFICANT ACCOUNTING POLICIES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consolidated financial statements are prepared in accordance with generally accepted accounting principles in the United States ("U.S. GAAP") as set forth in the Financial Accounting Standards Board (FASB) Accounting Standards Codification (ASC).</w:t>
      </w:r>
    </w:p>
    <w:p>
      <w:pPr>
        <w:pStyle w:val="TextBody"/>
        <w:bidi w:val="0"/>
        <w:spacing w:lineRule="auto" w:line="300"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170"/>
        <w:gridCol w:w="228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28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Principles of consolidation:</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consolidated financial statements include accounts of the Company’s wholly-owned subsidiaries as well as the Japanese subsidiary in which the Company controls a majority stake. All intercompany accounts and transactions are eliminated.</w:t>
      </w:r>
    </w:p>
    <w:p>
      <w:pPr>
        <w:pStyle w:val="TextBody"/>
        <w:bidi w:val="0"/>
        <w:spacing w:lineRule="auto" w:line="300" w:before="0" w:after="0"/>
        <w:jc w:val="left"/>
        <w:rPr/>
      </w:pPr>
      <w:r>
        <w:rPr/>
        <w:t> </w:t>
      </w:r>
    </w:p>
    <w:tbl>
      <w:tblPr>
        <w:tblW w:w="1585" w:type="dxa"/>
        <w:jc w:val="left"/>
        <w:tblInd w:w="0" w:type="dxa"/>
        <w:tblLayout w:type="fixed"/>
        <w:tblCellMar>
          <w:top w:w="0" w:type="dxa"/>
          <w:left w:w="0" w:type="dxa"/>
          <w:bottom w:w="0" w:type="dxa"/>
          <w:right w:w="0" w:type="dxa"/>
        </w:tblCellMar>
      </w:tblPr>
      <w:tblGrid>
        <w:gridCol w:w="185"/>
        <w:gridCol w:w="140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4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Use of estimates: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judgments and assumptions that affect the amounts reported in the consolidated financial statements and accompanying notes. Significant items subject to such estimates and assumptions include, but are not limited to income taxes, share-based compensation, deferred contract acquisition costs, capitalized software development costs, as well as in estimates used in applying the revenue recognition policy. The Company's management believes that the estimates, judgment and assumptions used are reasonable based upon information available at the time they are made. These estimates, judgments and assumptions can affect the reported amounts of assets and liabilities at the dates of the consolidated financial statements, and the reported amounts of revenue and expenses during the reporting period. Actual results could differ from those estimates.</w:t>
      </w:r>
    </w:p>
    <w:p>
      <w:pPr>
        <w:pStyle w:val="TextBody"/>
        <w:bidi w:val="0"/>
        <w:spacing w:lineRule="auto" w:line="300" w:before="0" w:after="0"/>
        <w:jc w:val="left"/>
        <w:rPr/>
      </w:pPr>
      <w:r>
        <w:rPr/>
        <w:t> </w:t>
      </w:r>
    </w:p>
    <w:tbl>
      <w:tblPr>
        <w:tblW w:w="1645" w:type="dxa"/>
        <w:jc w:val="left"/>
        <w:tblInd w:w="0" w:type="dxa"/>
        <w:tblLayout w:type="fixed"/>
        <w:tblCellMar>
          <w:top w:w="0" w:type="dxa"/>
          <w:left w:w="0" w:type="dxa"/>
          <w:bottom w:w="0" w:type="dxa"/>
          <w:right w:w="0" w:type="dxa"/>
        </w:tblCellMar>
      </w:tblPr>
      <w:tblGrid>
        <w:gridCol w:w="170"/>
        <w:gridCol w:w="147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r>
              <w:rPr>
                <w:rFonts w:ascii="Times New Roman;Times;serif" w:hAnsi="Times New Roman;Times;serif"/>
                <w:b/>
                <w:sz w:val="20"/>
              </w:rPr>
              <w:t>.</w:t>
            </w:r>
          </w:p>
        </w:tc>
        <w:tc>
          <w:tcPr>
            <w:tcW w:w="14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Foreign currency:</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Most of the Company’s revenues and costs are denominated in U.S. dollar. The Company’s management believes that the dollar is the primary currency of the economic environment in which the Company operate, thus, the functional and reporting currency of the Company is the U.S. dollar, with the exception of its Japanese subsidiary, for which the Japanese Yen is the functional currency. Accordingly, monetary accounts maintained in currencies other than the U.S. dollar are re-measured into U.S. dollars in accordance with Accounting Standard Codification ("ASC") No. 830 "Foreign Currency Matters." All transaction gains and losses of the re-measured monetary balance sheet items are reflected in the consolidated statements of operations as financial income or expenses, as appropriate.</w:t>
      </w:r>
    </w:p>
    <w:p>
      <w:pPr>
        <w:pStyle w:val="TextBody"/>
        <w:bidi w:val="0"/>
        <w:spacing w:lineRule="auto" w:line="300" w:before="0" w:after="0"/>
        <w:jc w:val="left"/>
        <w:rPr/>
      </w:pPr>
      <w:r>
        <w:rPr/>
        <w:t> </w:t>
      </w:r>
    </w:p>
    <w:p>
      <w:pPr>
        <w:pStyle w:val="TextBody"/>
        <w:bidi w:val="0"/>
        <w:spacing w:lineRule="auto" w:line="300"/>
        <w:ind w:left="426" w:right="0" w:hanging="0"/>
        <w:jc w:val="both"/>
        <w:rPr>
          <w:rFonts w:ascii="Times New Roman;Times;serif" w:hAnsi="Times New Roman;Times;serif"/>
          <w:sz w:val="20"/>
        </w:rPr>
      </w:pPr>
      <w:r>
        <w:rPr>
          <w:rFonts w:ascii="Times New Roman;Times;serif" w:hAnsi="Times New Roman;Times;serif"/>
          <w:sz w:val="20"/>
        </w:rPr>
        <w:t>The financial statements of the Japanese subsidiary are translated to U.S. dollars using the balance sheet date exchange rates for assets and liabilities, historical rates of exchange for equity, and average exchange rates in the period for revenues and expenses. The effects of foreign currency translation adjustments are included in shareholders’ equity as a component of accumulated other comprehensive income (loss) in the accompanying consolidated balance sheets.</w:t>
      </w:r>
    </w:p>
    <w:p>
      <w:pPr>
        <w:pStyle w:val="TextBody"/>
        <w:bidi w:val="0"/>
        <w:spacing w:before="0" w:after="0"/>
        <w:ind w:left="0" w:right="0" w:hanging="0"/>
        <w:jc w:val="left"/>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w:t>
      </w:r>
    </w:p>
    <w:p>
      <w:pPr>
        <w:pStyle w:val="HorizontalLine"/>
        <w:bidi w:val="0"/>
        <w:spacing w:lineRule="auto" w:line="300" w:before="200" w:after="200"/>
        <w:jc w:val="left"/>
        <w:rPr/>
      </w:pPr>
      <w:r>
        <w:rPr/>
      </w:r>
    </w:p>
    <w:p>
      <w:pPr>
        <w:pStyle w:val="TextBody"/>
        <w:bidi w:val="0"/>
        <w:spacing w:lineRule="auto" w:line="300" w:before="0" w:after="160"/>
        <w:ind w:left="6" w:right="0" w:hanging="0"/>
        <w:jc w:val="right"/>
        <w:rPr>
          <w:rFonts w:ascii="Times New Roman;Times;serif" w:hAnsi="Times New Roman;Times;serif"/>
          <w:b/>
          <w:sz w:val="20"/>
        </w:rPr>
      </w:pPr>
      <w:r>
        <w:rPr>
          <w:rFonts w:ascii="Times New Roman;Times;serif" w:hAnsi="Times New Roman;Times;serif"/>
          <w:b/>
          <w:sz w:val="20"/>
        </w:rPr>
        <w:t>WALKME LTD. AND ITS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HorizontalLine"/>
        <w:bidi w:val="0"/>
        <w:spacing w:lineRule="auto" w:line="300" w:before="0" w:after="0"/>
        <w:jc w:val="left"/>
        <w:rPr/>
      </w:pPr>
      <w:r>
        <w:rPr/>
      </w:r>
    </w:p>
    <w:p>
      <w:pPr>
        <w:pStyle w:val="TextBody"/>
        <w:bidi w:val="0"/>
        <w:spacing w:lineRule="auto" w:line="300" w:before="0" w:after="0"/>
        <w:jc w:val="left"/>
        <w:rPr>
          <w:sz w:val="20"/>
        </w:rPr>
      </w:pPr>
      <w:r>
        <w:rPr>
          <w:rFonts w:ascii="Times New Roman;Times;serif" w:hAnsi="Times New Roman;Times;serif"/>
          <w:b/>
          <w:sz w:val="20"/>
        </w:rPr>
        <w:t>NOTE 2:</w:t>
      </w:r>
      <w:r>
        <w:rPr>
          <w:sz w:val="20"/>
        </w:rPr>
        <w:t> </w:t>
      </w:r>
      <w:r>
        <w:rPr>
          <w:rFonts w:ascii="Times New Roman;Times;serif" w:hAnsi="Times New Roman;Times;serif"/>
          <w:b/>
          <w:sz w:val="20"/>
        </w:rPr>
        <w:t>SUMMARY OF SIGNIFICANT ACCOUNTING POLICIES (Cont.)</w:t>
      </w:r>
      <w:r>
        <w:rPr>
          <w:sz w:val="20"/>
        </w:rPr>
        <w:t xml:space="preserve"> </w:t>
      </w:r>
    </w:p>
    <w:p>
      <w:pPr>
        <w:pStyle w:val="TextBody"/>
        <w:bidi w:val="0"/>
        <w:spacing w:lineRule="auto" w:line="300" w:before="0" w:after="0"/>
        <w:ind w:left="0" w:right="0" w:hanging="0"/>
        <w:jc w:val="left"/>
        <w:rPr/>
      </w:pPr>
      <w:r>
        <w:rPr/>
        <w:t> </w:t>
      </w:r>
    </w:p>
    <w:tbl>
      <w:tblPr>
        <w:tblW w:w="2425" w:type="dxa"/>
        <w:jc w:val="left"/>
        <w:tblInd w:w="0" w:type="dxa"/>
        <w:tblLayout w:type="fixed"/>
        <w:tblCellMar>
          <w:top w:w="0" w:type="dxa"/>
          <w:left w:w="0" w:type="dxa"/>
          <w:bottom w:w="0" w:type="dxa"/>
          <w:right w:w="0" w:type="dxa"/>
        </w:tblCellMar>
      </w:tblPr>
      <w:tblGrid>
        <w:gridCol w:w="185"/>
        <w:gridCol w:w="224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22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Cash and cash equivalents: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Cash equivalents are short-term, highly liquid investments that are readily convertible to cash with original maturities of three months or less, at the date acquired. As of December 31, 2023 and 2022, the Company’s cash and cash equivalents consisted of $164,466 and $46,105 of cash held in the Company’s checking accounts and money market funds and $12,757 and $48,000 bank deposits with original maturities of three months or less, respectively.</w:t>
      </w:r>
    </w:p>
    <w:p>
      <w:pPr>
        <w:pStyle w:val="TextBody"/>
        <w:bidi w:val="0"/>
        <w:spacing w:lineRule="auto" w:line="300" w:before="0" w:after="0"/>
        <w:jc w:val="left"/>
        <w:rPr/>
      </w:pPr>
      <w:r>
        <w:rPr/>
        <w:t> </w:t>
      </w:r>
    </w:p>
    <w:tbl>
      <w:tblPr>
        <w:tblW w:w="2290" w:type="dxa"/>
        <w:jc w:val="left"/>
        <w:tblInd w:w="0" w:type="dxa"/>
        <w:tblLayout w:type="fixed"/>
        <w:tblCellMar>
          <w:top w:w="0" w:type="dxa"/>
          <w:left w:w="0" w:type="dxa"/>
          <w:bottom w:w="0" w:type="dxa"/>
          <w:right w:w="0" w:type="dxa"/>
        </w:tblCellMar>
      </w:tblPr>
      <w:tblGrid>
        <w:gridCol w:w="170"/>
        <w:gridCol w:w="212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21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Short-term bank deposits: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Short-term bank deposits are deposits with maturities of more than three months and less than one year. As of December 31, 2023 and 2022, the Company’s bank deposits are denominated in U.S. dollars and bears yearly interest at weighted average rates of 5.71% and 4.84%. Short-term bank deposits are presented at their cost, including accrued interest.</w:t>
      </w:r>
    </w:p>
    <w:p>
      <w:pPr>
        <w:pStyle w:val="TextBody"/>
        <w:bidi w:val="0"/>
        <w:spacing w:lineRule="auto" w:line="300" w:before="0" w:after="0"/>
        <w:jc w:val="left"/>
        <w:rPr/>
      </w:pPr>
      <w:r>
        <w:rPr/>
        <w:t> </w:t>
      </w:r>
    </w:p>
    <w:tbl>
      <w:tblPr>
        <w:tblW w:w="1780" w:type="dxa"/>
        <w:jc w:val="left"/>
        <w:tblInd w:w="0" w:type="dxa"/>
        <w:tblLayout w:type="fixed"/>
        <w:tblCellMar>
          <w:top w:w="0" w:type="dxa"/>
          <w:left w:w="0" w:type="dxa"/>
          <w:bottom w:w="0" w:type="dxa"/>
          <w:right w:w="0" w:type="dxa"/>
        </w:tblCellMar>
      </w:tblPr>
      <w:tblGrid>
        <w:gridCol w:w="140"/>
        <w:gridCol w:w="164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6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Restricted deposits: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These deposits are used as security for rental of premises and classified according to the lease agreements’ term.</w:t>
      </w:r>
    </w:p>
    <w:p>
      <w:pPr>
        <w:pStyle w:val="TextBody"/>
        <w:bidi w:val="0"/>
        <w:spacing w:lineRule="auto" w:line="300" w:before="0" w:after="0"/>
        <w:jc w:val="left"/>
        <w:rPr/>
      </w:pPr>
      <w:r>
        <w:rPr/>
        <w:t> </w:t>
      </w:r>
    </w:p>
    <w:tbl>
      <w:tblPr>
        <w:tblW w:w="3220" w:type="dxa"/>
        <w:jc w:val="left"/>
        <w:tblInd w:w="0" w:type="dxa"/>
        <w:tblLayout w:type="fixed"/>
        <w:tblCellMar>
          <w:top w:w="0" w:type="dxa"/>
          <w:left w:w="0" w:type="dxa"/>
          <w:bottom w:w="0" w:type="dxa"/>
          <w:right w:w="0" w:type="dxa"/>
        </w:tblCellMar>
      </w:tblPr>
      <w:tblGrid>
        <w:gridCol w:w="185"/>
        <w:gridCol w:w="303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30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Investments in marketable securities: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Company accounts for investments in marketable securities in accordance with ASC No. 320, “Investments - Debt Securities”. Management determines the appropriate classification of its investments at the time of purchase and reevaluates such determinations at each balance sheet date. The Company classifies all of its marketable securities as available-for-sale (“AFS”) as the Company may sell these securities at any time for use in its current operations or for other purposes, even prior to maturity. Available-for-sale securities are carried at fair value, with the unrealized gains and losses, reported in accumulated other comprehensive income (loss) in shareholders' equity.</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Starting January 1, 2023 the Company adopted ASU 2016-13, Topic 326 "Financial Instruments – Credit Losses: Measurement of Credit Losses on Financial Instruments" which modified the other than temporary impairment model for available for sale debt securities. Available-for-sale securities are periodically evaluated for unrealized losses. For unrealized losses in securities that the Company intends to hold and will not more likely than not be required to sell before recovery, the Company further evaluates whether declines in fair value below amortized cost are due to credit or non-credit related factors. The Company considers credit related impairments to be changes in value that are driven by a change in the creditor's ability to meet its payment obligations and records an allowance and recognizes a corresponding loss in financial income (expense), net when the impairment is incurred. Unrealized non-credit related losses and unrealized gains are reported as a separate component of accumulated other comprehensive income (loss) in the consolidated balance sheets until realized. Realized gains and losses on sale of marketable securities are included in financial income (expense), net and are derived using the specific identification method for determining the cost of securities sold. The amortized cost of marketable securities is adjusted for amortization of premiums and accretion of discounts to maturity. Such amortization together with interest on securities is included in financial income (expense), net. During the year ended December 31, 2023, no credit loss impairments have been identified.</w:t>
      </w:r>
    </w:p>
    <w:p>
      <w:pPr>
        <w:pStyle w:val="TextBody"/>
        <w:bidi w:val="0"/>
        <w:spacing w:lineRule="auto" w:line="300" w:before="0" w:after="0"/>
        <w:ind w:left="426" w:right="0" w:hanging="0"/>
        <w:jc w:val="both"/>
        <w:rPr/>
      </w:pPr>
      <w:r>
        <w:rPr/>
        <w:t> </w:t>
      </w:r>
    </w:p>
    <w:p>
      <w:pPr>
        <w:pStyle w:val="TextBody"/>
        <w:bidi w:val="0"/>
        <w:spacing w:lineRule="auto" w:line="300"/>
        <w:ind w:left="426" w:right="0" w:hanging="0"/>
        <w:jc w:val="both"/>
        <w:rPr>
          <w:rFonts w:ascii="Times New Roman;Times;serif" w:hAnsi="Times New Roman;Times;serif"/>
          <w:sz w:val="20"/>
        </w:rPr>
      </w:pPr>
      <w:r>
        <w:rPr>
          <w:rFonts w:ascii="Times New Roman;Times;serif" w:hAnsi="Times New Roman;Times;serif"/>
          <w:sz w:val="20"/>
        </w:rPr>
        <w:t>For the year ended December 31, 2022 the Company's securities were reviewed for impairment in accordance with ASC No. 320-10-35. According to this standard, if such assets were considered to be impaired, the impairment charge was recognized in earnings when a decline in the fair value of its investments below the cost basis was judged to be Other-Than-Temporary Impairment (OTTI). Factors considered in making such a determination include the duration and severity of the impairment, the reason for the decline in value, the potential recovery period and the Company's intent to sell, including whether it is more likely than not that the Company will be required to sell the investment before recovery of cost basis. Based on the above factors, the Company concluded that unrealized losses on its available-for-sale securities for the year ended December 31, 2022 was not OTTI.</w:t>
      </w:r>
    </w:p>
    <w:p>
      <w:pPr>
        <w:pStyle w:val="TextBody"/>
        <w:bidi w:val="0"/>
        <w:spacing w:before="0" w:after="0"/>
        <w:ind w:left="0" w:right="0" w:hanging="0"/>
        <w:jc w:val="left"/>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w:t>
      </w:r>
    </w:p>
    <w:p>
      <w:pPr>
        <w:pStyle w:val="HorizontalLine"/>
        <w:bidi w:val="0"/>
        <w:spacing w:lineRule="auto" w:line="300" w:before="200" w:after="200"/>
        <w:jc w:val="left"/>
        <w:rPr/>
      </w:pPr>
      <w:r>
        <w:rPr/>
      </w:r>
    </w:p>
    <w:p>
      <w:pPr>
        <w:pStyle w:val="TextBody"/>
        <w:bidi w:val="0"/>
        <w:spacing w:lineRule="auto" w:line="300" w:before="0" w:after="160"/>
        <w:ind w:left="6" w:right="0" w:hanging="0"/>
        <w:jc w:val="right"/>
        <w:rPr>
          <w:rFonts w:ascii="Times New Roman;Times;serif" w:hAnsi="Times New Roman;Times;serif"/>
          <w:b/>
          <w:sz w:val="20"/>
        </w:rPr>
      </w:pPr>
      <w:r>
        <w:rPr>
          <w:rFonts w:ascii="Times New Roman;Times;serif" w:hAnsi="Times New Roman;Times;serif"/>
          <w:b/>
          <w:sz w:val="20"/>
        </w:rPr>
        <w:t>WALKME LTD. AND ITS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HorizontalLine"/>
        <w:bidi w:val="0"/>
        <w:spacing w:lineRule="auto" w:line="300"/>
        <w:jc w:val="left"/>
        <w:rPr/>
      </w:pPr>
      <w:r>
        <w:rPr/>
      </w:r>
    </w:p>
    <w:p>
      <w:pPr>
        <w:pStyle w:val="TextBody"/>
        <w:bidi w:val="0"/>
        <w:spacing w:lineRule="auto" w:line="300"/>
        <w:jc w:val="left"/>
        <w:rPr>
          <w:sz w:val="20"/>
        </w:rPr>
      </w:pPr>
      <w:r>
        <w:rPr>
          <w:rFonts w:ascii="Times New Roman;Times;serif" w:hAnsi="Times New Roman;Times;serif"/>
          <w:b/>
          <w:sz w:val="20"/>
        </w:rPr>
        <w:t>NOTE 2:</w:t>
      </w:r>
      <w:r>
        <w:rPr>
          <w:rFonts w:ascii="Times New Roman;Times;serif" w:hAnsi="Times New Roman;Times;serif"/>
          <w:sz w:val="20"/>
        </w:rPr>
        <w:t> </w:t>
      </w:r>
      <w:r>
        <w:rPr>
          <w:rFonts w:ascii="Times New Roman;Times;serif" w:hAnsi="Times New Roman;Times;serif"/>
          <w:b/>
          <w:sz w:val="20"/>
        </w:rPr>
        <w:t>SUMMARY OF SIGNIFICANT ACCOUNTING POLICIES (Cont.)</w:t>
      </w:r>
      <w:r>
        <w:rPr>
          <w:sz w:val="20"/>
        </w:rPr>
        <w:t xml:space="preserve"> </w:t>
      </w:r>
    </w:p>
    <w:p>
      <w:pPr>
        <w:pStyle w:val="TextBody"/>
        <w:bidi w:val="0"/>
        <w:spacing w:lineRule="auto" w:line="300" w:before="0" w:after="0"/>
        <w:ind w:left="0" w:right="0" w:hanging="0"/>
        <w:jc w:val="left"/>
        <w:rPr/>
      </w:pPr>
      <w:r>
        <w:rPr/>
        <w:t> </w:t>
      </w:r>
    </w:p>
    <w:tbl>
      <w:tblPr>
        <w:tblW w:w="3055" w:type="dxa"/>
        <w:jc w:val="left"/>
        <w:tblInd w:w="0" w:type="dxa"/>
        <w:tblLayout w:type="fixed"/>
        <w:tblCellMar>
          <w:top w:w="0" w:type="dxa"/>
          <w:left w:w="0" w:type="dxa"/>
          <w:bottom w:w="0" w:type="dxa"/>
          <w:right w:w="0" w:type="dxa"/>
        </w:tblCellMar>
      </w:tblPr>
      <w:tblGrid>
        <w:gridCol w:w="185"/>
        <w:gridCol w:w="287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28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Fair value of financial instruments: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Company applies ASC No. 820, "Fair Value Measurements and Disclosures" ("ASC No. 820"), with respect to fair value measurements of all financial assets and liabilities.</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A three-tier fair value hierarchy is established as a basis for considering such assumptions and for inputs used in the valuation methodologies in measuring fair value:</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b/>
          <w:i/>
          <w:sz w:val="20"/>
        </w:rPr>
        <w:t>Level 1 Inputs:</w:t>
      </w:r>
      <w:r>
        <w:rPr>
          <w:rFonts w:ascii="Times New Roman;Times;serif" w:hAnsi="Times New Roman;Times;serif"/>
          <w:sz w:val="20"/>
        </w:rPr>
        <w:t xml:space="preserve"> Unadjusted quoted prices in active markets for identical assets or liabilities accessible to the reporting entity at the measurement date.</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b/>
          <w:i/>
          <w:sz w:val="20"/>
        </w:rPr>
        <w:t xml:space="preserve">Level 2 Inputs: </w:t>
      </w:r>
      <w:r>
        <w:rPr>
          <w:rFonts w:ascii="Times New Roman;Times;serif" w:hAnsi="Times New Roman;Times;serif"/>
          <w:sz w:val="20"/>
        </w:rPr>
        <w:t>Other than quoted prices included in Level 1 inputs that are observable for the asset or liability, either directly or indirectly, for substantially the full term of the asset or liability</w:t>
      </w:r>
      <w:r>
        <w:rPr>
          <w:rFonts w:ascii="Times New Roman;Times;serif" w:hAnsi="Times New Roman;Times;serif"/>
          <w:i/>
          <w:sz w:val="20"/>
        </w:rPr>
        <w:t>.</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b/>
          <w:i/>
          <w:sz w:val="20"/>
        </w:rPr>
        <w:t>Level 3 Inputs:</w:t>
      </w:r>
      <w:r>
        <w:rPr>
          <w:rFonts w:ascii="Times New Roman;Times;serif" w:hAnsi="Times New Roman;Times;serif"/>
          <w:sz w:val="20"/>
        </w:rPr>
        <w:t xml:space="preserve"> Unobservable inputs for the asset or liability used to measure fair value to the extent that observable inputs are not available, thereby allowing for situations in which there is little, if any, market activity for the asset or liability at measurement date.</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A financial instrument’s categorization within the valuation hierarchy is based upon the lowest level of input that is significant to the fair value measurement.</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Cash equivalents, short term deposits, short term restricted deposit, trade receivable, trade payable, employee and payroll accruals and accrued expenses are stated at their carrying value, which approximates fair value due to the short time to the expected receipt or payment date.</w:t>
      </w:r>
    </w:p>
    <w:p>
      <w:pPr>
        <w:pStyle w:val="TextBody"/>
        <w:bidi w:val="0"/>
        <w:spacing w:lineRule="auto" w:line="300" w:before="0" w:after="0"/>
        <w:jc w:val="left"/>
        <w:rPr/>
      </w:pPr>
      <w:r>
        <w:rPr/>
        <w:t> </w:t>
      </w:r>
    </w:p>
    <w:tbl>
      <w:tblPr>
        <w:tblW w:w="2545" w:type="dxa"/>
        <w:jc w:val="left"/>
        <w:tblInd w:w="0" w:type="dxa"/>
        <w:tblLayout w:type="fixed"/>
        <w:tblCellMar>
          <w:top w:w="0" w:type="dxa"/>
          <w:left w:w="0" w:type="dxa"/>
          <w:bottom w:w="0" w:type="dxa"/>
          <w:right w:w="0" w:type="dxa"/>
        </w:tblCellMar>
      </w:tblPr>
      <w:tblGrid>
        <w:gridCol w:w="140"/>
        <w:gridCol w:w="240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24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Concentration of credit Risk:</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Financial instruments that potentially subject the Company to credit risk primarily consist of cash and cash equivalents, short-term deposits, restricted deposits, marketable securities and trade receivables. For cash and cash equivalents, the Company is exposed to credit risk in the event of default by the financial institutions to the extent of the amounts recorded on the accompanying consolidated balance sheets exceed federally insured limits. The Company places its cash and cash equivalents and short-term deposits with financial institutions with high-quality credit ratings and has not experienced any losses in such accounts.</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Company's marketable securities consist of investments in U.S. Treasuries and U.S. Government Agencies denominated in dollar.</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For trade receivable, the Company is exposed to credit risk in the event of non-payment by customers to the extent of the amounts recorded on the accompanying consolidated balance sheets.</w:t>
      </w:r>
    </w:p>
    <w:p>
      <w:pPr>
        <w:pStyle w:val="TextBody"/>
        <w:bidi w:val="0"/>
        <w:spacing w:lineRule="auto" w:line="300" w:before="0" w:after="0"/>
        <w:jc w:val="left"/>
        <w:rPr/>
      </w:pPr>
      <w:r>
        <w:rPr/>
        <w:t> </w:t>
      </w:r>
    </w:p>
    <w:p>
      <w:pPr>
        <w:pStyle w:val="TextBody"/>
        <w:bidi w:val="0"/>
        <w:spacing w:lineRule="auto" w:line="300"/>
        <w:ind w:left="426" w:right="0" w:hanging="0"/>
        <w:jc w:val="both"/>
        <w:rPr>
          <w:rFonts w:ascii="Times New Roman;Times;serif" w:hAnsi="Times New Roman;Times;serif"/>
          <w:sz w:val="20"/>
        </w:rPr>
      </w:pPr>
      <w:r>
        <w:rPr>
          <w:rFonts w:ascii="Times New Roman;Times;serif" w:hAnsi="Times New Roman;Times;serif"/>
          <w:sz w:val="20"/>
        </w:rPr>
        <w:t>As of December 31, 2023 and 2022 and for the years ended on these dates, there were no customers represented greater amount than 10% of total revenue.</w:t>
      </w:r>
    </w:p>
    <w:p>
      <w:pPr>
        <w:pStyle w:val="TextBody"/>
        <w:bidi w:val="0"/>
        <w:spacing w:before="0" w:after="0"/>
        <w:ind w:left="0" w:right="0" w:hanging="0"/>
        <w:jc w:val="left"/>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w:t>
      </w:r>
    </w:p>
    <w:p>
      <w:pPr>
        <w:pStyle w:val="HorizontalLine"/>
        <w:bidi w:val="0"/>
        <w:spacing w:lineRule="auto" w:line="300" w:before="200" w:after="200"/>
        <w:jc w:val="left"/>
        <w:rPr/>
      </w:pPr>
      <w:r>
        <w:rPr/>
      </w:r>
    </w:p>
    <w:p>
      <w:pPr>
        <w:pStyle w:val="TextBody"/>
        <w:bidi w:val="0"/>
        <w:spacing w:lineRule="auto" w:line="300" w:before="0" w:after="160"/>
        <w:ind w:left="6" w:right="0" w:hanging="0"/>
        <w:jc w:val="right"/>
        <w:rPr>
          <w:rFonts w:ascii="Times New Roman;Times;serif" w:hAnsi="Times New Roman;Times;serif"/>
          <w:b/>
          <w:sz w:val="20"/>
        </w:rPr>
      </w:pPr>
      <w:r>
        <w:rPr>
          <w:rFonts w:ascii="Times New Roman;Times;serif" w:hAnsi="Times New Roman;Times;serif"/>
          <w:b/>
          <w:sz w:val="20"/>
        </w:rPr>
        <w:t>WALKME LTD. AND ITS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HorizontalLine"/>
        <w:bidi w:val="0"/>
        <w:spacing w:lineRule="auto" w:line="300"/>
        <w:jc w:val="left"/>
        <w:rPr/>
      </w:pPr>
      <w:r>
        <w:rPr/>
      </w:r>
    </w:p>
    <w:p>
      <w:pPr>
        <w:pStyle w:val="TextBody"/>
        <w:bidi w:val="0"/>
        <w:spacing w:lineRule="auto" w:line="300"/>
        <w:jc w:val="both"/>
        <w:rPr>
          <w:sz w:val="20"/>
        </w:rPr>
      </w:pPr>
      <w:r>
        <w:rPr>
          <w:rFonts w:ascii="Times New Roman;Times;serif" w:hAnsi="Times New Roman;Times;serif"/>
          <w:b/>
          <w:sz w:val="20"/>
        </w:rPr>
        <w:t>NOTE 2:</w:t>
      </w:r>
      <w:r>
        <w:rPr>
          <w:rFonts w:ascii="Times New Roman;Times;serif" w:hAnsi="Times New Roman;Times;serif"/>
          <w:sz w:val="20"/>
        </w:rPr>
        <w:t> </w:t>
      </w:r>
      <w:r>
        <w:rPr>
          <w:rFonts w:ascii="Times New Roman;Times;serif" w:hAnsi="Times New Roman;Times;serif"/>
          <w:b/>
          <w:sz w:val="20"/>
        </w:rPr>
        <w:t>SUMMARY OF SIGNIFICANT ACCOUNTING POLICIES (Cont.)</w:t>
      </w:r>
      <w:r>
        <w:rPr>
          <w:sz w:val="20"/>
        </w:rPr>
        <w:t xml:space="preserve"> </w:t>
      </w:r>
    </w:p>
    <w:p>
      <w:pPr>
        <w:pStyle w:val="TextBody"/>
        <w:bidi w:val="0"/>
        <w:spacing w:lineRule="auto" w:line="300" w:before="0" w:after="0"/>
        <w:ind w:left="0" w:right="0" w:hanging="0"/>
        <w:jc w:val="both"/>
        <w:rPr/>
      </w:pPr>
      <w:r>
        <w:rPr/>
        <w:t> </w:t>
      </w:r>
    </w:p>
    <w:tbl>
      <w:tblPr>
        <w:tblW w:w="2830" w:type="dxa"/>
        <w:jc w:val="left"/>
        <w:tblInd w:w="0" w:type="dxa"/>
        <w:tblLayout w:type="fixed"/>
        <w:tblCellMar>
          <w:top w:w="0" w:type="dxa"/>
          <w:left w:w="0" w:type="dxa"/>
          <w:bottom w:w="0" w:type="dxa"/>
          <w:right w:w="0" w:type="dxa"/>
        </w:tblCellMar>
      </w:tblPr>
      <w:tblGrid>
        <w:gridCol w:w="140"/>
        <w:gridCol w:w="269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26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Derivative Financial Instruments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Company enters into foreign currency forward and option contracts with financial institutions to protect against foreign exchange risks for the exposure to changes in the exchange rate of the New Israeli Shekel (“NIS”) against the U.S. dollar that are associated with forecasted future cash flows. The Company’s primary objective in entering into these contracts is to reduce the volatility of earnings and cash flows associated with changes in foreign currency exchange rates. The Company’s derivative instruments expose the Company to credit risk to the extent that the counterparties may be unable to meet the terms of the contract. The Company seeks to mitigate such risk by limiting its counterparties to major financial institutions. In addition, the potential risk of loss resulting from this type of credit risk is monitored on an ongoing basis. The Company does not use derivative instruments for trading or speculative purposes.</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Company accounts for its derivative instruments based on ASC No. 815, “Derivatives and Hedging” (“ASC No. 815”). ASC No. 815 requires the Company to recognize all derivatives on the balance sheets at fair value. The accounting for changes in the fair value of a derivative depends on the intended use of the derivative and the resulting designation. Derivative instruments that hedge the exposure to variability in expected future cash flows that are designated as cash flow hedges, are recorded as either prepaid expenses and other assets or accrued expenses and other liabilities in the consolidated balance sheets. The Company records changes in the fair value of these derivatives in accumulated other comprehensive income (loss) in the consolidated balance sheets, until the forecasted transaction occurs.</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Upon occurrence, the Company reclassifies the related gain or loss on the derivative to the same financial statement line item in the consolidated statements of operations to which the derivative relates.</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As of December 31, 2023 and 2022, the gross notional amount of the Company’s outstanding foreign currency contracts designated as hedging instruments was $26,794 and $50,298 respectively.</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During the years ended December 31, 2023, 2022 and 2021, gains (losses) related to designated hedging instruments were reclassified from accumulated other comprehensive loss when the related expenses were incurred. These gains (losses) were recorded in the consolidated statements of comprehensive loss, as follows:</w:t>
      </w:r>
    </w:p>
    <w:p>
      <w:pPr>
        <w:pStyle w:val="TextBody"/>
        <w:bidi w:val="0"/>
        <w:spacing w:before="0" w:after="0"/>
        <w:jc w:val="left"/>
        <w:rPr/>
      </w:pPr>
      <w:r>
        <w:rPr/>
        <w:t xml:space="preserve">  </w:t>
      </w:r>
    </w:p>
    <w:tbl>
      <w:tblPr>
        <w:tblW w:w="4410" w:type="dxa"/>
        <w:jc w:val="left"/>
        <w:tblInd w:w="540" w:type="dxa"/>
        <w:tblLayout w:type="fixed"/>
        <w:tblCellMar>
          <w:top w:w="0" w:type="dxa"/>
          <w:left w:w="0" w:type="dxa"/>
          <w:bottom w:w="0" w:type="dxa"/>
          <w:right w:w="0" w:type="dxa"/>
        </w:tblCellMar>
      </w:tblPr>
      <w:tblGrid>
        <w:gridCol w:w="2210"/>
        <w:gridCol w:w="60"/>
        <w:gridCol w:w="125"/>
        <w:gridCol w:w="545"/>
        <w:gridCol w:w="80"/>
        <w:gridCol w:w="60"/>
        <w:gridCol w:w="125"/>
        <w:gridCol w:w="545"/>
        <w:gridCol w:w="80"/>
        <w:gridCol w:w="60"/>
        <w:gridCol w:w="125"/>
        <w:gridCol w:w="335"/>
        <w:gridCol w:w="60"/>
      </w:tblGrid>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0" w:type="dxa"/>
            <w:gridSpan w:val="10"/>
            <w:tcBorders>
              <w:bottom w:val="single" w:sz="12" w:space="0" w:color="000000"/>
            </w:tcBorders>
            <w:tcMar>
              <w:bottom w:w="28" w:type="dxa"/>
            </w:tcMar>
            <w:vAlign w:val="center"/>
          </w:tcPr>
          <w:p>
            <w:pPr>
              <w:pStyle w:val="TableContents"/>
              <w:bidi w:val="0"/>
              <w:spacing w:lineRule="auto" w:line="300" w:before="0" w:after="0"/>
              <w:ind w:left="0" w:right="0" w:firstLine="40"/>
              <w:jc w:val="center"/>
              <w:rPr>
                <w:rFonts w:ascii="Times New Roman;Times;serif" w:hAnsi="Times New Roman;Times;serif"/>
                <w:b/>
                <w:sz w:val="20"/>
              </w:rPr>
            </w:pPr>
            <w:r>
              <w:rPr>
                <w:rFonts w:ascii="Times New Roman;Times;serif" w:hAnsi="Times New Roman;Times;serif"/>
                <w:b/>
                <w:sz w:val="20"/>
              </w:rPr>
              <w:t>Year ended</w:t>
            </w:r>
          </w:p>
          <w:p>
            <w:pPr>
              <w:pStyle w:val="TableContents"/>
              <w:bidi w:val="0"/>
              <w:spacing w:lineRule="auto" w:line="300" w:before="0" w:after="0"/>
              <w:ind w:left="0" w:right="0" w:firstLine="40"/>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60"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(2,563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(1,709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331</w:t>
            </w:r>
          </w:p>
        </w:tc>
        <w:tc>
          <w:tcPr>
            <w:tcW w:w="6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(741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(614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129</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(1,264</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33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137</w:t>
            </w:r>
          </w:p>
        </w:tc>
        <w:tc>
          <w:tcPr>
            <w:tcW w:w="6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(4,997</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(3,471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540" w:right="0" w:hanging="0"/>
        <w:jc w:val="left"/>
        <w:rPr/>
      </w:pPr>
      <w:r>
        <w:rPr/>
        <w:t> </w:t>
      </w:r>
    </w:p>
    <w:tbl>
      <w:tblPr>
        <w:tblW w:w="1705" w:type="dxa"/>
        <w:jc w:val="left"/>
        <w:tblInd w:w="0" w:type="dxa"/>
        <w:tblLayout w:type="fixed"/>
        <w:tblCellMar>
          <w:top w:w="0" w:type="dxa"/>
          <w:left w:w="0" w:type="dxa"/>
          <w:bottom w:w="0" w:type="dxa"/>
          <w:right w:w="0" w:type="dxa"/>
        </w:tblCellMar>
      </w:tblPr>
      <w:tblGrid>
        <w:gridCol w:w="185"/>
        <w:gridCol w:w="152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w:t>
            </w:r>
          </w:p>
        </w:tc>
        <w:tc>
          <w:tcPr>
            <w:tcW w:w="15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Trade receivables: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Trade receivables includes billed and unbilled receivables. Trade receivables are recorded at invoiced amounts and do not bear interest. The Company generally does not require collateral and provides for expected losses. The Company makes estimates of expected credit losses based upon its assessment of various factors including review of credit profiles of customers, contractual terms and conditions, current economic trends, the age of the outstanding invoice and historical payment experience. Accounts receivable deemed uncollectible are charged against the allowance for credit losses when identified. The allowance for credit losses was not material as of December 31, 2023.</w:t>
      </w:r>
    </w:p>
    <w:p>
      <w:pPr>
        <w:pStyle w:val="TextBody"/>
        <w:bidi w:val="0"/>
        <w:spacing w:lineRule="auto" w:line="300" w:before="0" w:after="0"/>
        <w:ind w:left="426" w:right="0" w:hanging="0"/>
        <w:jc w:val="both"/>
        <w:rPr/>
      </w:pPr>
      <w:r>
        <w:rPr/>
        <w:t> </w:t>
      </w:r>
    </w:p>
    <w:p>
      <w:pPr>
        <w:pStyle w:val="TextBody"/>
        <w:bidi w:val="0"/>
        <w:spacing w:lineRule="auto" w:line="300"/>
        <w:ind w:left="426" w:right="0" w:hanging="0"/>
        <w:jc w:val="both"/>
        <w:rPr>
          <w:rFonts w:ascii="Times New Roman;Times;serif" w:hAnsi="Times New Roman;Times;serif"/>
          <w:sz w:val="20"/>
        </w:rPr>
      </w:pPr>
      <w:r>
        <w:rPr>
          <w:rFonts w:ascii="Times New Roman;Times;serif" w:hAnsi="Times New Roman;Times;serif"/>
          <w:sz w:val="20"/>
        </w:rPr>
        <w:t>Unbilled trade receivables represent an unconditional right to consideration for the Company’s performance under the customer contract occurs before invoicing to the customer. As of December 31, 2023 and 2022, unbilled trade receivables of $4,515 and $4,084, respectively, were included in trade receivables on the Company’s consolidated balance sheets.</w:t>
      </w:r>
    </w:p>
    <w:p>
      <w:pPr>
        <w:pStyle w:val="TextBody"/>
        <w:bidi w:val="0"/>
        <w:spacing w:before="0" w:after="0"/>
        <w:ind w:left="0" w:right="0" w:hanging="0"/>
        <w:jc w:val="left"/>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w:t>
      </w:r>
    </w:p>
    <w:p>
      <w:pPr>
        <w:pStyle w:val="HorizontalLine"/>
        <w:bidi w:val="0"/>
        <w:spacing w:lineRule="auto" w:line="300" w:before="200" w:after="200"/>
        <w:jc w:val="left"/>
        <w:rPr/>
      </w:pPr>
      <w:r>
        <w:rPr/>
      </w:r>
    </w:p>
    <w:p>
      <w:pPr>
        <w:pStyle w:val="TextBody"/>
        <w:bidi w:val="0"/>
        <w:spacing w:lineRule="auto" w:line="300" w:before="0" w:after="160"/>
        <w:ind w:left="6" w:right="0" w:hanging="0"/>
        <w:jc w:val="right"/>
        <w:rPr>
          <w:rFonts w:ascii="Times New Roman;Times;serif" w:hAnsi="Times New Roman;Times;serif"/>
          <w:b/>
          <w:sz w:val="20"/>
        </w:rPr>
      </w:pPr>
      <w:r>
        <w:rPr>
          <w:rFonts w:ascii="Times New Roman;Times;serif" w:hAnsi="Times New Roman;Times;serif"/>
          <w:b/>
          <w:sz w:val="20"/>
        </w:rPr>
        <w:t>WALKME LTD. AND ITS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HorizontalLine"/>
        <w:bidi w:val="0"/>
        <w:spacing w:lineRule="auto" w:line="300"/>
        <w:jc w:val="left"/>
        <w:rPr/>
      </w:pPr>
      <w:r>
        <w:rPr/>
      </w:r>
    </w:p>
    <w:p>
      <w:pPr>
        <w:pStyle w:val="TextBody"/>
        <w:bidi w:val="0"/>
        <w:spacing w:lineRule="auto" w:line="300"/>
        <w:jc w:val="both"/>
        <w:rPr>
          <w:sz w:val="20"/>
        </w:rPr>
      </w:pPr>
      <w:r>
        <w:rPr>
          <w:rFonts w:ascii="Times New Roman;Times;serif" w:hAnsi="Times New Roman;Times;serif"/>
          <w:b/>
          <w:sz w:val="20"/>
        </w:rPr>
        <w:t>NOTE 2:</w:t>
      </w:r>
      <w:r>
        <w:rPr>
          <w:rFonts w:ascii="Times New Roman;Times;serif" w:hAnsi="Times New Roman;Times;serif"/>
          <w:sz w:val="20"/>
        </w:rPr>
        <w:t> </w:t>
      </w:r>
      <w:r>
        <w:rPr>
          <w:rFonts w:ascii="Times New Roman;Times;serif" w:hAnsi="Times New Roman;Times;serif"/>
          <w:b/>
          <w:sz w:val="20"/>
        </w:rPr>
        <w:t>SUMMARY OF SIGNIFICANT ACCOUNTING POLICIES (Cont.)</w:t>
      </w:r>
      <w:r>
        <w:rPr>
          <w:sz w:val="20"/>
        </w:rPr>
        <w:t xml:space="preserve"> </w:t>
      </w:r>
    </w:p>
    <w:p>
      <w:pPr>
        <w:pStyle w:val="TextBody"/>
        <w:bidi w:val="0"/>
        <w:spacing w:lineRule="auto" w:line="300" w:before="0" w:after="0"/>
        <w:ind w:left="0" w:right="0" w:hanging="0"/>
        <w:jc w:val="both"/>
        <w:rPr/>
      </w:pPr>
      <w:r>
        <w:rPr/>
        <w:t> </w:t>
      </w:r>
    </w:p>
    <w:tbl>
      <w:tblPr>
        <w:tblW w:w="2185" w:type="dxa"/>
        <w:jc w:val="left"/>
        <w:tblInd w:w="0" w:type="dxa"/>
        <w:tblLayout w:type="fixed"/>
        <w:tblCellMar>
          <w:top w:w="0" w:type="dxa"/>
          <w:left w:w="0" w:type="dxa"/>
          <w:bottom w:w="0" w:type="dxa"/>
          <w:right w:w="0" w:type="dxa"/>
        </w:tblCellMar>
      </w:tblPr>
      <w:tblGrid>
        <w:gridCol w:w="140"/>
        <w:gridCol w:w="204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w:t>
            </w:r>
          </w:p>
        </w:tc>
        <w:tc>
          <w:tcPr>
            <w:tcW w:w="20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Property and equipment:</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Property and equipment are stated at cost, net of accumulated depreciation. Depreciation is calculated using the straight-line method over the estimated useful lives of the assets, at the following annual rates:</w:t>
      </w:r>
    </w:p>
    <w:p>
      <w:pPr>
        <w:pStyle w:val="TextBody"/>
        <w:bidi w:val="0"/>
        <w:spacing w:lineRule="auto" w:line="300" w:before="0" w:after="0"/>
        <w:jc w:val="left"/>
        <w:rPr/>
      </w:pPr>
      <w:r>
        <w:rPr/>
        <w:t> </w:t>
      </w:r>
    </w:p>
    <w:tbl>
      <w:tblPr>
        <w:tblW w:w="9665" w:type="dxa"/>
        <w:jc w:val="left"/>
        <w:tblInd w:w="540" w:type="dxa"/>
        <w:tblLayout w:type="fixed"/>
        <w:tblCellMar>
          <w:top w:w="0" w:type="dxa"/>
          <w:left w:w="0" w:type="dxa"/>
          <w:bottom w:w="0" w:type="dxa"/>
          <w:right w:w="0" w:type="dxa"/>
        </w:tblCellMar>
      </w:tblPr>
      <w:tblGrid>
        <w:gridCol w:w="3746"/>
        <w:gridCol w:w="60"/>
        <w:gridCol w:w="5859"/>
      </w:tblGrid>
      <w:tr>
        <w:trPr/>
        <w:tc>
          <w:tcPr>
            <w:tcW w:w="37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59"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w:t>
            </w:r>
          </w:p>
        </w:tc>
      </w:tr>
      <w:tr>
        <w:trPr/>
        <w:tc>
          <w:tcPr>
            <w:tcW w:w="37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59" w:type="dxa"/>
            <w:tcBorders/>
            <w:vAlign w:val="center"/>
          </w:tcPr>
          <w:p>
            <w:pPr>
              <w:pStyle w:val="TableContents"/>
              <w:bidi w:val="0"/>
              <w:spacing w:before="0" w:after="283"/>
              <w:jc w:val="center"/>
              <w:rPr/>
            </w:pPr>
            <w:r>
              <w:rPr/>
              <w:t> </w:t>
            </w:r>
          </w:p>
        </w:tc>
      </w:tr>
      <w:tr>
        <w:trPr/>
        <w:tc>
          <w:tcPr>
            <w:tcW w:w="374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Software, computers and peripheral equipment</w:t>
            </w:r>
          </w:p>
        </w:tc>
        <w:tc>
          <w:tcPr>
            <w:tcW w:w="60" w:type="dxa"/>
            <w:tcBorders/>
            <w:shd w:fill="CCEEFF" w:val="clear"/>
            <w:vAlign w:val="center"/>
          </w:tcPr>
          <w:p>
            <w:pPr>
              <w:pStyle w:val="TableContents"/>
              <w:bidi w:val="0"/>
              <w:spacing w:before="0" w:after="283"/>
              <w:jc w:val="left"/>
              <w:rPr/>
            </w:pPr>
            <w:r>
              <w:rPr/>
              <w:t> </w:t>
            </w:r>
          </w:p>
        </w:tc>
        <w:tc>
          <w:tcPr>
            <w:tcW w:w="5859"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33</w:t>
            </w:r>
          </w:p>
        </w:tc>
      </w:tr>
      <w:tr>
        <w:trPr/>
        <w:tc>
          <w:tcPr>
            <w:tcW w:w="374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Office furniture and equipment</w:t>
            </w:r>
          </w:p>
        </w:tc>
        <w:tc>
          <w:tcPr>
            <w:tcW w:w="60" w:type="dxa"/>
            <w:tcBorders/>
            <w:vAlign w:val="center"/>
          </w:tcPr>
          <w:p>
            <w:pPr>
              <w:pStyle w:val="TableContents"/>
              <w:bidi w:val="0"/>
              <w:spacing w:before="0" w:after="283"/>
              <w:jc w:val="left"/>
              <w:rPr/>
            </w:pPr>
            <w:r>
              <w:rPr/>
              <w:t> </w:t>
            </w:r>
          </w:p>
        </w:tc>
        <w:tc>
          <w:tcPr>
            <w:tcW w:w="5859"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10-33</w:t>
            </w:r>
          </w:p>
        </w:tc>
      </w:tr>
      <w:tr>
        <w:trPr/>
        <w:tc>
          <w:tcPr>
            <w:tcW w:w="374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Capitalized software development costs</w:t>
            </w:r>
          </w:p>
        </w:tc>
        <w:tc>
          <w:tcPr>
            <w:tcW w:w="60" w:type="dxa"/>
            <w:tcBorders/>
            <w:shd w:fill="CCEEFF" w:val="clear"/>
            <w:vAlign w:val="center"/>
          </w:tcPr>
          <w:p>
            <w:pPr>
              <w:pStyle w:val="TableContents"/>
              <w:bidi w:val="0"/>
              <w:spacing w:before="0" w:after="283"/>
              <w:jc w:val="left"/>
              <w:rPr/>
            </w:pPr>
            <w:r>
              <w:rPr/>
              <w:t> </w:t>
            </w:r>
          </w:p>
        </w:tc>
        <w:tc>
          <w:tcPr>
            <w:tcW w:w="5859"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33</w:t>
            </w:r>
          </w:p>
        </w:tc>
      </w:tr>
      <w:tr>
        <w:trPr/>
        <w:tc>
          <w:tcPr>
            <w:tcW w:w="374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Leasehold improvement</w:t>
            </w:r>
          </w:p>
        </w:tc>
        <w:tc>
          <w:tcPr>
            <w:tcW w:w="60" w:type="dxa"/>
            <w:tcBorders/>
            <w:vAlign w:val="center"/>
          </w:tcPr>
          <w:p>
            <w:pPr>
              <w:pStyle w:val="TableContents"/>
              <w:bidi w:val="0"/>
              <w:spacing w:before="0" w:after="283"/>
              <w:jc w:val="left"/>
              <w:rPr/>
            </w:pPr>
            <w:r>
              <w:rPr/>
              <w:t> </w:t>
            </w:r>
          </w:p>
        </w:tc>
        <w:tc>
          <w:tcPr>
            <w:tcW w:w="5859"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By the shorter of remaining lease term or estimated useful life of the asset</w:t>
            </w:r>
          </w:p>
        </w:tc>
      </w:tr>
    </w:tbl>
    <w:p>
      <w:pPr>
        <w:pStyle w:val="TextBody"/>
        <w:bidi w:val="0"/>
        <w:spacing w:lineRule="auto" w:line="300" w:before="0" w:after="0"/>
        <w:ind w:left="540" w:right="0" w:hanging="0"/>
        <w:jc w:val="left"/>
        <w:rPr/>
      </w:pPr>
      <w:r>
        <w:rPr/>
        <w:t> </w:t>
      </w:r>
    </w:p>
    <w:tbl>
      <w:tblPr>
        <w:tblW w:w="1750" w:type="dxa"/>
        <w:jc w:val="left"/>
        <w:tblInd w:w="0" w:type="dxa"/>
        <w:tblLayout w:type="fixed"/>
        <w:tblCellMar>
          <w:top w:w="0" w:type="dxa"/>
          <w:left w:w="0" w:type="dxa"/>
          <w:bottom w:w="0" w:type="dxa"/>
          <w:right w:w="0" w:type="dxa"/>
        </w:tblCellMar>
      </w:tblPr>
      <w:tblGrid>
        <w:gridCol w:w="230"/>
        <w:gridCol w:w="1520"/>
      </w:tblGrid>
      <w:tr>
        <w:trPr/>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w:t>
            </w:r>
          </w:p>
        </w:tc>
        <w:tc>
          <w:tcPr>
            <w:tcW w:w="15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Long-lived assets: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long-lived assets of the Company, including finite-live intangible assets, are reviewed for impairment in accordance with ASC No. 360, "Property, Plant and Equipment" ("ASC No. 360"), whenever events or changes in circumstances indicate that the carrying amount of an asset may not be recoverable. The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During the years ended December 31, 2023 and 2022 the Company recorded an impairment of $300 and $2,246, respectively, related to certain right-of use and intangible assets. No impairment losses were identified for the year ended December 31, 2021.</w:t>
      </w:r>
    </w:p>
    <w:p>
      <w:pPr>
        <w:pStyle w:val="TextBody"/>
        <w:bidi w:val="0"/>
        <w:spacing w:lineRule="auto" w:line="300" w:before="0" w:after="0"/>
        <w:jc w:val="left"/>
        <w:rPr/>
      </w:pPr>
      <w:r>
        <w:rPr/>
        <w:t> </w:t>
      </w:r>
    </w:p>
    <w:tbl>
      <w:tblPr>
        <w:tblW w:w="820" w:type="dxa"/>
        <w:jc w:val="left"/>
        <w:tblInd w:w="0" w:type="dxa"/>
        <w:tblLayout w:type="fixed"/>
        <w:tblCellMar>
          <w:top w:w="0" w:type="dxa"/>
          <w:left w:w="0" w:type="dxa"/>
          <w:bottom w:w="0" w:type="dxa"/>
          <w:right w:w="0" w:type="dxa"/>
        </w:tblCellMar>
      </w:tblPr>
      <w:tblGrid>
        <w:gridCol w:w="185"/>
        <w:gridCol w:w="63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w:t>
            </w:r>
          </w:p>
        </w:tc>
        <w:tc>
          <w:tcPr>
            <w:tcW w:w="6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Leases: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In accordance with ASU No. 2016-02, "Leases (Topic 842)", the Company determines if an arrangement is a lease and the classification of that lease at inception based on: (1) whether the contract involves the use of an identified asset, (2) whether the Company obtains the right to substantially all the economic benefits from the use of the asset throughout the lease period, and (3) whether the Company has a right to direct the use of the asset. The Company elected to not recognize a lease liability and a right-of-use ("ROU") asset for leases with a term of twelve months or less. The Company also elected the practical expedient to not separate lease and non-lease components for its leases.</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ROU assets represent the right to use an underlying asset for the lease term and lease liabilities represent the obligation to make lease payments arising from the lease. ROU assets are initially measured at amounts, which represents the discounted present value of the lease payments over the lease, plus any initial direct costs incurred. The lease liability is initially measured at lease commencement date based on the discounted present value of minimum lease payments over the lease term. The implicit rate within the operating leases is generally not determinable, therefore the Company uses its Incremental Borrowing Rate ("IBR") based on the information available at commencement date in determining the present value of lease payments. The Company's IBR is estimated to approximate the interest rate for collateralized borrowing with similar terms and payments and in economic environments where the leased asset is located. Certain leases include options to extend or terminate the lease. An option to extend the lease is considered in connection with determining the ROU asset and lease liability when it is reasonably certain that the Company will exercise that option. An option to terminate is considered unless it is reasonably certain that the Company will not exercise the option.</w:t>
      </w:r>
    </w:p>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Payments under the Company's lease arrangements are primarily fixed, however, certain lease agreements contain variable payments, which are expensed as incurred and not included in the operating lease right-of-use assets and liabilities. Variable lease payments are primarily comprised of payments affected by CPI and utility charges.</w:t>
      </w:r>
    </w:p>
    <w:p>
      <w:pPr>
        <w:pStyle w:val="TextBody"/>
        <w:bidi w:val="0"/>
        <w:spacing w:lineRule="auto" w:line="300" w:before="0" w:after="0"/>
        <w:ind w:left="426" w:right="0" w:hanging="0"/>
        <w:jc w:val="both"/>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w:t>
      </w:r>
    </w:p>
    <w:p>
      <w:pPr>
        <w:pStyle w:val="HorizontalLine"/>
        <w:bidi w:val="0"/>
        <w:spacing w:lineRule="auto" w:line="300" w:before="200" w:after="200"/>
        <w:jc w:val="both"/>
        <w:rPr/>
      </w:pPr>
      <w:r>
        <w:rPr/>
      </w:r>
    </w:p>
    <w:p>
      <w:pPr>
        <w:pStyle w:val="TextBody"/>
        <w:bidi w:val="0"/>
        <w:spacing w:lineRule="auto" w:line="300" w:before="0" w:after="160"/>
        <w:ind w:left="6" w:right="0" w:hanging="0"/>
        <w:jc w:val="right"/>
        <w:rPr>
          <w:rFonts w:ascii="Times New Roman;Times;serif" w:hAnsi="Times New Roman;Times;serif"/>
          <w:b/>
          <w:sz w:val="20"/>
        </w:rPr>
      </w:pPr>
      <w:r>
        <w:rPr>
          <w:rFonts w:ascii="Times New Roman;Times;serif" w:hAnsi="Times New Roman;Times;serif"/>
          <w:b/>
          <w:sz w:val="20"/>
        </w:rPr>
        <w:t>WALKME LTD. AND ITS SUBSIDIARIES</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HorizontalLine"/>
        <w:bidi w:val="0"/>
        <w:spacing w:lineRule="auto" w:line="300" w:before="0" w:after="0"/>
        <w:jc w:val="both"/>
        <w:rPr/>
      </w:pPr>
      <w:r>
        <w:rPr/>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2:</w:t>
      </w:r>
      <w:r>
        <w:rPr>
          <w:rFonts w:ascii="Times New Roman;Times;serif" w:hAnsi="Times New Roman;Times;serif"/>
          <w:sz w:val="20"/>
        </w:rPr>
        <w:t> </w:t>
      </w:r>
      <w:r>
        <w:rPr>
          <w:rFonts w:ascii="Times New Roman;Times;serif" w:hAnsi="Times New Roman;Times;serif"/>
          <w:b/>
          <w:sz w:val="20"/>
        </w:rPr>
        <w:t>SUMMARY OF SIGNIFICANT ACCOUNTING POLICIES (Cont.)</w:t>
      </w:r>
    </w:p>
    <w:p>
      <w:pPr>
        <w:pStyle w:val="TextBody"/>
        <w:bidi w:val="0"/>
        <w:spacing w:lineRule="auto" w:line="300" w:before="0" w:after="0"/>
        <w:jc w:val="both"/>
        <w:rPr/>
      </w:pPr>
      <w:r>
        <w:rPr/>
        <w:t> </w:t>
      </w:r>
    </w:p>
    <w:tbl>
      <w:tblPr>
        <w:tblW w:w="2155" w:type="dxa"/>
        <w:jc w:val="left"/>
        <w:tblInd w:w="0" w:type="dxa"/>
        <w:tblLayout w:type="fixed"/>
        <w:tblCellMar>
          <w:top w:w="0" w:type="dxa"/>
          <w:left w:w="0" w:type="dxa"/>
          <w:bottom w:w="0" w:type="dxa"/>
          <w:right w:w="0" w:type="dxa"/>
        </w:tblCellMar>
      </w:tblPr>
      <w:tblGrid>
        <w:gridCol w:w="185"/>
        <w:gridCol w:w="197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Business combinations: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Company accounts for business combinations in accordance with ASC 805, "Business Combinations" (“ASC 805”). ASC 805 requires recognition of assets acquired, liabilities assumed, and any non-controlling interest at the acquisition date, measured at their fair values as of that date. Any excess of the fair value of net assets acquired over purchase price is allocated to goodwill and any subsequent changes in estimated contingencies are to be recorded in earnings. Acquisition related costs are expensed to the statement of operations in the period incurred. The Company accounts for a transaction as an asset acquisition when substantially all of the fair value of the gross assets acquired is concentrated in a single identifiable asset or group of similar identifiable assets, or otherwise does not meet the definition of a business. Asset acquisition-related direct costs are capitalized as part of the assets or assets acquired.</w:t>
      </w:r>
    </w:p>
    <w:p>
      <w:pPr>
        <w:pStyle w:val="TextBody"/>
        <w:bidi w:val="0"/>
        <w:spacing w:lineRule="auto" w:line="300" w:before="0" w:after="0"/>
        <w:jc w:val="left"/>
        <w:rPr/>
      </w:pPr>
      <w:r>
        <w:rPr/>
        <w:t> </w:t>
      </w:r>
    </w:p>
    <w:tbl>
      <w:tblPr>
        <w:tblW w:w="2785" w:type="dxa"/>
        <w:jc w:val="left"/>
        <w:tblInd w:w="0" w:type="dxa"/>
        <w:tblLayout w:type="fixed"/>
        <w:tblCellMar>
          <w:top w:w="0" w:type="dxa"/>
          <w:left w:w="0" w:type="dxa"/>
          <w:bottom w:w="0" w:type="dxa"/>
          <w:right w:w="0" w:type="dxa"/>
        </w:tblCellMar>
      </w:tblPr>
      <w:tblGrid>
        <w:gridCol w:w="185"/>
        <w:gridCol w:w="260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w:t>
            </w:r>
          </w:p>
        </w:tc>
        <w:tc>
          <w:tcPr>
            <w:tcW w:w="26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Goodwill and intangible assets: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Goodwill represents the excess of the purchase price in a business combination over the fair value of net assets acquired. As of December 31, 2023 and 2022, the Company’s Goodwill balance was $1,481.</w:t>
      </w:r>
    </w:p>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Goodwill is not amortized, but rather the carrying amounts of these assets are assessed for impairment at least annually in the fourth quarter, or more frequently if events or changes in circumstances indicate that the carrying value of these assets may not be recoverable. Goodwill impairment, if any, is determined by comparing the reporting unit fair value to its carrying value. An impairment loss is recognized in an amount equal to the excess of the reporting unit’s carrying value over its fair value, up to the amount of goodwill allocated to the reporting unit. The Company operates as one reporting unit. There was no goodwill impairment for the years ended December 31, 2023, 2022 and 2021.</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Intangible assets are amortized on a straight-line basis over the estimated useful life of the respective asset. Each period the Company evaluates the estimated remaining useful lives of its intangible assets and whether events or changes in circumstances warrant a revision to the remaining period of amortization.</w:t>
      </w:r>
    </w:p>
    <w:p>
      <w:pPr>
        <w:pStyle w:val="TextBody"/>
        <w:bidi w:val="0"/>
        <w:spacing w:lineRule="auto" w:line="300" w:before="0" w:after="0"/>
        <w:jc w:val="left"/>
        <w:rPr/>
      </w:pPr>
      <w:r>
        <w:rPr/>
        <w:t> </w:t>
      </w:r>
    </w:p>
    <w:tbl>
      <w:tblPr>
        <w:tblW w:w="1450" w:type="dxa"/>
        <w:jc w:val="left"/>
        <w:tblInd w:w="0" w:type="dxa"/>
        <w:tblLayout w:type="fixed"/>
        <w:tblCellMar>
          <w:top w:w="0" w:type="dxa"/>
          <w:left w:w="0" w:type="dxa"/>
          <w:bottom w:w="0" w:type="dxa"/>
          <w:right w:w="0" w:type="dxa"/>
        </w:tblCellMar>
      </w:tblPr>
      <w:tblGrid>
        <w:gridCol w:w="185"/>
        <w:gridCol w:w="126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w:t>
            </w:r>
          </w:p>
        </w:tc>
        <w:tc>
          <w:tcPr>
            <w:tcW w:w="126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Severance pay:</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Israeli Severance Pay Law, 1963 ("Severance Pay Law"), specifies that employees are entitled to severance payment, following the termination of their employment. Under the Severance Pay Law, the severance payment is calculated as one month salary for each year of employment, or a portion thereof.</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All of the Company's liability for severance pay is covered by the provisions of Section 14 of the Israeli Severance Pay Law ("Section 14"). Under Section 14 employees are entitled to monthly deposits, at a rate of 8.33% of their monthly salary, continued on their behalf to their insurance funds. Payments in accordance with Section 14 release the Company from any future severance payments in respect of those employees. As a result, the Company does not recognize any liability for severance pay due to these employees and the deposits under Section 14 are not recorded as an asset in the Company's consolidated balance sheets.</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Severance expense for the years ended December 31, 2023, 2022 and 2021 amounted to $3,250, $3,967 and $3,490 respectively.</w:t>
      </w:r>
    </w:p>
    <w:p>
      <w:pPr>
        <w:pStyle w:val="TextBody"/>
        <w:bidi w:val="0"/>
        <w:spacing w:lineRule="auto" w:line="300" w:before="0" w:after="0"/>
        <w:jc w:val="left"/>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F-14</w:t>
      </w:r>
    </w:p>
    <w:p>
      <w:pPr>
        <w:pStyle w:val="HorizontalLine"/>
        <w:bidi w:val="0"/>
        <w:spacing w:lineRule="auto" w:line="300" w:before="200" w:after="200"/>
        <w:jc w:val="left"/>
        <w:rPr/>
      </w:pPr>
      <w:r>
        <w:rPr/>
      </w:r>
    </w:p>
    <w:p>
      <w:pPr>
        <w:pStyle w:val="TextBody"/>
        <w:bidi w:val="0"/>
        <w:spacing w:lineRule="auto" w:line="300" w:before="0" w:after="160"/>
        <w:ind w:left="6" w:right="0" w:hanging="0"/>
        <w:jc w:val="right"/>
        <w:rPr>
          <w:rFonts w:ascii="Times New Roman;Times;serif" w:hAnsi="Times New Roman;Times;serif"/>
          <w:b/>
          <w:sz w:val="20"/>
        </w:rPr>
      </w:pPr>
      <w:r>
        <w:rPr>
          <w:rFonts w:ascii="Times New Roman;Times;serif" w:hAnsi="Times New Roman;Times;serif"/>
          <w:b/>
          <w:sz w:val="20"/>
        </w:rPr>
        <w:t>WALKME LTD. AND ITS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HorizontalLine"/>
        <w:bidi w:val="0"/>
        <w:spacing w:lineRule="auto" w:line="300"/>
        <w:jc w:val="left"/>
        <w:rPr/>
      </w:pPr>
      <w:r>
        <w:rPr/>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2:</w:t>
      </w:r>
      <w:r>
        <w:rPr>
          <w:rFonts w:ascii="Times New Roman;Times;serif" w:hAnsi="Times New Roman;Times;serif"/>
          <w:sz w:val="20"/>
        </w:rPr>
        <w:t> </w:t>
      </w:r>
      <w:r>
        <w:rPr>
          <w:rFonts w:ascii="Times New Roman;Times;serif" w:hAnsi="Times New Roman;Times;serif"/>
          <w:b/>
          <w:sz w:val="20"/>
        </w:rPr>
        <w:t>SUMMARY OF SIGNIFICANT ACCOUNTING POLICIES (Cont.)</w:t>
      </w:r>
    </w:p>
    <w:p>
      <w:pPr>
        <w:pStyle w:val="TextBody"/>
        <w:bidi w:val="0"/>
        <w:spacing w:lineRule="auto" w:line="300" w:before="0" w:after="0"/>
        <w:jc w:val="both"/>
        <w:rPr/>
      </w:pPr>
      <w:r>
        <w:rPr/>
        <w:t> </w:t>
      </w:r>
    </w:p>
    <w:tbl>
      <w:tblPr>
        <w:tblW w:w="2695" w:type="dxa"/>
        <w:jc w:val="left"/>
        <w:tblInd w:w="0" w:type="dxa"/>
        <w:tblLayout w:type="fixed"/>
        <w:tblCellMar>
          <w:top w:w="0" w:type="dxa"/>
          <w:left w:w="0" w:type="dxa"/>
          <w:bottom w:w="0" w:type="dxa"/>
          <w:right w:w="0" w:type="dxa"/>
        </w:tblCellMar>
      </w:tblPr>
      <w:tblGrid>
        <w:gridCol w:w="140"/>
        <w:gridCol w:w="255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w:t>
            </w:r>
            <w:r>
              <w:rPr>
                <w:rFonts w:ascii="Times New Roman;Times;serif" w:hAnsi="Times New Roman;Times;serif"/>
                <w:b/>
                <w:sz w:val="20"/>
              </w:rPr>
              <w:t>.</w:t>
            </w:r>
          </w:p>
        </w:tc>
        <w:tc>
          <w:tcPr>
            <w:tcW w:w="25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U.S. defined contribution plan:</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U.S. subsidiary has a 401(k) defined contribution plan covering certain employees in the U.S. effective January 1, 2022. The Company matches 100% of employee contributions to the plan up to a limit of 5% of their eligible compensation capped at $5 per employee per year. For the year ended December 31, 2023 and 2022 the U.S. subsidiary recorded expenses for matching contributions of $2,087 and $2,211, respectively.</w:t>
      </w:r>
    </w:p>
    <w:p>
      <w:pPr>
        <w:pStyle w:val="TextBody"/>
        <w:bidi w:val="0"/>
        <w:spacing w:lineRule="auto" w:line="300" w:before="0" w:after="0"/>
        <w:jc w:val="left"/>
        <w:rPr/>
      </w:pPr>
      <w:r>
        <w:rPr/>
        <w:t> </w:t>
      </w:r>
    </w:p>
    <w:tbl>
      <w:tblPr>
        <w:tblW w:w="1405" w:type="dxa"/>
        <w:jc w:val="left"/>
        <w:tblInd w:w="0" w:type="dxa"/>
        <w:tblLayout w:type="fixed"/>
        <w:tblCellMar>
          <w:top w:w="0" w:type="dxa"/>
          <w:left w:w="0" w:type="dxa"/>
          <w:bottom w:w="0" w:type="dxa"/>
          <w:right w:w="0" w:type="dxa"/>
        </w:tblCellMar>
      </w:tblPr>
      <w:tblGrid>
        <w:gridCol w:w="155"/>
        <w:gridCol w:w="1250"/>
      </w:tblGrid>
      <w:tr>
        <w:trPr/>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t>
            </w:r>
            <w:r>
              <w:rPr>
                <w:rFonts w:ascii="Times New Roman;Times;serif" w:hAnsi="Times New Roman;Times;serif"/>
                <w:b/>
                <w:sz w:val="20"/>
              </w:rPr>
              <w:t>.</w:t>
            </w:r>
          </w:p>
        </w:tc>
        <w:tc>
          <w:tcPr>
            <w:tcW w:w="12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Self-Insurance:</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Effective January 1, 2023 the U.S. subsidiary utilizes a combination of insurance and self-insurance for employee related health care benefits (a portion of which is paid by its employees). Standard actuarial procedures and data analysis are used to estimate the liability associated with these risks on an undiscounted basis. The liability reflects the ultimate cost for claims incurred but not reported and are recorded under employee and payroll accruals. On a regular basis, the liabilities are evaluated for appropriateness with claims reserve valuations. To limit exposure to some risks, the Company maintains insurance coverage with varying limits and retentions, including stop-loss insurance coverage on an aggregate and individual basis.</w:t>
      </w:r>
    </w:p>
    <w:p>
      <w:pPr>
        <w:pStyle w:val="TextBody"/>
        <w:bidi w:val="0"/>
        <w:spacing w:lineRule="auto" w:line="300" w:before="0" w:after="0"/>
        <w:jc w:val="left"/>
        <w:rPr/>
      </w:pPr>
      <w:r>
        <w:rPr/>
        <w:t> </w:t>
      </w:r>
    </w:p>
    <w:tbl>
      <w:tblPr>
        <w:tblW w:w="1420" w:type="dxa"/>
        <w:jc w:val="left"/>
        <w:tblInd w:w="0" w:type="dxa"/>
        <w:tblLayout w:type="fixed"/>
        <w:tblCellMar>
          <w:top w:w="0" w:type="dxa"/>
          <w:left w:w="0" w:type="dxa"/>
          <w:bottom w:w="0" w:type="dxa"/>
          <w:right w:w="0" w:type="dxa"/>
        </w:tblCellMar>
      </w:tblPr>
      <w:tblGrid>
        <w:gridCol w:w="140"/>
        <w:gridCol w:w="128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t>
            </w:r>
          </w:p>
        </w:tc>
        <w:tc>
          <w:tcPr>
            <w:tcW w:w="12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Contingencies: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Company accounts for its contingent liabilities in accordance with ASC 450, Contingencies ("ASC 450").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w:t>
      </w:r>
    </w:p>
    <w:p>
      <w:pPr>
        <w:pStyle w:val="TextBody"/>
        <w:bidi w:val="0"/>
        <w:spacing w:lineRule="auto" w:line="300" w:before="0" w:after="0"/>
        <w:ind w:left="426" w:right="0" w:hanging="0"/>
        <w:jc w:val="both"/>
        <w:rPr/>
      </w:pPr>
      <w:r>
        <w:rPr/>
        <w:t> </w:t>
      </w:r>
    </w:p>
    <w:tbl>
      <w:tblPr>
        <w:tblW w:w="1990" w:type="dxa"/>
        <w:jc w:val="left"/>
        <w:tblInd w:w="0" w:type="dxa"/>
        <w:tblLayout w:type="fixed"/>
        <w:tblCellMar>
          <w:top w:w="0" w:type="dxa"/>
          <w:left w:w="0" w:type="dxa"/>
          <w:bottom w:w="0" w:type="dxa"/>
          <w:right w:w="0" w:type="dxa"/>
        </w:tblCellMar>
      </w:tblPr>
      <w:tblGrid>
        <w:gridCol w:w="185"/>
        <w:gridCol w:w="180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w:t>
            </w:r>
          </w:p>
        </w:tc>
        <w:tc>
          <w:tcPr>
            <w:tcW w:w="18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Revenue recognition:</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Company recognizes revenue in accordance with ASC Topic 606, Revenue from contracts with customers (“ASC 606”) and determines revenue recognition through the following steps:</w:t>
      </w:r>
    </w:p>
    <w:p>
      <w:pPr>
        <w:pStyle w:val="TextBody"/>
        <w:bidi w:val="0"/>
        <w:spacing w:lineRule="auto" w:line="300" w:before="0" w:after="0"/>
        <w:ind w:left="426" w:right="0" w:hanging="0"/>
        <w:jc w:val="both"/>
        <w:rPr/>
      </w:pPr>
      <w:r>
        <w:rPr/>
        <w:t> </w:t>
      </w:r>
    </w:p>
    <w:tbl>
      <w:tblPr>
        <w:tblW w:w="5065" w:type="dxa"/>
        <w:jc w:val="left"/>
        <w:tblInd w:w="0" w:type="dxa"/>
        <w:tblLayout w:type="fixed"/>
        <w:tblCellMar>
          <w:top w:w="0" w:type="dxa"/>
          <w:left w:w="0" w:type="dxa"/>
          <w:bottom w:w="0" w:type="dxa"/>
          <w:right w:w="0" w:type="dxa"/>
        </w:tblCellMar>
      </w:tblPr>
      <w:tblGrid>
        <w:gridCol w:w="75"/>
        <w:gridCol w:w="170"/>
        <w:gridCol w:w="48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8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Identification of the contract, or contracts, with a customer;</w:t>
            </w:r>
          </w:p>
        </w:tc>
      </w:tr>
    </w:tbl>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Identification of the performance obligations in the contract;</w:t>
            </w:r>
          </w:p>
        </w:tc>
      </w:tr>
    </w:tbl>
    <w:tbl>
      <w:tblPr>
        <w:tblW w:w="3415" w:type="dxa"/>
        <w:jc w:val="left"/>
        <w:tblInd w:w="0" w:type="dxa"/>
        <w:tblLayout w:type="fixed"/>
        <w:tblCellMar>
          <w:top w:w="0" w:type="dxa"/>
          <w:left w:w="0" w:type="dxa"/>
          <w:bottom w:w="0" w:type="dxa"/>
          <w:right w:w="0" w:type="dxa"/>
        </w:tblCellMar>
      </w:tblPr>
      <w:tblGrid>
        <w:gridCol w:w="75"/>
        <w:gridCol w:w="170"/>
        <w:gridCol w:w="3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Determination of the transaction price;</w:t>
            </w:r>
          </w:p>
        </w:tc>
      </w:tr>
    </w:tbl>
    <w:tbl>
      <w:tblPr>
        <w:tblW w:w="7210" w:type="dxa"/>
        <w:jc w:val="left"/>
        <w:tblInd w:w="0" w:type="dxa"/>
        <w:tblLayout w:type="fixed"/>
        <w:tblCellMar>
          <w:top w:w="0" w:type="dxa"/>
          <w:left w:w="0" w:type="dxa"/>
          <w:bottom w:w="0" w:type="dxa"/>
          <w:right w:w="0" w:type="dxa"/>
        </w:tblCellMar>
      </w:tblPr>
      <w:tblGrid>
        <w:gridCol w:w="75"/>
        <w:gridCol w:w="170"/>
        <w:gridCol w:w="69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9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Allocation of the transaction price to the performance obligations in the contract; and</w:t>
            </w:r>
          </w:p>
        </w:tc>
      </w:tr>
    </w:tbl>
    <w:tbl>
      <w:tblPr>
        <w:tblW w:w="6565" w:type="dxa"/>
        <w:jc w:val="left"/>
        <w:tblInd w:w="0" w:type="dxa"/>
        <w:tblLayout w:type="fixed"/>
        <w:tblCellMar>
          <w:top w:w="0" w:type="dxa"/>
          <w:left w:w="0" w:type="dxa"/>
          <w:bottom w:w="0" w:type="dxa"/>
          <w:right w:w="0" w:type="dxa"/>
        </w:tblCellMar>
      </w:tblPr>
      <w:tblGrid>
        <w:gridCol w:w="75"/>
        <w:gridCol w:w="170"/>
        <w:gridCol w:w="6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Recognition of revenue when, or as, the performance obligations are satisfied.</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Company revenues are comprised from Software-as-a-Service (“SaaS”) subscriptions and professional services which are distinct and accounted for as separate performance obligations. The Company solution, which allows the customer to access its hosted platform over the contract period without taking possession of the platform, provided on a subscription basis, and recognized ratably over the contract period. Professional services revenues are recognized as services are performed or over time.</w:t>
      </w:r>
    </w:p>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Company recognizes revenue when its customer obtains control of promised services in an amount that reflects the consideration that the company expects to receive in exchange for those services.</w:t>
      </w:r>
    </w:p>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Subscription services and professional services arrangements are generally non-cancelable and do not allow refunds to customers.</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transaction price is determined based on the consideration to which the Company will be entitled in exchange for transferring goods or services to the customer, excluding taxes assessed by a governmental authority, that are collected by the Company from a customer.</w:t>
      </w:r>
    </w:p>
    <w:p>
      <w:pPr>
        <w:pStyle w:val="TextBody"/>
        <w:bidi w:val="0"/>
        <w:spacing w:lineRule="auto" w:line="300" w:before="0" w:after="0"/>
        <w:ind w:left="426" w:right="0" w:hanging="0"/>
        <w:jc w:val="both"/>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w:t>
      </w:r>
    </w:p>
    <w:p>
      <w:pPr>
        <w:pStyle w:val="HorizontalLine"/>
        <w:bidi w:val="0"/>
        <w:spacing w:before="200" w:after="200"/>
        <w:jc w:val="left"/>
        <w:rPr/>
      </w:pPr>
      <w:r>
        <w:rPr/>
      </w:r>
    </w:p>
    <w:p>
      <w:pPr>
        <w:pStyle w:val="TextBody"/>
        <w:bidi w:val="0"/>
        <w:spacing w:lineRule="auto" w:line="300" w:before="0" w:after="160"/>
        <w:ind w:left="6" w:right="0" w:hanging="0"/>
        <w:jc w:val="right"/>
        <w:rPr>
          <w:rFonts w:ascii="Times New Roman;Times;serif" w:hAnsi="Times New Roman;Times;serif"/>
          <w:b/>
          <w:sz w:val="20"/>
        </w:rPr>
      </w:pPr>
      <w:r>
        <w:rPr>
          <w:rFonts w:ascii="Times New Roman;Times;serif" w:hAnsi="Times New Roman;Times;serif"/>
          <w:b/>
          <w:sz w:val="20"/>
        </w:rPr>
        <w:t>WALKME LTD. AND ITS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HorizontalLine"/>
        <w:bidi w:val="0"/>
        <w:spacing w:lineRule="auto" w:line="300"/>
        <w:jc w:val="left"/>
        <w:rPr/>
      </w:pPr>
      <w:r>
        <w:rPr/>
      </w:r>
    </w:p>
    <w:p>
      <w:pPr>
        <w:pStyle w:val="TextBody"/>
        <w:bidi w:val="0"/>
        <w:spacing w:lineRule="auto" w:line="300"/>
        <w:jc w:val="both"/>
        <w:rPr>
          <w:sz w:val="20"/>
        </w:rPr>
      </w:pPr>
      <w:r>
        <w:rPr>
          <w:rFonts w:ascii="Times New Roman;Times;serif" w:hAnsi="Times New Roman;Times;serif"/>
          <w:b/>
          <w:sz w:val="20"/>
        </w:rPr>
        <w:t>NOTE 2:</w:t>
      </w:r>
      <w:r>
        <w:rPr>
          <w:rFonts w:ascii="Times New Roman;Times;serif" w:hAnsi="Times New Roman;Times;serif"/>
          <w:sz w:val="20"/>
        </w:rPr>
        <w:t> </w:t>
      </w:r>
      <w:r>
        <w:rPr>
          <w:rFonts w:ascii="Times New Roman;Times;serif" w:hAnsi="Times New Roman;Times;serif"/>
          <w:b/>
          <w:sz w:val="20"/>
        </w:rPr>
        <w:t>SUMMARY OF SIGNIFICANT ACCOUNTING POLICIES (Cont.)</w:t>
      </w:r>
      <w:r>
        <w:rPr>
          <w:sz w:val="20"/>
        </w:rPr>
        <w:t xml:space="preserve"> </w:t>
      </w:r>
    </w:p>
    <w:p>
      <w:pPr>
        <w:pStyle w:val="TextBody"/>
        <w:bidi w:val="0"/>
        <w:spacing w:lineRule="auto" w:line="300" w:before="0" w:after="0"/>
        <w:ind w:left="0"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For arrangements with multiple performance obligations, which represent promises within an arrangement that are capable of being distinct, the Company allocates revenue to all distinct performance obligations based on their relative stand-alone selling price (“SSP”). The Company uses judgment in determining the SSP. If the SSP is not observable through standalone transactions, the Company estimates the SSP considering available information such as market segment, number of users, geographic factors, and internally approved pricing guidelines related to the performance obligation.</w:t>
      </w:r>
    </w:p>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Company typically establish SSP for its products and services, which is reassessed on a periodic basis or when facts and circumstances change.</w:t>
      </w:r>
    </w:p>
    <w:p>
      <w:pPr>
        <w:pStyle w:val="TextBody"/>
        <w:bidi w:val="0"/>
        <w:spacing w:lineRule="auto" w:line="300" w:before="0" w:after="0"/>
        <w:jc w:val="left"/>
        <w:rPr/>
      </w:pPr>
      <w:r>
        <w:rPr/>
        <w:t> </w:t>
      </w:r>
    </w:p>
    <w:p>
      <w:pPr>
        <w:pStyle w:val="TextBody"/>
        <w:bidi w:val="0"/>
        <w:spacing w:lineRule="auto" w:line="300"/>
        <w:ind w:left="426" w:right="0" w:hanging="0"/>
        <w:jc w:val="both"/>
        <w:rPr>
          <w:rFonts w:ascii="Times New Roman;Times;serif" w:hAnsi="Times New Roman;Times;serif"/>
          <w:sz w:val="20"/>
        </w:rPr>
      </w:pPr>
      <w:r>
        <w:rPr>
          <w:rFonts w:ascii="Times New Roman;Times;serif" w:hAnsi="Times New Roman;Times;serif"/>
          <w:sz w:val="20"/>
        </w:rPr>
        <w:t>The Company applied the practical expedient in Topic 606 and did not evaluate contracts of one year or less for the existence of a significant financing component.</w:t>
      </w:r>
    </w:p>
    <w:p>
      <w:pPr>
        <w:pStyle w:val="TextBody"/>
        <w:bidi w:val="0"/>
        <w:spacing w:before="0" w:after="0"/>
        <w:ind w:left="0" w:right="0" w:hanging="0"/>
        <w:jc w:val="left"/>
        <w:rPr/>
      </w:pPr>
      <w:r>
        <w:rPr/>
        <w:t> </w:t>
      </w:r>
    </w:p>
    <w:p>
      <w:pPr>
        <w:pStyle w:val="TextBody"/>
        <w:bidi w:val="0"/>
        <w:spacing w:lineRule="auto" w:line="300" w:before="0" w:after="0"/>
        <w:jc w:val="left"/>
        <w:rPr/>
      </w:pPr>
      <w:r>
        <w:rPr/>
        <w:t> </w:t>
      </w:r>
    </w:p>
    <w:tbl>
      <w:tblPr>
        <w:tblW w:w="2275" w:type="dxa"/>
        <w:jc w:val="left"/>
        <w:tblInd w:w="0" w:type="dxa"/>
        <w:tblLayout w:type="fixed"/>
        <w:tblCellMar>
          <w:top w:w="0" w:type="dxa"/>
          <w:left w:w="0" w:type="dxa"/>
          <w:bottom w:w="0" w:type="dxa"/>
          <w:right w:w="0" w:type="dxa"/>
        </w:tblCellMar>
      </w:tblPr>
      <w:tblGrid>
        <w:gridCol w:w="185"/>
        <w:gridCol w:w="209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20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Cost to obtain a contract:</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Company capitalizes certain sales commissions and associated payroll taxes paid to its sales force that are incremental to the acquisition of customer contracts and recoverable. Costs capitalized related to new revenue contracts, which are not commensurate with sales commissions paid for renewal contracts, are amortized on a straight-line basis over four years and costs for renewals are amortized over the weighted average renewal contract term. The Company has applied the practical expedient to expense costs as incurred for costs to obtain a contract with a customer when the amortization period would have been one year or less. There were no impairments of costs to obtain revenue contracts during the years ended December 31, 2023, 2022 and 2021.</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following table represents a rollforward of deferred contract acquisition costs:</w:t>
      </w:r>
    </w:p>
    <w:p>
      <w:pPr>
        <w:pStyle w:val="TextBody"/>
        <w:bidi w:val="0"/>
        <w:spacing w:lineRule="auto" w:line="300" w:before="0" w:after="0"/>
        <w:ind w:left="426" w:right="0" w:hanging="0"/>
        <w:jc w:val="both"/>
        <w:rPr/>
      </w:pPr>
      <w:r>
        <w:rPr/>
        <w:t> </w:t>
      </w:r>
    </w:p>
    <w:tbl>
      <w:tblPr>
        <w:tblW w:w="8600" w:type="dxa"/>
        <w:jc w:val="left"/>
        <w:tblInd w:w="540" w:type="dxa"/>
        <w:tblLayout w:type="fixed"/>
        <w:tblCellMar>
          <w:top w:w="0" w:type="dxa"/>
          <w:left w:w="0" w:type="dxa"/>
          <w:bottom w:w="0" w:type="dxa"/>
          <w:right w:w="0" w:type="dxa"/>
        </w:tblCellMar>
      </w:tblPr>
      <w:tblGrid>
        <w:gridCol w:w="5855"/>
        <w:gridCol w:w="60"/>
        <w:gridCol w:w="125"/>
        <w:gridCol w:w="650"/>
        <w:gridCol w:w="80"/>
        <w:gridCol w:w="60"/>
        <w:gridCol w:w="125"/>
        <w:gridCol w:w="650"/>
        <w:gridCol w:w="80"/>
        <w:gridCol w:w="60"/>
        <w:gridCol w:w="125"/>
        <w:gridCol w:w="650"/>
        <w:gridCol w:w="80"/>
      </w:tblGrid>
      <w:tr>
        <w:trPr/>
        <w:tc>
          <w:tcPr>
            <w:tcW w:w="5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5" w:type="dxa"/>
            <w:gridSpan w:val="10"/>
            <w:tcBorders>
              <w:bottom w:val="single" w:sz="12" w:space="0" w:color="000000"/>
            </w:tcBorders>
            <w:tcMar>
              <w:bottom w:w="28" w:type="dxa"/>
            </w:tcMar>
            <w:vAlign w:val="center"/>
          </w:tcPr>
          <w:p>
            <w:pPr>
              <w:pStyle w:val="TableContents"/>
              <w:bidi w:val="0"/>
              <w:spacing w:lineRule="auto" w:line="300" w:before="0" w:after="0"/>
              <w:ind w:left="0" w:right="0" w:firstLine="40"/>
              <w:jc w:val="center"/>
              <w:rPr>
                <w:rFonts w:ascii="Times New Roman;Times;serif" w:hAnsi="Times New Roman;Times;serif"/>
                <w:b/>
                <w:sz w:val="20"/>
              </w:rPr>
            </w:pPr>
            <w:r>
              <w:rPr>
                <w:rFonts w:ascii="Times New Roman;Times;serif" w:hAnsi="Times New Roman;Times;serif"/>
                <w:b/>
                <w:sz w:val="20"/>
              </w:rPr>
              <w:t>Year ended</w:t>
            </w:r>
          </w:p>
          <w:p>
            <w:pPr>
              <w:pStyle w:val="TableContents"/>
              <w:bidi w:val="0"/>
              <w:spacing w:lineRule="auto" w:line="300" w:before="0" w:after="0"/>
              <w:ind w:left="0" w:right="0" w:firstLine="40"/>
              <w:jc w:val="center"/>
              <w:rPr>
                <w:rFonts w:ascii="Times New Roman;Times;serif" w:hAnsi="Times New Roman;Times;serif"/>
                <w:b/>
                <w:sz w:val="20"/>
              </w:rPr>
            </w:pPr>
            <w:r>
              <w:rPr>
                <w:rFonts w:ascii="Times New Roman;Times;serif" w:hAnsi="Times New Roman;Times;serif"/>
                <w:b/>
                <w:sz w:val="20"/>
              </w:rPr>
              <w:t>December 31,</w:t>
            </w:r>
          </w:p>
        </w:tc>
        <w:tc>
          <w:tcPr>
            <w:tcW w:w="80" w:type="dxa"/>
            <w:tcBorders/>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80" w:type="dxa"/>
            <w:tcBorders/>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Beginning balance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66,397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56,374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29,729</w:t>
            </w:r>
          </w:p>
        </w:tc>
        <w:tc>
          <w:tcPr>
            <w:tcW w:w="80" w:type="dxa"/>
            <w:tcBorders/>
            <w:shd w:fill="CCEEFF" w:val="clear"/>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Additions to deferred contract acquisition costs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19,477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33,711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41,396</w:t>
            </w:r>
          </w:p>
        </w:tc>
        <w:tc>
          <w:tcPr>
            <w:tcW w:w="80" w:type="dxa"/>
            <w:tcBorders/>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deferred contract acquisition costs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(28,814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(23,688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(14,751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8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Ending balance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57,060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66,397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56,374</w:t>
            </w:r>
          </w:p>
        </w:tc>
        <w:tc>
          <w:tcPr>
            <w:tcW w:w="80" w:type="dxa"/>
            <w:tcBorders/>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Deferred contract acquisition costs (to be recognized in next 12 months)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26,793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26,287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20,405</w:t>
            </w:r>
          </w:p>
        </w:tc>
        <w:tc>
          <w:tcPr>
            <w:tcW w:w="80" w:type="dxa"/>
            <w:tcBorders/>
            <w:shd w:fill="CCEEFF" w:val="clear"/>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Deferred contract acquisition costs, non-current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30,267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40,110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35,969</w:t>
            </w:r>
          </w:p>
        </w:tc>
        <w:tc>
          <w:tcPr>
            <w:tcW w:w="80" w:type="dxa"/>
            <w:tcBorders/>
            <w:vAlign w:val="center"/>
          </w:tcPr>
          <w:p>
            <w:pPr>
              <w:pStyle w:val="TableContents"/>
              <w:bidi w:val="0"/>
              <w:spacing w:before="0" w:after="283"/>
              <w:jc w:val="left"/>
              <w:rPr/>
            </w:pPr>
            <w:r>
              <w:rPr/>
              <w:t> </w:t>
            </w:r>
          </w:p>
        </w:tc>
      </w:tr>
    </w:tbl>
    <w:p>
      <w:pPr>
        <w:pStyle w:val="TextBody"/>
        <w:bidi w:val="0"/>
        <w:spacing w:lineRule="auto" w:line="300" w:before="0" w:after="0"/>
        <w:ind w:left="540" w:right="0" w:hanging="0"/>
        <w:jc w:val="left"/>
        <w:rPr/>
      </w:pPr>
      <w:r>
        <w:rPr/>
        <w:t> </w:t>
      </w:r>
    </w:p>
    <w:tbl>
      <w:tblPr>
        <w:tblW w:w="5005" w:type="dxa"/>
        <w:jc w:val="left"/>
        <w:tblInd w:w="0" w:type="dxa"/>
        <w:tblLayout w:type="fixed"/>
        <w:tblCellMar>
          <w:top w:w="0" w:type="dxa"/>
          <w:left w:w="0" w:type="dxa"/>
          <w:bottom w:w="0" w:type="dxa"/>
          <w:right w:w="0" w:type="dxa"/>
        </w:tblCellMar>
      </w:tblPr>
      <w:tblGrid>
        <w:gridCol w:w="215"/>
        <w:gridCol w:w="479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w:t>
            </w:r>
          </w:p>
        </w:tc>
        <w:tc>
          <w:tcPr>
            <w:tcW w:w="47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Deferred revenues and remaining performance obligations: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sz w:val="20"/>
        </w:rPr>
      </w:pPr>
      <w:r>
        <w:rPr>
          <w:rFonts w:ascii="Times New Roman;Times;serif" w:hAnsi="Times New Roman;Times;serif"/>
          <w:sz w:val="20"/>
        </w:rPr>
        <w:t>Deferred revenue primarily consists of billings or payments received in advance of revenue recognition and is recognized as the revenue recognition criteria are met. The Company recognized revenue of $106,267 and $82,080 for the years ended December 31, 2023 and 2022, respectively, that were included in the corresponding contract liability balance at the beginning of the period.</w:t>
      </w:r>
      <w:r>
        <w:rPr>
          <w:sz w:val="20"/>
        </w:rPr>
        <w:t xml:space="preserve"> </w:t>
      </w:r>
    </w:p>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Deferred revenue that is anticipated to be recognized during the succeeding 12-months period is recorded as current deferred revenue and the remaining portion is recorded as non-current deferred revenue. For disaggregation of revenue please refer to note 12.</w:t>
      </w:r>
    </w:p>
    <w:p>
      <w:pPr>
        <w:pStyle w:val="TextBody"/>
        <w:bidi w:val="0"/>
        <w:spacing w:lineRule="auto" w:line="300" w:before="0" w:after="0"/>
        <w:ind w:left="426" w:right="0" w:hanging="0"/>
        <w:jc w:val="both"/>
        <w:rPr/>
      </w:pPr>
      <w:r>
        <w:rPr/>
        <w:t> </w:t>
      </w:r>
    </w:p>
    <w:p>
      <w:pPr>
        <w:pStyle w:val="TextBody"/>
        <w:bidi w:val="0"/>
        <w:spacing w:lineRule="auto" w:line="300"/>
        <w:ind w:left="426" w:right="0" w:hanging="0"/>
        <w:jc w:val="both"/>
        <w:rPr>
          <w:rFonts w:ascii="Times New Roman;Times;serif" w:hAnsi="Times New Roman;Times;serif"/>
          <w:sz w:val="20"/>
        </w:rPr>
      </w:pPr>
      <w:r>
        <w:rPr>
          <w:rFonts w:ascii="Times New Roman;Times;serif" w:hAnsi="Times New Roman;Times;serif"/>
          <w:sz w:val="20"/>
        </w:rPr>
        <w:t>As of December 31, 2023, the total remaining non-cancellable performance obligations under the Company’s contracts with customers was $384,444 which includes certain amounts subject to customary termination rights under the Federal Acquisition Regulations (FAR) or Defense Federal Acquisition Regulation Supplement (DFARS). The Company expects to recognize revenue of $214,956, or 56%, over the next 12 months, with the remainder to be recognized thereafter.</w:t>
      </w:r>
    </w:p>
    <w:p>
      <w:pPr>
        <w:pStyle w:val="TextBody"/>
        <w:bidi w:val="0"/>
        <w:spacing w:before="0" w:after="0"/>
        <w:ind w:left="0" w:right="0" w:hanging="0"/>
        <w:jc w:val="left"/>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w:t>
      </w:r>
    </w:p>
    <w:p>
      <w:pPr>
        <w:pStyle w:val="HorizontalLine"/>
        <w:bidi w:val="0"/>
        <w:spacing w:lineRule="auto" w:line="300" w:before="200" w:after="200"/>
        <w:jc w:val="left"/>
        <w:rPr/>
      </w:pPr>
      <w:r>
        <w:rPr/>
      </w:r>
    </w:p>
    <w:p>
      <w:pPr>
        <w:pStyle w:val="TextBody"/>
        <w:bidi w:val="0"/>
        <w:spacing w:lineRule="auto" w:line="300" w:before="0" w:after="160"/>
        <w:ind w:left="6" w:right="0" w:hanging="0"/>
        <w:jc w:val="right"/>
        <w:rPr>
          <w:rFonts w:ascii="Times New Roman;Times;serif" w:hAnsi="Times New Roman;Times;serif"/>
          <w:b/>
          <w:sz w:val="20"/>
        </w:rPr>
      </w:pPr>
      <w:r>
        <w:rPr>
          <w:rFonts w:ascii="Times New Roman;Times;serif" w:hAnsi="Times New Roman;Times;serif"/>
          <w:b/>
          <w:sz w:val="20"/>
        </w:rPr>
        <w:t>WALKME LTD. AND ITS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HorizontalLine"/>
        <w:bidi w:val="0"/>
        <w:spacing w:lineRule="auto" w:line="300"/>
        <w:jc w:val="left"/>
        <w:rPr/>
      </w:pPr>
      <w:r>
        <w:rPr/>
      </w:r>
    </w:p>
    <w:p>
      <w:pPr>
        <w:pStyle w:val="TextBody"/>
        <w:bidi w:val="0"/>
        <w:spacing w:lineRule="auto" w:line="300"/>
        <w:jc w:val="both"/>
        <w:rPr>
          <w:sz w:val="20"/>
        </w:rPr>
      </w:pPr>
      <w:r>
        <w:rPr>
          <w:rFonts w:ascii="Times New Roman;Times;serif" w:hAnsi="Times New Roman;Times;serif"/>
          <w:b/>
          <w:sz w:val="20"/>
        </w:rPr>
        <w:t>NOTE 2:</w:t>
      </w:r>
      <w:r>
        <w:rPr>
          <w:rFonts w:ascii="Times New Roman;Times;serif" w:hAnsi="Times New Roman;Times;serif"/>
          <w:sz w:val="20"/>
        </w:rPr>
        <w:t> </w:t>
      </w:r>
      <w:r>
        <w:rPr>
          <w:rFonts w:ascii="Times New Roman;Times;serif" w:hAnsi="Times New Roman;Times;serif"/>
          <w:b/>
          <w:sz w:val="20"/>
        </w:rPr>
        <w:t>SUMMARY OF SIGNIFICANT ACCOUNTING POLICIES (Cont.)</w:t>
      </w:r>
      <w:r>
        <w:rPr>
          <w:sz w:val="20"/>
        </w:rPr>
        <w:t xml:space="preserve"> </w:t>
      </w:r>
    </w:p>
    <w:p>
      <w:pPr>
        <w:pStyle w:val="TextBody"/>
        <w:bidi w:val="0"/>
        <w:spacing w:lineRule="auto" w:line="300" w:before="0" w:after="0"/>
        <w:ind w:left="0" w:right="0" w:hanging="0"/>
        <w:jc w:val="both"/>
        <w:rPr/>
      </w:pPr>
      <w:r>
        <w:rPr/>
        <w:t> </w:t>
      </w:r>
    </w:p>
    <w:tbl>
      <w:tblPr>
        <w:tblW w:w="2545" w:type="dxa"/>
        <w:jc w:val="left"/>
        <w:tblInd w:w="0" w:type="dxa"/>
        <w:tblLayout w:type="fixed"/>
        <w:tblCellMar>
          <w:top w:w="0" w:type="dxa"/>
          <w:left w:w="0" w:type="dxa"/>
          <w:bottom w:w="0" w:type="dxa"/>
          <w:right w:w="0" w:type="dxa"/>
        </w:tblCellMar>
      </w:tblPr>
      <w:tblGrid>
        <w:gridCol w:w="185"/>
        <w:gridCol w:w="236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w:t>
            </w:r>
          </w:p>
        </w:tc>
        <w:tc>
          <w:tcPr>
            <w:tcW w:w="23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Software development costs: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Company capitalizes qualifying internal use software development costs related to its cloud platform. The costs consist of personnel costs (including related benefits and share-based compensation) that are incurred during the application development stage. Capitalization of costs begins when two criteria are met: (1) the preliminary project stage is completed,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 implementation operating activities are expensed as incurred. Capitalized costs are included in property and equipment, net.</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These costs are amortized over the estimated useful life of the software, which is three years, on a straight-line basis, which represents the manner in which the expected benefit will be derived. The amortization of costs related to the platform applications is included in cost of revenue in the consolidated statements of operations.</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Management evaluates the useful lives of these assets on an annual basis and tests for impairment whenever events or changes in circumstances occur that could impact the recoverability of these assets.</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For the years ended December 31, 2023, 2022 and 2021 the Company capitalized a total amount of $4,071, $4,955 and $3,912 respectively.</w:t>
      </w:r>
    </w:p>
    <w:p>
      <w:pPr>
        <w:pStyle w:val="TextBody"/>
        <w:bidi w:val="0"/>
        <w:spacing w:lineRule="auto" w:line="300"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185"/>
        <w:gridCol w:w="228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w:t>
            </w:r>
          </w:p>
        </w:tc>
        <w:tc>
          <w:tcPr>
            <w:tcW w:w="228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Research and development:</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sz w:val="20"/>
        </w:rPr>
      </w:pPr>
      <w:r>
        <w:rPr>
          <w:rFonts w:ascii="Times New Roman;Times;serif" w:hAnsi="Times New Roman;Times;serif"/>
          <w:sz w:val="20"/>
        </w:rPr>
        <w:t>Research and development costs include personnel-related costs associated with the Company’s engineering, data science, product and design teams as well as consulting and professional fees, for third-party development resources, third-party licenses for software development tools and allocated overhead costs. Research and development are generally expensed as incurred except for certain internal-use software development costs, which may be capitalized as noted above.</w:t>
      </w:r>
      <w:r>
        <w:rPr>
          <w:sz w:val="20"/>
        </w:rPr>
        <w:t xml:space="preserve"> </w:t>
      </w:r>
    </w:p>
    <w:p>
      <w:pPr>
        <w:pStyle w:val="TextBody"/>
        <w:bidi w:val="0"/>
        <w:spacing w:lineRule="auto" w:line="300" w:before="0" w:after="0"/>
        <w:jc w:val="left"/>
        <w:rPr/>
      </w:pPr>
      <w:r>
        <w:rPr/>
        <w:t> </w:t>
      </w:r>
    </w:p>
    <w:tbl>
      <w:tblPr>
        <w:tblW w:w="2005" w:type="dxa"/>
        <w:jc w:val="left"/>
        <w:tblInd w:w="0" w:type="dxa"/>
        <w:tblLayout w:type="fixed"/>
        <w:tblCellMar>
          <w:top w:w="0" w:type="dxa"/>
          <w:left w:w="0" w:type="dxa"/>
          <w:bottom w:w="0" w:type="dxa"/>
          <w:right w:w="0" w:type="dxa"/>
        </w:tblCellMar>
      </w:tblPr>
      <w:tblGrid>
        <w:gridCol w:w="170"/>
        <w:gridCol w:w="18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w:t>
            </w:r>
          </w:p>
        </w:tc>
        <w:tc>
          <w:tcPr>
            <w:tcW w:w="18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Advertising expenses: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Advertising cost are expensed as incurred. Advertising expenses amounted to $11,987, $15,168 and $18,658 for the years ended December 31, 2023, 2022 and 2021, respectively.</w:t>
      </w:r>
    </w:p>
    <w:p>
      <w:pPr>
        <w:pStyle w:val="TextBody"/>
        <w:bidi w:val="0"/>
        <w:spacing w:lineRule="auto" w:line="300"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260"/>
        <w:gridCol w:w="294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aa.</w:t>
            </w:r>
          </w:p>
        </w:tc>
        <w:tc>
          <w:tcPr>
            <w:tcW w:w="29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Basic and diluted net loss per share:</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Basic and diluted net loss per share is computed based on the weighted-average number of shares of ordinary shares outstanding during each year. Diluted loss per share is computed based on the weighted average number of ordinary shares outstanding during the period, plus dilutive potential shares considered outstanding during the period, in accordance with ASC 260-10. Basic and diluted net loss per share of ordinary shares was the same for each period presented as the inclusion of all potential ordinary shares outstanding was anti-dilutive.</w:t>
      </w:r>
    </w:p>
    <w:p>
      <w:pPr>
        <w:pStyle w:val="TextBody"/>
        <w:bidi w:val="0"/>
        <w:spacing w:lineRule="auto" w:line="300" w:before="0" w:after="0"/>
        <w:jc w:val="left"/>
        <w:rPr/>
      </w:pPr>
      <w:r>
        <w:rPr/>
        <w:t> </w:t>
      </w:r>
    </w:p>
    <w:tbl>
      <w:tblPr>
        <w:tblW w:w="2545" w:type="dxa"/>
        <w:jc w:val="left"/>
        <w:tblInd w:w="0" w:type="dxa"/>
        <w:tblLayout w:type="fixed"/>
        <w:tblCellMar>
          <w:top w:w="0" w:type="dxa"/>
          <w:left w:w="0" w:type="dxa"/>
          <w:bottom w:w="0" w:type="dxa"/>
          <w:right w:w="0" w:type="dxa"/>
        </w:tblCellMar>
      </w:tblPr>
      <w:tblGrid>
        <w:gridCol w:w="290"/>
        <w:gridCol w:w="225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bb.</w:t>
            </w:r>
          </w:p>
        </w:tc>
        <w:tc>
          <w:tcPr>
            <w:tcW w:w="22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Share-based compensation:</w:t>
            </w:r>
          </w:p>
        </w:tc>
      </w:tr>
    </w:tbl>
    <w:p>
      <w:pPr>
        <w:pStyle w:val="TextBody"/>
        <w:bidi w:val="0"/>
        <w:spacing w:lineRule="auto" w:line="300" w:before="0" w:after="0"/>
        <w:ind w:left="426" w:right="0" w:hanging="0"/>
        <w:jc w:val="both"/>
        <w:rPr/>
      </w:pPr>
      <w:r>
        <w:rPr/>
        <w:t> </w:t>
      </w:r>
    </w:p>
    <w:p>
      <w:pPr>
        <w:pStyle w:val="TextBody"/>
        <w:bidi w:val="0"/>
        <w:spacing w:lineRule="auto" w:line="300"/>
        <w:ind w:left="426" w:right="0" w:hanging="0"/>
        <w:jc w:val="both"/>
        <w:rPr>
          <w:sz w:val="20"/>
        </w:rPr>
      </w:pPr>
      <w:r>
        <w:rPr>
          <w:rFonts w:ascii="Times New Roman;Times;serif" w:hAnsi="Times New Roman;Times;serif"/>
          <w:sz w:val="20"/>
        </w:rPr>
        <w:t>The Company accounts for share-based compensation in accordance with ASC 718, "Compensation – Stock Compensation" ("ASC 718"), including share options, restricted share units (RSUs), performance share units (PSUs) granted to employees, directors, and non-employees, and share purchase rights granted under the Employee Share Purchase Plan (“ESPP”) to employees, based on the estimated fair value of the awards on the date of grant.</w:t>
      </w:r>
      <w:r>
        <w:rPr>
          <w:sz w:val="20"/>
        </w:rPr>
        <w:t xml:space="preserve"> </w:t>
      </w:r>
    </w:p>
    <w:p>
      <w:pPr>
        <w:pStyle w:val="TextBody"/>
        <w:bidi w:val="0"/>
        <w:spacing w:lineRule="auto" w:line="300" w:before="0" w:after="0"/>
        <w:ind w:left="426" w:right="0" w:hanging="0"/>
        <w:jc w:val="both"/>
        <w:rPr/>
      </w:pPr>
      <w:r>
        <w:rPr/>
        <w:t> </w:t>
      </w:r>
    </w:p>
    <w:p>
      <w:pPr>
        <w:pStyle w:val="TextBody"/>
        <w:bidi w:val="0"/>
        <w:spacing w:before="200" w:after="200"/>
        <w:ind w:left="426"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F-17</w:t>
      </w:r>
    </w:p>
    <w:p>
      <w:pPr>
        <w:pStyle w:val="HorizontalLine"/>
        <w:bidi w:val="0"/>
        <w:spacing w:before="200" w:after="200"/>
        <w:jc w:val="left"/>
        <w:rPr/>
      </w:pPr>
      <w:r>
        <w:rPr/>
      </w:r>
    </w:p>
    <w:p>
      <w:pPr>
        <w:pStyle w:val="TextBody"/>
        <w:bidi w:val="0"/>
        <w:spacing w:lineRule="auto" w:line="300" w:before="0" w:after="160"/>
        <w:ind w:left="6" w:right="0" w:hanging="0"/>
        <w:jc w:val="right"/>
        <w:rPr>
          <w:rFonts w:ascii="Times New Roman;Times;serif" w:hAnsi="Times New Roman;Times;serif"/>
          <w:b/>
          <w:sz w:val="20"/>
        </w:rPr>
      </w:pPr>
      <w:r>
        <w:rPr>
          <w:rFonts w:ascii="Times New Roman;Times;serif" w:hAnsi="Times New Roman;Times;serif"/>
          <w:b/>
          <w:sz w:val="20"/>
        </w:rPr>
        <w:t>WALKME LTD. AND ITS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HorizontalLine"/>
        <w:bidi w:val="0"/>
        <w:spacing w:lineRule="auto" w:line="300"/>
        <w:jc w:val="left"/>
        <w:rPr/>
      </w:pPr>
      <w:r>
        <w:rPr/>
      </w:r>
    </w:p>
    <w:p>
      <w:pPr>
        <w:pStyle w:val="TextBody"/>
        <w:bidi w:val="0"/>
        <w:spacing w:lineRule="auto" w:line="300"/>
        <w:jc w:val="both"/>
        <w:rPr>
          <w:sz w:val="20"/>
        </w:rPr>
      </w:pPr>
      <w:r>
        <w:rPr>
          <w:rFonts w:ascii="Times New Roman;Times;serif" w:hAnsi="Times New Roman;Times;serif"/>
          <w:b/>
          <w:sz w:val="20"/>
        </w:rPr>
        <w:t>NOTE 2:</w:t>
      </w:r>
      <w:r>
        <w:rPr>
          <w:rFonts w:ascii="Times New Roman;Times;serif" w:hAnsi="Times New Roman;Times;serif"/>
          <w:sz w:val="20"/>
        </w:rPr>
        <w:t> </w:t>
      </w:r>
      <w:r>
        <w:rPr>
          <w:rFonts w:ascii="Times New Roman;Times;serif" w:hAnsi="Times New Roman;Times;serif"/>
          <w:b/>
          <w:sz w:val="20"/>
        </w:rPr>
        <w:t>SUMMARY OF SIGNIFICANT ACCOUNTING POLICIES (Cont.)</w:t>
      </w:r>
      <w:r>
        <w:rPr>
          <w:sz w:val="20"/>
        </w:rPr>
        <w:t xml:space="preserve"> </w:t>
      </w:r>
    </w:p>
    <w:p>
      <w:pPr>
        <w:pStyle w:val="TextBody"/>
        <w:bidi w:val="0"/>
        <w:spacing w:lineRule="auto" w:line="300" w:before="0" w:after="0"/>
        <w:ind w:left="0"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fair value of each share option granted is estimated using the Black-Scholes option-pricing model and for ESPP awards or PSUs subject to market condition, the Company uses a Monte Carlo simulation model which utilizes multiple inputs to estimate payout level and the probability that market conditions will be achieved. The determination of the grant-date fair value using an option-pricing model is affected by the fair value of the Company’s ordinary share as well as a number of inputs, of which the most significant are the exercise price, volatility and the expected option term. The fair value of each RSU, or PSU without market condition, is based on the fair value of the Company’s ordinary shares on the date of grant.</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Share-based compensation is generally recognized on a straight-line basis over the requisite service period and based on the graded method for performance-based awards. Some of the awards granted are subject to certain performance criteria: accordingly compensation expense is recognized for such awards when it becomes probable that the related performance condition will be satisfied. Forfeitures are accounted for in the period in which they occur.</w:t>
      </w:r>
    </w:p>
    <w:p>
      <w:pPr>
        <w:pStyle w:val="TextBody"/>
        <w:bidi w:val="0"/>
        <w:spacing w:lineRule="auto" w:line="300" w:before="0" w:after="0"/>
        <w:jc w:val="left"/>
        <w:rPr/>
      </w:pPr>
      <w:r>
        <w:rPr/>
        <w:t> </w:t>
      </w:r>
    </w:p>
    <w:tbl>
      <w:tblPr>
        <w:tblW w:w="1420" w:type="dxa"/>
        <w:jc w:val="left"/>
        <w:tblInd w:w="0" w:type="dxa"/>
        <w:tblLayout w:type="fixed"/>
        <w:tblCellMar>
          <w:top w:w="0" w:type="dxa"/>
          <w:left w:w="0" w:type="dxa"/>
          <w:bottom w:w="0" w:type="dxa"/>
          <w:right w:w="0" w:type="dxa"/>
        </w:tblCellMar>
      </w:tblPr>
      <w:tblGrid>
        <w:gridCol w:w="260"/>
        <w:gridCol w:w="116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w:t>
            </w:r>
          </w:p>
        </w:tc>
        <w:tc>
          <w:tcPr>
            <w:tcW w:w="11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Income taxes: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Company accounts for income taxes in accordance with ASC 740, "Income Taxes" ("ASC 740"). This standard prescribes the use of the liability method, whereby deferred tax asset and liability accounts balances are determined based on differences between financial reporting and tax basis of assets and liabilities and are measured using the enacted tax rates and laws that will be in effect when the differences are expected to reverse. The Company provides a valuation allowance, if necessary, to reduce deferred tax assets to their estimated realizable value, and if it is more likely than not that some portion of the entire deferred tax asset will not be realized.</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Company accounts for uncertain tax positions in accordance with the provisions of ASC 740-10, "Income Taxes". Accounting guidance addresses the determination of whether tax benefits claimed or expected to be claimed on a tax return should be recorded in the consolidated financial statements, under which a Company may recognize the tax benefit from an uncertain tax position only if it is more likely than not that the tax position will be sustained on examination by the taxing authorities, based on the technical merits of the position.</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tax benefits recognized in the consolidated financial statements from such a position should be measured based on the largest benefit that has a greater than fifty percent likelihood of being realized upon ultimate settlement.</w:t>
      </w:r>
    </w:p>
    <w:p>
      <w:pPr>
        <w:pStyle w:val="TextBody"/>
        <w:bidi w:val="0"/>
        <w:spacing w:lineRule="auto" w:line="300"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290"/>
        <w:gridCol w:w="389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dd.</w:t>
            </w:r>
          </w:p>
        </w:tc>
        <w:tc>
          <w:tcPr>
            <w:tcW w:w="38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Recently adopted accounting pronouncements: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In June 2016, FASB issued ASU 2016-13, Financial Instruments - Credit Losses (Topic 326): Measurement of Credit Losses on Financial Instruments. ASU 2016-13 amends the impairment model to utilize an expected loss methodology in place of the currently used incurred loss methodology, which will result in the more timely recognition of losses. ASU 2016-13 requires that expected credit losses relating to financial assets be measured on an amortized cost basis be recorded through an allowance for credit losses. ASU 2016-13 also requires an investor to determine whether a decline in the fair value below the amortized cost basis (i.e., impairment) of an available for sale debt security is due to credit-related factors or noncredit-related factors. Any impairment that is not credit related is recognized in OCI, net of applicable taxes. However, if an entity intends to sell an impaired available for sell debt security or more likely than not will be required to sell such a security before recovering its amortized cost basis, the entire impairment amount must be recognized in earnings with a corresponding adjustment to the security's amortized cost basis.</w:t>
      </w:r>
    </w:p>
    <w:p>
      <w:pPr>
        <w:pStyle w:val="TextBody"/>
        <w:bidi w:val="0"/>
        <w:spacing w:lineRule="auto" w:line="300" w:before="0" w:after="0"/>
        <w:ind w:left="426" w:right="0" w:hanging="0"/>
        <w:jc w:val="both"/>
        <w:rPr/>
      </w:pPr>
      <w:r>
        <w:rPr/>
        <w:t> </w:t>
      </w:r>
    </w:p>
    <w:p>
      <w:pPr>
        <w:pStyle w:val="TextBody"/>
        <w:bidi w:val="0"/>
        <w:spacing w:lineRule="auto" w:line="300"/>
        <w:ind w:left="426" w:right="0" w:hanging="0"/>
        <w:jc w:val="both"/>
        <w:rPr>
          <w:rFonts w:ascii="Times New Roman;Times;serif" w:hAnsi="Times New Roman;Times;serif"/>
          <w:sz w:val="20"/>
        </w:rPr>
      </w:pPr>
      <w:r>
        <w:rPr>
          <w:rFonts w:ascii="Times New Roman;Times;serif" w:hAnsi="Times New Roman;Times;serif"/>
          <w:sz w:val="20"/>
        </w:rPr>
        <w:t>Credit-related impairment is recognized as an allowance on the balance sheet with a corresponding adjustment to earnings. The Company adopted ASU 2016-13 using the modified retrospective approach as of January 1, 2023. The standard did not have a material impact on the Company's consolidated statements of operations, financial positions or cash flows.</w:t>
      </w:r>
    </w:p>
    <w:p>
      <w:pPr>
        <w:pStyle w:val="TextBody"/>
        <w:bidi w:val="0"/>
        <w:spacing w:before="0" w:after="0"/>
        <w:ind w:left="0" w:right="0" w:hanging="0"/>
        <w:jc w:val="left"/>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F-18</w:t>
      </w:r>
    </w:p>
    <w:p>
      <w:pPr>
        <w:pStyle w:val="HorizontalLine"/>
        <w:bidi w:val="0"/>
        <w:spacing w:lineRule="auto" w:line="300" w:before="200" w:after="200"/>
        <w:jc w:val="left"/>
        <w:rPr/>
      </w:pPr>
      <w:r>
        <w:rPr/>
      </w:r>
    </w:p>
    <w:p>
      <w:pPr>
        <w:pStyle w:val="TextBody"/>
        <w:bidi w:val="0"/>
        <w:spacing w:lineRule="auto" w:line="300" w:before="0" w:after="160"/>
        <w:ind w:left="6" w:right="0" w:hanging="0"/>
        <w:jc w:val="right"/>
        <w:rPr>
          <w:rFonts w:ascii="Times New Roman;Times;serif" w:hAnsi="Times New Roman;Times;serif"/>
          <w:b/>
          <w:sz w:val="20"/>
        </w:rPr>
      </w:pPr>
      <w:r>
        <w:rPr>
          <w:rFonts w:ascii="Times New Roman;Times;serif" w:hAnsi="Times New Roman;Times;serif"/>
          <w:b/>
          <w:sz w:val="20"/>
        </w:rPr>
        <w:t>WALKME LTD. AND ITS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HorizontalLine"/>
        <w:bidi w:val="0"/>
        <w:spacing w:lineRule="auto" w:line="300"/>
        <w:jc w:val="left"/>
        <w:rPr/>
      </w:pPr>
      <w:r>
        <w:rPr/>
      </w:r>
    </w:p>
    <w:p>
      <w:pPr>
        <w:pStyle w:val="TextBody"/>
        <w:bidi w:val="0"/>
        <w:spacing w:lineRule="auto" w:line="300"/>
        <w:jc w:val="both"/>
        <w:rPr>
          <w:sz w:val="20"/>
        </w:rPr>
      </w:pPr>
      <w:r>
        <w:rPr>
          <w:rFonts w:ascii="Times New Roman;Times;serif" w:hAnsi="Times New Roman;Times;serif"/>
          <w:b/>
          <w:i w:val="false"/>
          <w:caps w:val="false"/>
          <w:smallCaps w:val="false"/>
          <w:sz w:val="20"/>
        </w:rPr>
        <w:t>NOTE 2: SUMMARY OF SIGNIFICANT ACCOUNTING POLICIES (Cont.)</w:t>
      </w:r>
      <w:r>
        <w:rPr>
          <w:sz w:val="20"/>
        </w:rPr>
        <w:t xml:space="preserve"> </w:t>
      </w:r>
    </w:p>
    <w:p>
      <w:pPr>
        <w:pStyle w:val="TextBody"/>
        <w:bidi w:val="0"/>
        <w:spacing w:lineRule="auto" w:line="300" w:before="0" w:after="0"/>
        <w:ind w:left="0" w:right="0" w:hanging="0"/>
        <w:jc w:val="both"/>
        <w:rPr/>
      </w:pPr>
      <w:r>
        <w:rPr/>
        <w:t> </w:t>
      </w:r>
    </w:p>
    <w:tbl>
      <w:tblPr>
        <w:tblW w:w="4030" w:type="dxa"/>
        <w:jc w:val="left"/>
        <w:tblInd w:w="0" w:type="dxa"/>
        <w:tblLayout w:type="fixed"/>
        <w:tblCellMar>
          <w:top w:w="0" w:type="dxa"/>
          <w:left w:w="0" w:type="dxa"/>
          <w:bottom w:w="0" w:type="dxa"/>
          <w:right w:w="0" w:type="dxa"/>
        </w:tblCellMar>
      </w:tblPr>
      <w:tblGrid>
        <w:gridCol w:w="260"/>
        <w:gridCol w:w="377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ee.</w:t>
            </w:r>
          </w:p>
        </w:tc>
        <w:tc>
          <w:tcPr>
            <w:tcW w:w="37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Accounting pronouncements not yet adopted:</w:t>
            </w:r>
          </w:p>
        </w:tc>
      </w:tr>
    </w:tbl>
    <w:p>
      <w:pPr>
        <w:pStyle w:val="TextBody"/>
        <w:bidi w:val="0"/>
        <w:spacing w:lineRule="auto" w:line="300" w:before="0" w:after="0"/>
        <w:jc w:val="left"/>
        <w:rPr/>
      </w:pPr>
      <w:r>
        <w:rPr/>
        <w:t> </w:t>
      </w:r>
    </w:p>
    <w:p>
      <w:pPr>
        <w:pStyle w:val="TextBody"/>
        <w:bidi w:val="0"/>
        <w:spacing w:lineRule="auto" w:line="300"/>
        <w:ind w:left="426" w:right="0" w:hanging="0"/>
        <w:jc w:val="both"/>
        <w:rPr>
          <w:sz w:val="20"/>
        </w:rPr>
      </w:pPr>
      <w:r>
        <w:rPr>
          <w:rFonts w:ascii="Times New Roman;Times;serif" w:hAnsi="Times New Roman;Times;serif"/>
          <w:sz w:val="20"/>
        </w:rPr>
        <w:t>In August 2020, the FASB issued ASU No. 2020-06, Accounting for Convertible Instruments and Contracts in an Entity's Own Equity (ASU 2020-06), which simplifies the accounting for certain financial instruments with characteristics of liabilities and equity, including convertible instruments and contracts in an entity's own equity. Among other changes, ASU 2020-06 removes from GAAP the liability and equity separation model for convertible instruments with a cash conversion feature and a beneficial conversion feature, and as a result, after adoption, entities will no longer separately present in equity an embedded conversion feature for such debt. Similarly, the embedded conversion feature will no longer be amortized into income as interest expense over the life of the instrument. Instead, entities will account for a convertible debt instrument wholly as debt unless (1) a convertible instrument contains features that require bifurcation as a derivative under ASC Topic 815, Derivatives and Hedging, or (2) a convertible debt instrument was issued at a substantial premium. Additionally, ASU 2020-06 requires the application of the if-converted method to calculate the impact of convertible instruments on diluted earnings per share (EPS). The guidance will be effective for the Company beginning January 1, 2024, and interim periods therein and can be adopted on either a fully retrospective or modified retrospective basis. The Company has evaluated the effect of ASU 2020-06 and expects no material impact on the Company’s consolidated financial statements and disclosures.</w:t>
      </w:r>
      <w:r>
        <w:rPr>
          <w:sz w:val="20"/>
        </w:rPr>
        <w:t xml:space="preserve"> </w:t>
      </w:r>
    </w:p>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sz w:val="20"/>
        </w:rPr>
      </w:pPr>
      <w:r>
        <w:rPr>
          <w:rFonts w:ascii="Times New Roman;Times;serif" w:hAnsi="Times New Roman;Times;serif"/>
          <w:sz w:val="20"/>
        </w:rPr>
        <w:t>In November 2023, the FASB issued ASU 2023-07, Segment Reporting (Topic 280), Improvements to Reportable Segment Disclosures, which expands annual and interim disclosure requirements for reportable segments, primarily through enhanced disclosures about significant segment expenses. In addition, it provides new segment disclosure requirements for entities with a single reportable segment. The guidance will be effective for the Company for annual periods beginning January 1, 2024 and for interim periods beginning January 1, 2025. Early adoption is permitted. The Company is currently evaluating the impact on its financial statement disclosures.</w:t>
      </w:r>
      <w:r>
        <w:rPr>
          <w:sz w:val="20"/>
        </w:rPr>
        <w:t xml:space="preserve"> </w:t>
      </w:r>
    </w:p>
    <w:p>
      <w:pPr>
        <w:pStyle w:val="TextBody"/>
        <w:bidi w:val="0"/>
        <w:spacing w:lineRule="auto" w:line="30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In December 2023, the FASB issued ASU 2023-09, Income Taxes (Topic 740), Improvements to Income Tax Disclosures, which requires disaggregated information about the effective tax rate reconciliation as well as information on income taxes paid. The guidance will be effective for the Company for annual periods beginning January 1, 2025, with early adoption permitted. The Company is currently evaluating the impact on its financial statement disclosures.</w:t>
      </w:r>
    </w:p>
    <w:p>
      <w:pPr>
        <w:pStyle w:val="TextBody"/>
        <w:bidi w:val="0"/>
        <w:spacing w:before="0" w:after="0"/>
        <w:ind w:left="0" w:right="0" w:hanging="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b/>
          <w:sz w:val="20"/>
        </w:rPr>
        <w:t>NOTE 3:</w:t>
      </w:r>
      <w:r>
        <w:rPr>
          <w:rFonts w:ascii="Times New Roman;Times;serif" w:hAnsi="Times New Roman;Times;serif"/>
          <w:sz w:val="20"/>
        </w:rPr>
        <w:t> </w:t>
      </w:r>
      <w:r>
        <w:rPr>
          <w:rFonts w:ascii="Times New Roman;Times;serif" w:hAnsi="Times New Roman;Times;serif"/>
          <w:b/>
          <w:sz w:val="20"/>
        </w:rPr>
        <w:t>REDEEMABLE NON-CONTROLLING INTEREST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January 2019, the Company entered into an agreement with Japan Cloud Computing, L.P. and M30 LLC (collectively, the “Investors”), which was amended on July 26, 2022, to engage in the investment, organization, management, and operation of the Japanese subsidiary that is focused on the distribution of the Company’s products in Japan. As of December 31, 2023, the Company contributed an aggregate amount of approximately $4,750 in cash in exchange for 51% of the outstanding common stock of the Japanese subsidiary. As of December 31, 2023 and 2022, the Company controls a majority stake in the Japanese subsidiary and as a result, the Company consolidated the Japanese subsidiary and all intercompany accounts have been eliminated.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agreement with the minority investors of the Japanese subsidiary contains redemption features whereby the interest held by the minority investors are redeemable either (i) at the option of the minority investors or (ii) at the option of the Company, both beginning on the eighth anniversary of the initial capital contribution. Should the call or put option be exercised, the redemption value would be determined based on a prescribed formula derived from certain financial performance indicators of the Japanese subsidiary and the Company and may be settled, at the Company’s discretion, with Company shares or cash.</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F-19</w:t>
      </w:r>
    </w:p>
    <w:p>
      <w:pPr>
        <w:pStyle w:val="HorizontalLine"/>
        <w:bidi w:val="0"/>
        <w:spacing w:lineRule="auto" w:line="300" w:before="200" w:after="200"/>
        <w:jc w:val="left"/>
        <w:rPr/>
      </w:pPr>
      <w:r>
        <w:rPr/>
      </w:r>
    </w:p>
    <w:p>
      <w:pPr>
        <w:pStyle w:val="TextBody"/>
        <w:bidi w:val="0"/>
        <w:spacing w:lineRule="auto" w:line="300" w:before="0" w:after="160"/>
        <w:ind w:left="6" w:right="0" w:hanging="0"/>
        <w:jc w:val="right"/>
        <w:rPr>
          <w:rFonts w:ascii="Times New Roman;Times;serif" w:hAnsi="Times New Roman;Times;serif"/>
          <w:b/>
          <w:sz w:val="20"/>
        </w:rPr>
      </w:pPr>
      <w:r>
        <w:rPr>
          <w:rFonts w:ascii="Times New Roman;Times;serif" w:hAnsi="Times New Roman;Times;serif"/>
          <w:b/>
          <w:sz w:val="20"/>
        </w:rPr>
        <w:t>WALKME LTD. AND ITS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HorizontalLine"/>
        <w:bidi w:val="0"/>
        <w:spacing w:lineRule="auto" w:line="300" w:before="200" w:after="0"/>
        <w:jc w:val="left"/>
        <w:rPr/>
      </w:pPr>
      <w:r>
        <w:rPr/>
      </w:r>
    </w:p>
    <w:p>
      <w:pPr>
        <w:pStyle w:val="TextBody"/>
        <w:bidi w:val="0"/>
        <w:spacing w:lineRule="auto" w:line="300" w:before="200" w:after="0"/>
        <w:jc w:val="left"/>
        <w:rPr>
          <w:sz w:val="20"/>
        </w:rPr>
      </w:pPr>
      <w:r>
        <w:rPr>
          <w:rFonts w:ascii="Times New Roman;Times;serif" w:hAnsi="Times New Roman;Times;serif"/>
          <w:b/>
          <w:sz w:val="20"/>
        </w:rPr>
        <w:t>NOTE 3:</w:t>
      </w:r>
      <w:r>
        <w:rPr>
          <w:rFonts w:ascii="Times New Roman;Times;serif" w:hAnsi="Times New Roman;Times;serif"/>
          <w:sz w:val="20"/>
        </w:rPr>
        <w:t> </w:t>
      </w:r>
      <w:r>
        <w:rPr>
          <w:rFonts w:ascii="Times New Roman;Times;serif" w:hAnsi="Times New Roman;Times;serif"/>
          <w:b/>
          <w:sz w:val="20"/>
        </w:rPr>
        <w:t>REDEEMABLE NON-CONTROLLING INTEREST (Cont.)</w:t>
      </w:r>
      <w:r>
        <w:rPr>
          <w:sz w:val="20"/>
        </w:rPr>
        <w:t xml:space="preserve"> </w:t>
      </w:r>
    </w:p>
    <w:p>
      <w:pPr>
        <w:pStyle w:val="TextBody"/>
        <w:bidi w:val="0"/>
        <w:spacing w:lineRule="auto" w:line="300" w:before="0" w:after="0"/>
        <w:ind w:left="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Since the share redemption feature does not include a share cap these interests are presented on the consolidated balance sheets outside of permanent equity under the caption “Redeemable non-controlling interest”.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following table summarizes the activity in the redeemable non-controlling interests for the period indicated below:</w:t>
      </w:r>
    </w:p>
    <w:p>
      <w:pPr>
        <w:pStyle w:val="TextBody"/>
        <w:bidi w:val="0"/>
        <w:spacing w:lineRule="auto" w:line="300" w:before="0" w:after="0"/>
        <w:jc w:val="left"/>
        <w:rPr/>
      </w:pPr>
      <w:r>
        <w:rPr/>
        <w:t> </w:t>
      </w:r>
    </w:p>
    <w:tbl>
      <w:tblPr>
        <w:tblW w:w="7475" w:type="dxa"/>
        <w:jc w:val="left"/>
        <w:tblInd w:w="0" w:type="dxa"/>
        <w:tblLayout w:type="fixed"/>
        <w:tblCellMar>
          <w:top w:w="0" w:type="dxa"/>
          <w:left w:w="0" w:type="dxa"/>
          <w:bottom w:w="0" w:type="dxa"/>
          <w:right w:w="0" w:type="dxa"/>
        </w:tblCellMar>
      </w:tblPr>
      <w:tblGrid>
        <w:gridCol w:w="4835"/>
        <w:gridCol w:w="60"/>
        <w:gridCol w:w="125"/>
        <w:gridCol w:w="590"/>
        <w:gridCol w:w="80"/>
        <w:gridCol w:w="60"/>
        <w:gridCol w:w="125"/>
        <w:gridCol w:w="650"/>
        <w:gridCol w:w="80"/>
        <w:gridCol w:w="60"/>
        <w:gridCol w:w="125"/>
        <w:gridCol w:w="590"/>
        <w:gridCol w:w="95"/>
      </w:tblGrid>
      <w:tr>
        <w:trPr/>
        <w:tc>
          <w:tcPr>
            <w:tcW w:w="4835" w:type="dxa"/>
            <w:tcBorders/>
            <w:vAlign w:val="center"/>
          </w:tcPr>
          <w:p>
            <w:pPr>
              <w:pStyle w:val="TableContents"/>
              <w:bidi w:val="0"/>
              <w:spacing w:lineRule="auto" w:line="300" w:before="0" w:after="0"/>
              <w:ind w:left="170" w:right="0" w:hanging="0"/>
              <w:jc w:val="left"/>
              <w:rPr/>
            </w:pPr>
            <w:r>
              <w:rPr/>
              <w:t> </w:t>
            </w:r>
          </w:p>
        </w:tc>
        <w:tc>
          <w:tcPr>
            <w:tcW w:w="60" w:type="dxa"/>
            <w:tcBorders/>
            <w:vAlign w:val="center"/>
          </w:tcPr>
          <w:p>
            <w:pPr>
              <w:pStyle w:val="TableContents"/>
              <w:bidi w:val="0"/>
              <w:spacing w:before="0" w:after="283"/>
              <w:jc w:val="left"/>
              <w:rPr/>
            </w:pPr>
            <w:r>
              <w:rPr/>
              <w:t> </w:t>
            </w:r>
          </w:p>
        </w:tc>
        <w:tc>
          <w:tcPr>
            <w:tcW w:w="248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9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Balance,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8,080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23,901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8,647</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Net loss attributable to redeemable non-controlling interest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(266</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(743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(1,169</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835"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Adjustment to redeemable non-controlling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(14,979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16,689</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(266</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835"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Balance, end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8,080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23,901</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4: MARKETABLE SECURITIES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The following tables summarize the amortized cost, unrealized gains and losses, and fair value of available-for-sale marketable securities as of December 31, 2023 and 2022.</w:t>
      </w:r>
    </w:p>
    <w:p>
      <w:pPr>
        <w:pStyle w:val="TextBody"/>
        <w:bidi w:val="0"/>
        <w:spacing w:lineRule="auto" w:line="300" w:before="0" w:after="0"/>
        <w:jc w:val="left"/>
        <w:rPr/>
      </w:pPr>
      <w:r>
        <w:rPr/>
        <w:t> </w:t>
      </w:r>
    </w:p>
    <w:tbl>
      <w:tblPr>
        <w:tblW w:w="8069" w:type="dxa"/>
        <w:jc w:val="left"/>
        <w:tblInd w:w="0" w:type="dxa"/>
        <w:tblLayout w:type="fixed"/>
        <w:tblCellMar>
          <w:top w:w="0" w:type="dxa"/>
          <w:left w:w="0" w:type="dxa"/>
          <w:bottom w:w="0" w:type="dxa"/>
          <w:right w:w="0" w:type="dxa"/>
        </w:tblCellMar>
      </w:tblPr>
      <w:tblGrid>
        <w:gridCol w:w="2210"/>
        <w:gridCol w:w="60"/>
        <w:gridCol w:w="190"/>
        <w:gridCol w:w="1060"/>
        <w:gridCol w:w="60"/>
        <w:gridCol w:w="60"/>
        <w:gridCol w:w="375"/>
        <w:gridCol w:w="1185"/>
        <w:gridCol w:w="80"/>
        <w:gridCol w:w="60"/>
        <w:gridCol w:w="411"/>
        <w:gridCol w:w="1104"/>
        <w:gridCol w:w="60"/>
        <w:gridCol w:w="60"/>
        <w:gridCol w:w="155"/>
        <w:gridCol w:w="864"/>
        <w:gridCol w:w="75"/>
      </w:tblGrid>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4" w:type="dxa"/>
            <w:gridSpan w:val="14"/>
            <w:tcBorders>
              <w:bottom w:val="single" w:sz="12" w:space="0" w:color="000000"/>
            </w:tcBorders>
            <w:tcMar>
              <w:bottom w:w="28" w:type="dxa"/>
            </w:tcMar>
            <w:vAlign w:val="center"/>
          </w:tcPr>
          <w:p>
            <w:pPr>
              <w:pStyle w:val="TableContents"/>
              <w:bidi w:val="0"/>
              <w:spacing w:lineRule="auto" w:line="300" w:before="0" w:after="0"/>
              <w:ind w:left="0" w:right="0" w:firstLine="160"/>
              <w:jc w:val="center"/>
              <w:rPr>
                <w:rFonts w:ascii="Times New Roman;Times;serif" w:hAnsi="Times New Roman;Times;serif"/>
                <w:b/>
                <w:sz w:val="20"/>
              </w:rPr>
            </w:pPr>
            <w:r>
              <w:rPr>
                <w:rFonts w:ascii="Times New Roman;Times;serif" w:hAnsi="Times New Roman;Times;serif"/>
                <w:b/>
                <w:sz w:val="20"/>
              </w:rPr>
              <w:t>December 31, 2023</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Amortized cost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6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160"/>
              <w:jc w:val="center"/>
              <w:rPr>
                <w:rFonts w:ascii="Times New Roman;Times;serif" w:hAnsi="Times New Roman;Times;serif"/>
                <w:sz w:val="20"/>
              </w:rPr>
            </w:pPr>
            <w:r>
              <w:rPr>
                <w:rFonts w:ascii="Times New Roman;Times;serif" w:hAnsi="Times New Roman;Times;serif"/>
                <w:sz w:val="20"/>
              </w:rPr>
              <w:t>Gross</w:t>
            </w:r>
          </w:p>
          <w:p>
            <w:pPr>
              <w:pStyle w:val="TableContents"/>
              <w:bidi w:val="0"/>
              <w:spacing w:lineRule="auto" w:line="300" w:before="0" w:after="0"/>
              <w:ind w:left="0" w:right="0" w:firstLine="160"/>
              <w:jc w:val="center"/>
              <w:rPr>
                <w:rFonts w:ascii="Times New Roman;Times;serif" w:hAnsi="Times New Roman;Times;serif"/>
                <w:sz w:val="20"/>
              </w:rPr>
            </w:pPr>
            <w:r>
              <w:rPr>
                <w:rFonts w:ascii="Times New Roman;Times;serif" w:hAnsi="Times New Roman;Times;serif"/>
                <w:sz w:val="20"/>
              </w:rPr>
              <w:t>unrealized losses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15"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160"/>
              <w:jc w:val="center"/>
              <w:rPr>
                <w:rFonts w:ascii="Times New Roman;Times;serif" w:hAnsi="Times New Roman;Times;serif"/>
                <w:sz w:val="20"/>
              </w:rPr>
            </w:pPr>
            <w:r>
              <w:rPr>
                <w:rFonts w:ascii="Times New Roman;Times;serif" w:hAnsi="Times New Roman;Times;serif"/>
                <w:sz w:val="20"/>
              </w:rPr>
              <w:t>Gross</w:t>
            </w:r>
          </w:p>
          <w:p>
            <w:pPr>
              <w:pStyle w:val="TableContents"/>
              <w:bidi w:val="0"/>
              <w:spacing w:lineRule="auto" w:line="300" w:before="0" w:after="0"/>
              <w:ind w:left="0" w:right="0" w:firstLine="160"/>
              <w:jc w:val="center"/>
              <w:rPr>
                <w:rFonts w:ascii="Times New Roman;Times;serif" w:hAnsi="Times New Roman;Times;serif"/>
                <w:sz w:val="20"/>
              </w:rPr>
            </w:pPr>
            <w:r>
              <w:rPr>
                <w:rFonts w:ascii="Times New Roman;Times;serif" w:hAnsi="Times New Roman;Times;serif"/>
                <w:sz w:val="20"/>
              </w:rPr>
              <w:t>unrealized gains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9"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160"/>
              <w:jc w:val="center"/>
              <w:rPr>
                <w:rFonts w:ascii="Times New Roman;Times;serif" w:hAnsi="Times New Roman;Times;serif"/>
                <w:sz w:val="20"/>
              </w:rPr>
            </w:pPr>
            <w:r>
              <w:rPr>
                <w:rFonts w:ascii="Times New Roman;Times;serif" w:hAnsi="Times New Roman;Times;serif"/>
                <w:sz w:val="20"/>
              </w:rPr>
              <w:t>Fair Value</w:t>
            </w:r>
          </w:p>
        </w:tc>
        <w:tc>
          <w:tcPr>
            <w:tcW w:w="75" w:type="dxa"/>
            <w:tcBorders/>
            <w:vAlign w:val="center"/>
          </w:tcPr>
          <w:p>
            <w:pPr>
              <w:pStyle w:val="TableContents"/>
              <w:bidi w:val="0"/>
              <w:spacing w:before="0" w:after="283"/>
              <w:jc w:val="center"/>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U.S. Treasuries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84,811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84,768</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U.S. Government Agencies</w:t>
            </w:r>
          </w:p>
        </w:tc>
        <w:tc>
          <w:tcPr>
            <w:tcW w:w="60" w:type="dxa"/>
            <w:tcBorders/>
            <w:vAlign w:val="center"/>
          </w:tcPr>
          <w:p>
            <w:pPr>
              <w:pStyle w:val="TableContents"/>
              <w:bidi w:val="0"/>
              <w:spacing w:before="0" w:after="283"/>
              <w:jc w:val="left"/>
              <w:rPr/>
            </w:pPr>
            <w:r>
              <w:rPr/>
              <w:t> </w:t>
            </w:r>
          </w:p>
        </w:tc>
        <w:tc>
          <w:tcPr>
            <w:tcW w:w="1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41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86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31,804</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116,561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8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(146</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11"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0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116,572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Out of the total unrealized losses, an amount of $64 has been in a continuous unrealized loss position for twelve months or longer.</w:t>
      </w:r>
    </w:p>
    <w:p>
      <w:pPr>
        <w:pStyle w:val="TextBody"/>
        <w:bidi w:val="0"/>
        <w:spacing w:lineRule="auto" w:line="300" w:before="0" w:after="0"/>
        <w:jc w:val="left"/>
        <w:rPr/>
      </w:pPr>
      <w:r>
        <w:rPr/>
        <w:t> </w:t>
      </w:r>
    </w:p>
    <w:tbl>
      <w:tblPr>
        <w:tblW w:w="8069" w:type="dxa"/>
        <w:jc w:val="left"/>
        <w:tblInd w:w="0" w:type="dxa"/>
        <w:tblLayout w:type="fixed"/>
        <w:tblCellMar>
          <w:top w:w="0" w:type="dxa"/>
          <w:left w:w="0" w:type="dxa"/>
          <w:bottom w:w="0" w:type="dxa"/>
          <w:right w:w="0" w:type="dxa"/>
        </w:tblCellMar>
      </w:tblPr>
      <w:tblGrid>
        <w:gridCol w:w="2210"/>
        <w:gridCol w:w="60"/>
        <w:gridCol w:w="218"/>
        <w:gridCol w:w="1032"/>
        <w:gridCol w:w="60"/>
        <w:gridCol w:w="60"/>
        <w:gridCol w:w="469"/>
        <w:gridCol w:w="1091"/>
        <w:gridCol w:w="80"/>
        <w:gridCol w:w="60"/>
        <w:gridCol w:w="411"/>
        <w:gridCol w:w="1104"/>
        <w:gridCol w:w="60"/>
        <w:gridCol w:w="60"/>
        <w:gridCol w:w="178"/>
        <w:gridCol w:w="841"/>
        <w:gridCol w:w="75"/>
      </w:tblGrid>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4" w:type="dxa"/>
            <w:gridSpan w:val="14"/>
            <w:tcBorders>
              <w:bottom w:val="single" w:sz="12" w:space="0" w:color="000000"/>
            </w:tcBorders>
            <w:tcMar>
              <w:bottom w:w="28" w:type="dxa"/>
            </w:tcMar>
            <w:vAlign w:val="center"/>
          </w:tcPr>
          <w:p>
            <w:pPr>
              <w:pStyle w:val="TableContents"/>
              <w:bidi w:val="0"/>
              <w:spacing w:lineRule="auto" w:line="300" w:before="0" w:after="0"/>
              <w:ind w:left="0" w:right="0" w:firstLine="160"/>
              <w:jc w:val="center"/>
              <w:rPr>
                <w:rFonts w:ascii="Times New Roman;Times;serif" w:hAnsi="Times New Roman;Times;serif"/>
                <w:b/>
                <w:sz w:val="20"/>
              </w:rPr>
            </w:pPr>
            <w:r>
              <w:rPr>
                <w:rFonts w:ascii="Times New Roman;Times;serif" w:hAnsi="Times New Roman;Times;serif"/>
                <w:b/>
                <w:sz w:val="20"/>
              </w:rPr>
              <w:t>December 31, 2022</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Amortized cost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6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160"/>
              <w:jc w:val="center"/>
              <w:rPr>
                <w:rFonts w:ascii="Times New Roman;Times;serif" w:hAnsi="Times New Roman;Times;serif"/>
                <w:sz w:val="20"/>
              </w:rPr>
            </w:pPr>
            <w:r>
              <w:rPr>
                <w:rFonts w:ascii="Times New Roman;Times;serif" w:hAnsi="Times New Roman;Times;serif"/>
                <w:sz w:val="20"/>
              </w:rPr>
              <w:t>Gross</w:t>
            </w:r>
          </w:p>
          <w:p>
            <w:pPr>
              <w:pStyle w:val="TableContents"/>
              <w:bidi w:val="0"/>
              <w:spacing w:lineRule="auto" w:line="300" w:before="0" w:after="0"/>
              <w:ind w:left="0" w:right="0" w:firstLine="160"/>
              <w:jc w:val="center"/>
              <w:rPr>
                <w:rFonts w:ascii="Times New Roman;Times;serif" w:hAnsi="Times New Roman;Times;serif"/>
                <w:sz w:val="20"/>
              </w:rPr>
            </w:pPr>
            <w:r>
              <w:rPr>
                <w:rFonts w:ascii="Times New Roman;Times;serif" w:hAnsi="Times New Roman;Times;serif"/>
                <w:sz w:val="20"/>
              </w:rPr>
              <w:t>unrealized losses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15"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160"/>
              <w:jc w:val="center"/>
              <w:rPr>
                <w:rFonts w:ascii="Times New Roman;Times;serif" w:hAnsi="Times New Roman;Times;serif"/>
                <w:sz w:val="20"/>
              </w:rPr>
            </w:pPr>
            <w:r>
              <w:rPr>
                <w:rFonts w:ascii="Times New Roman;Times;serif" w:hAnsi="Times New Roman;Times;serif"/>
                <w:sz w:val="20"/>
              </w:rPr>
              <w:t>Gross</w:t>
            </w:r>
          </w:p>
          <w:p>
            <w:pPr>
              <w:pStyle w:val="TableContents"/>
              <w:bidi w:val="0"/>
              <w:spacing w:lineRule="auto" w:line="300" w:before="0" w:after="0"/>
              <w:ind w:left="0" w:right="0" w:firstLine="160"/>
              <w:jc w:val="center"/>
              <w:rPr>
                <w:rFonts w:ascii="Times New Roman;Times;serif" w:hAnsi="Times New Roman;Times;serif"/>
                <w:sz w:val="20"/>
              </w:rPr>
            </w:pPr>
            <w:r>
              <w:rPr>
                <w:rFonts w:ascii="Times New Roman;Times;serif" w:hAnsi="Times New Roman;Times;serif"/>
                <w:sz w:val="20"/>
              </w:rPr>
              <w:t>unrealized gains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9"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160"/>
              <w:jc w:val="center"/>
              <w:rPr>
                <w:rFonts w:ascii="Times New Roman;Times;serif" w:hAnsi="Times New Roman;Times;serif"/>
                <w:sz w:val="20"/>
              </w:rPr>
            </w:pPr>
            <w:r>
              <w:rPr>
                <w:rFonts w:ascii="Times New Roman;Times;serif" w:hAnsi="Times New Roman;Times;serif"/>
                <w:sz w:val="20"/>
              </w:rPr>
              <w:t>Fair Value</w:t>
            </w:r>
          </w:p>
        </w:tc>
        <w:tc>
          <w:tcPr>
            <w:tcW w:w="75" w:type="dxa"/>
            <w:tcBorders/>
            <w:vAlign w:val="center"/>
          </w:tcPr>
          <w:p>
            <w:pPr>
              <w:pStyle w:val="TableContents"/>
              <w:bidi w:val="0"/>
              <w:spacing w:before="0" w:after="283"/>
              <w:jc w:val="center"/>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U.S. Treasuries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3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68,084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9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68,106</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U.S. Government Agencies</w:t>
            </w:r>
          </w:p>
        </w:tc>
        <w:tc>
          <w:tcPr>
            <w:tcW w:w="60" w:type="dxa"/>
            <w:tcBorders/>
            <w:vAlign w:val="center"/>
          </w:tcPr>
          <w:p>
            <w:pPr>
              <w:pStyle w:val="TableContents"/>
              <w:bidi w:val="0"/>
              <w:spacing w:before="0" w:after="283"/>
              <w:jc w:val="left"/>
              <w:rPr/>
            </w:pPr>
            <w:r>
              <w:rPr/>
              <w:t> </w:t>
            </w:r>
          </w:p>
        </w:tc>
        <w:tc>
          <w:tcPr>
            <w:tcW w:w="21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17,426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1"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41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841"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17,415</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32"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85,510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9"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91"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11"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0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85,521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F-20</w:t>
      </w:r>
    </w:p>
    <w:p>
      <w:pPr>
        <w:pStyle w:val="HorizontalLine"/>
        <w:bidi w:val="0"/>
        <w:spacing w:before="200" w:after="200"/>
        <w:jc w:val="left"/>
        <w:rPr/>
      </w:pPr>
      <w:r>
        <w:rPr/>
      </w:r>
    </w:p>
    <w:p>
      <w:pPr>
        <w:pStyle w:val="TextBody"/>
        <w:bidi w:val="0"/>
        <w:spacing w:lineRule="auto" w:line="300" w:before="0" w:after="160"/>
        <w:ind w:left="6" w:right="0" w:hanging="0"/>
        <w:jc w:val="right"/>
        <w:rPr>
          <w:rFonts w:ascii="Times New Roman;Times;serif" w:hAnsi="Times New Roman;Times;serif"/>
          <w:b/>
          <w:sz w:val="20"/>
        </w:rPr>
      </w:pPr>
      <w:r>
        <w:rPr>
          <w:rFonts w:ascii="Times New Roman;Times;serif" w:hAnsi="Times New Roman;Times;serif"/>
          <w:b/>
          <w:sz w:val="20"/>
        </w:rPr>
        <w:t>WALKME LTD. AND ITS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HorizontalLine"/>
        <w:bidi w:val="0"/>
        <w:spacing w:lineRule="auto" w:line="300"/>
        <w:jc w:val="left"/>
        <w:rPr/>
      </w:pPr>
      <w:r>
        <w:rPr/>
      </w:r>
    </w:p>
    <w:p>
      <w:pPr>
        <w:pStyle w:val="TextBody"/>
        <w:bidi w:val="0"/>
        <w:spacing w:lineRule="auto" w:line="300"/>
        <w:jc w:val="left"/>
        <w:rPr>
          <w:b/>
          <w:sz w:val="20"/>
        </w:rPr>
      </w:pPr>
      <w:r>
        <w:rPr>
          <w:rFonts w:ascii="Times New Roman;Times;serif" w:hAnsi="Times New Roman;Times;serif"/>
          <w:b/>
          <w:sz w:val="20"/>
        </w:rPr>
        <w:t>NOTE 4: MARKETABLE SECURITIES (Cont.)</w:t>
      </w:r>
      <w:r>
        <w:rPr>
          <w:b/>
          <w:sz w:val="20"/>
        </w:rPr>
        <w:t xml:space="preserve"> </w:t>
      </w:r>
    </w:p>
    <w:p>
      <w:pPr>
        <w:pStyle w:val="TextBody"/>
        <w:bidi w:val="0"/>
        <w:spacing w:lineRule="auto" w:line="300" w:before="0" w:after="0"/>
        <w:ind w:left="0" w:right="0" w:hanging="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The following tables summarizes the amortized cost and fair value of available-for-sale marketable securities as of December 31, 2023 and 2022 by contractual years-to maturity:</w:t>
      </w:r>
    </w:p>
    <w:p>
      <w:pPr>
        <w:pStyle w:val="TextBody"/>
        <w:bidi w:val="0"/>
        <w:spacing w:lineRule="auto" w:line="300" w:before="0" w:after="0"/>
        <w:jc w:val="left"/>
        <w:rPr/>
      </w:pPr>
      <w:r>
        <w:rPr/>
        <w:t> </w:t>
      </w:r>
    </w:p>
    <w:tbl>
      <w:tblPr>
        <w:tblW w:w="5374" w:type="dxa"/>
        <w:jc w:val="left"/>
        <w:tblInd w:w="0" w:type="dxa"/>
        <w:tblLayout w:type="fixed"/>
        <w:tblCellMar>
          <w:top w:w="0" w:type="dxa"/>
          <w:left w:w="0" w:type="dxa"/>
          <w:bottom w:w="0" w:type="dxa"/>
          <w:right w:w="0" w:type="dxa"/>
        </w:tblCellMar>
      </w:tblPr>
      <w:tblGrid>
        <w:gridCol w:w="2690"/>
        <w:gridCol w:w="60"/>
        <w:gridCol w:w="214"/>
        <w:gridCol w:w="1196"/>
        <w:gridCol w:w="60"/>
        <w:gridCol w:w="60"/>
        <w:gridCol w:w="155"/>
        <w:gridCol w:w="864"/>
        <w:gridCol w:w="75"/>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9"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 2023</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160"/>
              <w:jc w:val="center"/>
              <w:rPr>
                <w:rFonts w:ascii="Times New Roman;Times;serif" w:hAnsi="Times New Roman;Times;serif"/>
                <w:sz w:val="20"/>
              </w:rPr>
            </w:pPr>
            <w:r>
              <w:rPr>
                <w:rFonts w:ascii="Times New Roman;Times;serif" w:hAnsi="Times New Roman;Times;serif"/>
                <w:sz w:val="20"/>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9"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160"/>
              <w:jc w:val="center"/>
              <w:rPr>
                <w:rFonts w:ascii="Times New Roman;Times;serif" w:hAnsi="Times New Roman;Times;serif"/>
                <w:sz w:val="20"/>
              </w:rPr>
            </w:pPr>
            <w:r>
              <w:rPr>
                <w:rFonts w:ascii="Times New Roman;Times;serif" w:hAnsi="Times New Roman;Times;serif"/>
                <w:sz w:val="20"/>
              </w:rPr>
              <w:t>Fair Value</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Due within one year</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9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60,290</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Due between one and three years</w:t>
            </w:r>
          </w:p>
        </w:tc>
        <w:tc>
          <w:tcPr>
            <w:tcW w:w="60" w:type="dxa"/>
            <w:tcBorders/>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56,251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86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56,282</w:t>
            </w:r>
          </w:p>
        </w:tc>
        <w:tc>
          <w:tcPr>
            <w:tcW w:w="7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96"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116,561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116,572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tbl>
      <w:tblPr>
        <w:tblW w:w="5380" w:type="dxa"/>
        <w:jc w:val="left"/>
        <w:tblInd w:w="0" w:type="dxa"/>
        <w:tblLayout w:type="fixed"/>
        <w:tblCellMar>
          <w:top w:w="0" w:type="dxa"/>
          <w:left w:w="0" w:type="dxa"/>
          <w:bottom w:w="0" w:type="dxa"/>
          <w:right w:w="0" w:type="dxa"/>
        </w:tblCellMar>
      </w:tblPr>
      <w:tblGrid>
        <w:gridCol w:w="2690"/>
        <w:gridCol w:w="60"/>
        <w:gridCol w:w="246"/>
        <w:gridCol w:w="1164"/>
        <w:gridCol w:w="63"/>
        <w:gridCol w:w="63"/>
        <w:gridCol w:w="178"/>
        <w:gridCol w:w="841"/>
        <w:gridCol w:w="75"/>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5"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 2022</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160"/>
              <w:jc w:val="center"/>
              <w:rPr>
                <w:rFonts w:ascii="Times New Roman;Times;serif" w:hAnsi="Times New Roman;Times;serif"/>
                <w:sz w:val="20"/>
              </w:rPr>
            </w:pPr>
            <w:r>
              <w:rPr>
                <w:rFonts w:ascii="Times New Roman;Times;serif" w:hAnsi="Times New Roman;Times;serif"/>
                <w:sz w:val="20"/>
              </w:rPr>
              <w:t>Amortized cost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19"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160"/>
              <w:jc w:val="center"/>
              <w:rPr>
                <w:rFonts w:ascii="Times New Roman;Times;serif" w:hAnsi="Times New Roman;Times;serif"/>
                <w:sz w:val="20"/>
              </w:rPr>
            </w:pPr>
            <w:r>
              <w:rPr>
                <w:rFonts w:ascii="Times New Roman;Times;serif" w:hAnsi="Times New Roman;Times;serif"/>
                <w:sz w:val="20"/>
              </w:rPr>
              <w:t>Fair Value</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0" w:type="dxa"/>
            <w:gridSpan w:val="2"/>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Due within one year</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6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42,214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42,187</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Due between one and three years</w:t>
            </w:r>
          </w:p>
        </w:tc>
        <w:tc>
          <w:tcPr>
            <w:tcW w:w="6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43,296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841"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43,334</w:t>
            </w:r>
          </w:p>
        </w:tc>
        <w:tc>
          <w:tcPr>
            <w:tcW w:w="7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246"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6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85,510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78"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85,521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5: PROPERTY AND EQUIPMENT, NET</w:t>
      </w:r>
    </w:p>
    <w:p>
      <w:pPr>
        <w:pStyle w:val="TextBody"/>
        <w:bidi w:val="0"/>
        <w:spacing w:lineRule="auto" w:line="300"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4445"/>
        <w:gridCol w:w="60"/>
        <w:gridCol w:w="140"/>
        <w:gridCol w:w="680"/>
        <w:gridCol w:w="60"/>
        <w:gridCol w:w="60"/>
        <w:gridCol w:w="140"/>
        <w:gridCol w:w="680"/>
        <w:gridCol w:w="75"/>
      </w:tblGrid>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40"/>
              <w:jc w:val="center"/>
              <w:rPr>
                <w:rFonts w:ascii="Times New Roman;Times;serif" w:hAnsi="Times New Roman;Times;serif"/>
                <w:b/>
              </w:rPr>
            </w:pPr>
            <w:r>
              <w:rPr>
                <w:rFonts w:ascii="Times New Roman;Times;serif" w:hAnsi="Times New Roman;Times;serif"/>
                <w:b/>
              </w:rPr>
              <w:t>December 31,</w:t>
            </w:r>
          </w:p>
        </w:tc>
        <w:tc>
          <w:tcPr>
            <w:tcW w:w="7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2022</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rPr>
            </w:pPr>
            <w:r>
              <w:rPr>
                <w:rFonts w:ascii="Times New Roman;Times;serif" w:hAnsi="Times New Roman;Times;serif"/>
              </w:rPr>
              <w:t>Cost:</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lineRule="auto" w:line="300" w:before="0" w:after="0"/>
              <w:ind w:left="340" w:right="0" w:hanging="0"/>
              <w:jc w:val="left"/>
              <w:rPr>
                <w:rFonts w:ascii="Times New Roman;Times;serif" w:hAnsi="Times New Roman;Times;serif"/>
              </w:rPr>
            </w:pPr>
            <w:r>
              <w:rPr>
                <w:rFonts w:ascii="Times New Roman;Times;serif" w:hAnsi="Times New Roman;Times;serif"/>
              </w:rPr>
              <w:t>Software, computers and peripheral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8,220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8,378</w:t>
            </w:r>
          </w:p>
        </w:tc>
        <w:tc>
          <w:tcPr>
            <w:tcW w:w="75"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lineRule="auto" w:line="300" w:before="0" w:after="0"/>
              <w:ind w:left="340" w:right="0" w:hanging="0"/>
              <w:jc w:val="left"/>
              <w:rPr>
                <w:rFonts w:ascii="Times New Roman;Times;serif" w:hAnsi="Times New Roman;Times;serif"/>
              </w:rPr>
            </w:pPr>
            <w:r>
              <w:rPr>
                <w:rFonts w:ascii="Times New Roman;Times;serif" w:hAnsi="Times New Roman;Times;serif"/>
              </w:rPr>
              <w:t>Office furniture and equipment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687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887</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lineRule="auto" w:line="300" w:before="0" w:after="0"/>
              <w:ind w:left="340" w:right="0" w:hanging="0"/>
              <w:jc w:val="left"/>
              <w:rPr>
                <w:rFonts w:ascii="Times New Roman;Times;serif" w:hAnsi="Times New Roman;Times;serif"/>
              </w:rPr>
            </w:pPr>
            <w:r>
              <w:rPr>
                <w:rFonts w:ascii="Times New Roman;Times;serif" w:hAnsi="Times New Roman;Times;serif"/>
              </w:rPr>
              <w:t>Capitalized software development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22,821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18,750</w:t>
            </w:r>
          </w:p>
        </w:tc>
        <w:tc>
          <w:tcPr>
            <w:tcW w:w="75"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lineRule="auto" w:line="300" w:before="0" w:after="0"/>
              <w:ind w:left="340" w:right="0" w:hanging="0"/>
              <w:jc w:val="left"/>
              <w:rPr>
                <w:rFonts w:ascii="Times New Roman;Times;serif" w:hAnsi="Times New Roman;Times;serif"/>
              </w:rPr>
            </w:pPr>
            <w:r>
              <w:rPr>
                <w:rFonts w:ascii="Times New Roman;Times;serif" w:hAnsi="Times New Roman;Times;serif"/>
              </w:rPr>
              <w:t>Leasehold improvements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4,027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3,999</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35,755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32,014</w:t>
            </w:r>
          </w:p>
        </w:tc>
        <w:tc>
          <w:tcPr>
            <w:tcW w:w="75"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rPr>
            </w:pPr>
            <w:r>
              <w:rPr>
                <w:rFonts w:ascii="Times New Roman;Times;serif" w:hAnsi="Times New Roman;Times;serif"/>
              </w:rPr>
              <w:t>Accumulated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23,696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18,746</w:t>
            </w:r>
          </w:p>
        </w:tc>
        <w:tc>
          <w:tcPr>
            <w:tcW w:w="75"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rPr>
            </w:pPr>
            <w:r>
              <w:rPr>
                <w:rFonts w:ascii="Times New Roman;Times;serif" w:hAnsi="Times New Roman;Times;serif"/>
              </w:rPr>
              <w:t>Depreciated cost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8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12,059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8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13,268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Depreciation expenses amounted to $5,721, $5,165 and $4,478 for the years ended December 31, 2023, 2022 and 2021 respectively.</w:t>
      </w:r>
    </w:p>
    <w:p>
      <w:pPr>
        <w:pStyle w:val="TextBody"/>
        <w:bidi w:val="0"/>
        <w:spacing w:lineRule="auto" w:line="300" w:before="0" w:after="0"/>
        <w:jc w:val="left"/>
        <w:rPr/>
      </w:pPr>
      <w:r>
        <w:rPr/>
        <w:t> </w:t>
      </w:r>
    </w:p>
    <w:p>
      <w:pPr>
        <w:pStyle w:val="TextBody"/>
        <w:bidi w:val="0"/>
        <w:spacing w:lineRule="auto" w:line="300"/>
        <w:jc w:val="both"/>
        <w:rPr>
          <w:rFonts w:ascii="Times New Roman;Times;serif" w:hAnsi="Times New Roman;Times;serif"/>
          <w:sz w:val="20"/>
        </w:rPr>
      </w:pPr>
      <w:r>
        <w:rPr>
          <w:rFonts w:ascii="Times New Roman;Times;serif" w:hAnsi="Times New Roman;Times;serif"/>
          <w:sz w:val="20"/>
        </w:rPr>
        <w:t>For the years ended December 31, 2023 and 2022, the Company recorded a reduction of $776 and $576 respectively, to the cost and accumulated depreciation of fully depreciated equipment and leasehold improvements no longer in use, following an assessment made by the Company.</w:t>
      </w:r>
    </w:p>
    <w:p>
      <w:pPr>
        <w:pStyle w:val="TextBody"/>
        <w:bidi w:val="0"/>
        <w:spacing w:before="0" w:after="0"/>
        <w:ind w:left="0" w:right="0" w:hanging="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6: INTANGIBLE ASSETS, NET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Acquisition of developed technologies: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On April 15, 2021, the Company acquired the technology of Snow-White Labs Ltd. (“Zest”) for a total consideration of $808 consisted from the issuance of 33,150 Company’s ordinary shares with fair value of $776 and the remaining amount was allocated to direct acquisition costs.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On October 4, 2021, the Company acquired the technology of Simpo Ltd. (“Simpo”) for a total consideration of $1,306 in cash.</w:t>
      </w:r>
    </w:p>
    <w:p>
      <w:pPr>
        <w:pStyle w:val="TextBody"/>
        <w:bidi w:val="0"/>
        <w:spacing w:lineRule="auto" w:line="300" w:before="0" w:after="0"/>
        <w:jc w:val="both"/>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F-21</w:t>
      </w:r>
    </w:p>
    <w:p>
      <w:pPr>
        <w:pStyle w:val="HorizontalLine"/>
        <w:bidi w:val="0"/>
        <w:spacing w:before="200" w:after="200"/>
        <w:jc w:val="left"/>
        <w:rPr/>
      </w:pPr>
      <w:r>
        <w:rPr/>
      </w:r>
    </w:p>
    <w:p>
      <w:pPr>
        <w:pStyle w:val="TextBody"/>
        <w:bidi w:val="0"/>
        <w:spacing w:lineRule="auto" w:line="300" w:before="0" w:after="160"/>
        <w:ind w:left="6" w:right="0" w:hanging="0"/>
        <w:jc w:val="right"/>
        <w:rPr>
          <w:rFonts w:ascii="Times New Roman;Times;serif" w:hAnsi="Times New Roman;Times;serif"/>
          <w:b/>
          <w:sz w:val="20"/>
        </w:rPr>
      </w:pPr>
      <w:r>
        <w:rPr>
          <w:rFonts w:ascii="Times New Roman;Times;serif" w:hAnsi="Times New Roman;Times;serif"/>
          <w:b/>
          <w:sz w:val="20"/>
        </w:rPr>
        <w:t>WALKME LTD. AND ITS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HorizontalLine"/>
        <w:bidi w:val="0"/>
        <w:spacing w:lineRule="auto" w:line="300"/>
        <w:jc w:val="left"/>
        <w:rPr/>
      </w:pPr>
      <w:r>
        <w:rPr/>
      </w:r>
    </w:p>
    <w:p>
      <w:pPr>
        <w:pStyle w:val="TextBody"/>
        <w:bidi w:val="0"/>
        <w:spacing w:before="0" w:after="283"/>
        <w:jc w:val="left"/>
        <w:rPr/>
      </w:pPr>
      <w:r>
        <w:rPr>
          <w:rStyle w:val="StrongEmphasis"/>
          <w:rFonts w:ascii="Times New Roman;Times;serif" w:hAnsi="Times New Roman;Times;serif"/>
          <w:sz w:val="20"/>
        </w:rPr>
        <w:t>NOTE 6: INTANGIBLE ASSETS, NET (Cont.)</w:t>
      </w:r>
      <w:r>
        <w:rPr>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Both acquisitions were accounted as an asset acquisition in accordance with ASC 805 as substantially all of the fair value of the gross assets acquired is concentrated in a single identifiable asset. The purchase price was allocated to the developed technology acquired with an estimated useful life of three years.</w:t>
      </w:r>
    </w:p>
    <w:p>
      <w:pPr>
        <w:pStyle w:val="TextBody"/>
        <w:bidi w:val="0"/>
        <w:spacing w:before="0" w:after="0"/>
        <w:ind w:left="0" w:right="0" w:hanging="0"/>
        <w:jc w:val="left"/>
        <w:rPr/>
      </w:pPr>
      <w:r>
        <w:rPr/>
        <w:t> </w:t>
      </w:r>
    </w:p>
    <w:tbl>
      <w:tblPr>
        <w:tblW w:w="5725" w:type="dxa"/>
        <w:jc w:val="left"/>
        <w:tblInd w:w="0" w:type="dxa"/>
        <w:tblLayout w:type="fixed"/>
        <w:tblCellMar>
          <w:top w:w="0" w:type="dxa"/>
          <w:left w:w="0" w:type="dxa"/>
          <w:bottom w:w="0" w:type="dxa"/>
          <w:right w:w="0" w:type="dxa"/>
        </w:tblCellMar>
      </w:tblPr>
      <w:tblGrid>
        <w:gridCol w:w="4070"/>
        <w:gridCol w:w="60"/>
        <w:gridCol w:w="140"/>
        <w:gridCol w:w="560"/>
        <w:gridCol w:w="60"/>
        <w:gridCol w:w="60"/>
        <w:gridCol w:w="140"/>
        <w:gridCol w:w="560"/>
        <w:gridCol w:w="75"/>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40"/>
              <w:jc w:val="center"/>
              <w:rPr>
                <w:rFonts w:ascii="Times New Roman;Times;serif" w:hAnsi="Times New Roman;Times;serif"/>
                <w:b/>
              </w:rPr>
            </w:pPr>
            <w:r>
              <w:rPr>
                <w:rFonts w:ascii="Times New Roman;Times;serif" w:hAnsi="Times New Roman;Times;serif"/>
                <w:b/>
              </w:rPr>
              <w:t>December 31,</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2022</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rPr>
            </w:pPr>
            <w:r>
              <w:rPr>
                <w:rFonts w:ascii="Times New Roman;Times;serif" w:hAnsi="Times New Roman;Times;serif"/>
              </w:rPr>
              <w:t>Acquired technology</w:t>
            </w:r>
          </w:p>
        </w:tc>
        <w:tc>
          <w:tcPr>
            <w:tcW w:w="60" w:type="dxa"/>
            <w:tcBorders/>
            <w:shd w:fill="CCEEFF" w:val="clear"/>
            <w:vAlign w:val="center"/>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56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56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3,004</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rPr>
            </w:pPr>
            <w:r>
              <w:rPr>
                <w:rFonts w:ascii="Times New Roman;Times;serif" w:hAnsi="Times New Roman;Times;serif"/>
              </w:rPr>
              <w:t>Accumulated amortization and Impairment</w:t>
            </w:r>
          </w:p>
        </w:tc>
        <w:tc>
          <w:tcPr>
            <w:tcW w:w="60" w:type="dxa"/>
            <w:tcBorders/>
            <w:shd w:fill="CCEEFF" w:val="clear"/>
            <w:vAlign w:val="center"/>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2,924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2,655</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rPr>
            </w:pPr>
            <w:r>
              <w:rPr>
                <w:rFonts w:ascii="Times New Roman;Times;serif" w:hAnsi="Times New Roman;Times;serif"/>
              </w:rPr>
              <w:t>Depreciated cost</w:t>
            </w:r>
          </w:p>
        </w:tc>
        <w:tc>
          <w:tcPr>
            <w:tcW w:w="60" w:type="dxa"/>
            <w:tcBorders/>
            <w:shd w:fill="CCEEFF" w:val="clear"/>
            <w:vAlign w:val="center"/>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56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56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349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As of December 31, 2023, the weighted-average remaining useful life of the technology was 0.3 years. The Company recorded $269, $487 and $299 of amortization expense during the years ended December 31, 2023, 2022 and 2021, respectively.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During the year ended December 31, 2022 the Company recorded an impairment in the amount of $979 related to abandoned technology.</w:t>
      </w:r>
    </w:p>
    <w:p>
      <w:pPr>
        <w:pStyle w:val="TextBody"/>
        <w:bidi w:val="0"/>
        <w:spacing w:lineRule="auto" w:line="300" w:before="0" w:after="0"/>
        <w:jc w:val="left"/>
        <w:rPr/>
      </w:pPr>
      <w:r>
        <w:rPr/>
        <w:t> </w:t>
      </w:r>
    </w:p>
    <w:p>
      <w:pPr>
        <w:pStyle w:val="TextBody"/>
        <w:bidi w:val="0"/>
        <w:spacing w:lineRule="auto" w:line="300"/>
        <w:jc w:val="left"/>
        <w:rPr>
          <w:rFonts w:ascii="Times New Roman;Times;serif" w:hAnsi="Times New Roman;Times;serif"/>
          <w:sz w:val="20"/>
        </w:rPr>
      </w:pPr>
      <w:r>
        <w:rPr>
          <w:rFonts w:ascii="Times New Roman;Times;serif" w:hAnsi="Times New Roman;Times;serif"/>
          <w:sz w:val="20"/>
        </w:rPr>
        <w:t>As of December 31, 2023, future amortization expense related to acquired technology is $80 to be fully amortized in the year 2024.</w:t>
      </w:r>
    </w:p>
    <w:p>
      <w:pPr>
        <w:pStyle w:val="TextBody"/>
        <w:bidi w:val="0"/>
        <w:spacing w:before="0" w:after="0"/>
        <w:ind w:left="0" w:right="0" w:hanging="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7: COMMITMENTS AND CONTINGENT LIABILITIES</w:t>
      </w:r>
    </w:p>
    <w:p>
      <w:pPr>
        <w:pStyle w:val="TextBody"/>
        <w:bidi w:val="0"/>
        <w:spacing w:before="0" w:after="0"/>
        <w:jc w:val="left"/>
        <w:rPr/>
      </w:pPr>
      <w:r>
        <w:rPr/>
        <w:t> </w:t>
      </w:r>
    </w:p>
    <w:tbl>
      <w:tblPr>
        <w:tblW w:w="1915" w:type="dxa"/>
        <w:jc w:val="left"/>
        <w:tblInd w:w="0" w:type="dxa"/>
        <w:tblLayout w:type="fixed"/>
        <w:tblCellMar>
          <w:top w:w="0" w:type="dxa"/>
          <w:left w:w="0" w:type="dxa"/>
          <w:bottom w:w="0" w:type="dxa"/>
          <w:right w:w="0" w:type="dxa"/>
        </w:tblCellMar>
      </w:tblPr>
      <w:tblGrid>
        <w:gridCol w:w="170"/>
        <w:gridCol w:w="174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7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Legal contingencies: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From time to time, the Company becomes involved in legal proceedings or is subject to claims arising in its ordinary course of business. Such matters are generally subject to many uncertainties and outcomes are not predictable with assurance. The Company accrues for contingencies when the loss is probable and it can reasonably estimate the amount of any such loss.</w:t>
      </w:r>
    </w:p>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In 2022, a former employee filed a putative class action in the Superior Court for the City and County of San Francisco, based on claims that she was misclassified as an exempt employee and that the Company failed to properly reimburse for business expenses, failed to pay the proper rate of pay for paid sick leave, and other claims related to the payment of commissions and derivative of the misclassification claim and subsequently added related claims under California’s Private Attorneys General Act (the “California Lawsuit”). The California Lawsuit seeks monetary and non-monetary damages, including punitive damages, penalties, interest, and attorneys’ fees on behalf of plaintiff and others similarly situated. In 2023, the Company received an attorney demand letter, threatening similar claims on behalf of an unidentified New York-based “inside salesperson” and other similarly-situated employees (the “New York Claim”). The Company denies the allegations in the California Lawsuit and the New York Claim and believes them to be without merit. However, solely in order to avoid the costs and inconvenience of litigation as well as the uncertainty inherent in any complex litigation, the Company has reached agreements in principle to resolve the two matters for a total of $2,950 subject to court approval. The Company accrued a sufficient amount for the estimated settlement and related costs in its general and administrative expenses for the year ended December 31, 2023.</w:t>
      </w:r>
    </w:p>
    <w:p>
      <w:pPr>
        <w:pStyle w:val="TextBody"/>
        <w:bidi w:val="0"/>
        <w:spacing w:lineRule="auto" w:line="300" w:before="0" w:after="0"/>
        <w:ind w:left="426" w:right="0" w:hanging="0"/>
        <w:jc w:val="both"/>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F-22</w:t>
      </w:r>
    </w:p>
    <w:p>
      <w:pPr>
        <w:pStyle w:val="HorizontalLine"/>
        <w:bidi w:val="0"/>
        <w:spacing w:before="200" w:after="200"/>
        <w:jc w:val="left"/>
        <w:rPr/>
      </w:pPr>
      <w:r>
        <w:rPr/>
      </w:r>
    </w:p>
    <w:p>
      <w:pPr>
        <w:pStyle w:val="TextBody"/>
        <w:bidi w:val="0"/>
        <w:spacing w:lineRule="auto" w:line="300" w:before="0" w:after="160"/>
        <w:ind w:left="6" w:right="0" w:hanging="0"/>
        <w:jc w:val="right"/>
        <w:rPr>
          <w:rFonts w:ascii="Times New Roman;Times;serif" w:hAnsi="Times New Roman;Times;serif"/>
          <w:b/>
          <w:sz w:val="20"/>
        </w:rPr>
      </w:pPr>
      <w:r>
        <w:rPr>
          <w:rFonts w:ascii="Times New Roman;Times;serif" w:hAnsi="Times New Roman;Times;serif"/>
          <w:b/>
          <w:sz w:val="20"/>
        </w:rPr>
        <w:t>WALKME LTD. AND ITS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HorizontalLine"/>
        <w:bidi w:val="0"/>
        <w:spacing w:lineRule="auto" w:line="300"/>
        <w:jc w:val="left"/>
        <w:rPr/>
      </w:pPr>
      <w:r>
        <w:rPr/>
      </w:r>
    </w:p>
    <w:p>
      <w:pPr>
        <w:pStyle w:val="TextBody"/>
        <w:bidi w:val="0"/>
        <w:spacing w:before="0" w:after="0"/>
        <w:ind w:left="0" w:right="0" w:hanging="0"/>
        <w:jc w:val="left"/>
        <w:rPr/>
      </w:pPr>
      <w:r>
        <w:rPr>
          <w:rStyle w:val="StrongEmphasis"/>
          <w:rFonts w:ascii="Times New Roman;Times;serif" w:hAnsi="Times New Roman;Times;serif"/>
          <w:sz w:val="20"/>
        </w:rPr>
        <w:t>NOTE 7: COMMITMENTS AND CONTINGENT LIABILITIES (Cont.)</w:t>
      </w:r>
    </w:p>
    <w:p>
      <w:pPr>
        <w:pStyle w:val="TextBody"/>
        <w:bidi w:val="0"/>
        <w:spacing w:before="0" w:after="0"/>
        <w:ind w:left="0" w:right="0" w:hanging="0"/>
        <w:jc w:val="left"/>
        <w:rPr/>
      </w:pPr>
      <w:r>
        <w:rPr/>
        <w:t> </w:t>
      </w:r>
    </w:p>
    <w:tbl>
      <w:tblPr>
        <w:tblW w:w="3460" w:type="dxa"/>
        <w:jc w:val="left"/>
        <w:tblInd w:w="0" w:type="dxa"/>
        <w:tblLayout w:type="fixed"/>
        <w:tblCellMar>
          <w:top w:w="0" w:type="dxa"/>
          <w:left w:w="0" w:type="dxa"/>
          <w:bottom w:w="0" w:type="dxa"/>
          <w:right w:w="0" w:type="dxa"/>
        </w:tblCellMar>
      </w:tblPr>
      <w:tblGrid>
        <w:gridCol w:w="185"/>
        <w:gridCol w:w="327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27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Non-cancellable material commitments:</w:t>
            </w:r>
          </w:p>
        </w:tc>
      </w:tr>
    </w:tbl>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In the normal course of business, the Company enters into non-cancelable purchase commitments with various parties mainly for hosting `services, as well as software products and services. As of December 31, 2023, the Company had outstanding non-cancelable purchase obligations with a term of 12 months or longer as follows:</w:t>
      </w:r>
    </w:p>
    <w:p>
      <w:pPr>
        <w:pStyle w:val="TextBody"/>
        <w:bidi w:val="0"/>
        <w:spacing w:lineRule="auto" w:line="300" w:before="0" w:after="0"/>
        <w:jc w:val="left"/>
        <w:rPr/>
      </w:pPr>
      <w:r>
        <w:rPr/>
        <w:t> </w:t>
      </w:r>
    </w:p>
    <w:tbl>
      <w:tblPr>
        <w:tblW w:w="4040" w:type="dxa"/>
        <w:jc w:val="left"/>
        <w:tblInd w:w="540" w:type="dxa"/>
        <w:tblLayout w:type="fixed"/>
        <w:tblCellMar>
          <w:top w:w="0" w:type="dxa"/>
          <w:left w:w="0" w:type="dxa"/>
          <w:bottom w:w="0" w:type="dxa"/>
          <w:right w:w="0" w:type="dxa"/>
        </w:tblCellMar>
      </w:tblPr>
      <w:tblGrid>
        <w:gridCol w:w="2240"/>
        <w:gridCol w:w="60"/>
        <w:gridCol w:w="293"/>
        <w:gridCol w:w="1387"/>
        <w:gridCol w:w="60"/>
      </w:tblGrid>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40"/>
              <w:jc w:val="center"/>
              <w:rPr>
                <w:rFonts w:ascii="Times New Roman;Times;serif" w:hAnsi="Times New Roman;Times;serif"/>
                <w:b/>
                <w:sz w:val="20"/>
              </w:rPr>
            </w:pPr>
            <w:r>
              <w:rPr>
                <w:rFonts w:ascii="Times New Roman;Times;serif" w:hAnsi="Times New Roman;Times;serif"/>
                <w:b/>
                <w:sz w:val="20"/>
              </w:rPr>
              <w:t>December 31, 2023</w:t>
            </w:r>
          </w:p>
        </w:tc>
        <w:tc>
          <w:tcPr>
            <w:tcW w:w="60"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Years ending December 31,</w:t>
            </w:r>
          </w:p>
        </w:tc>
        <w:tc>
          <w:tcPr>
            <w:tcW w:w="60" w:type="dxa"/>
            <w:tcBorders/>
            <w:shd w:fill="CCEEFF" w:val="clear"/>
            <w:vAlign w:val="center"/>
          </w:tcPr>
          <w:p>
            <w:pPr>
              <w:pStyle w:val="TableContents"/>
              <w:bidi w:val="0"/>
              <w:spacing w:before="0" w:after="283"/>
              <w:jc w:val="left"/>
              <w:rPr/>
            </w:pPr>
            <w:r>
              <w:rPr/>
              <w:t> </w:t>
            </w:r>
          </w:p>
        </w:tc>
        <w:tc>
          <w:tcPr>
            <w:tcW w:w="168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2024</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8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13,963</w:t>
            </w:r>
          </w:p>
        </w:tc>
        <w:tc>
          <w:tcPr>
            <w:tcW w:w="60"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14,506</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12,848</w:t>
            </w:r>
          </w:p>
        </w:tc>
        <w:tc>
          <w:tcPr>
            <w:tcW w:w="60"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9,161</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vAlign w:val="center"/>
          </w:tcPr>
          <w:p>
            <w:pPr>
              <w:pStyle w:val="TableContents"/>
              <w:bidi w:val="0"/>
              <w:spacing w:before="0" w:after="283"/>
              <w:jc w:val="left"/>
              <w:rPr/>
            </w:pPr>
            <w:r>
              <w:rPr/>
              <w:t> </w:t>
            </w:r>
          </w:p>
        </w:tc>
        <w:tc>
          <w:tcPr>
            <w:tcW w:w="29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8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2,318</w:t>
            </w:r>
          </w:p>
        </w:tc>
        <w:tc>
          <w:tcPr>
            <w:tcW w:w="60"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293"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87"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52,796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540" w:right="0" w:hanging="0"/>
        <w:jc w:val="left"/>
        <w:rPr/>
      </w:pPr>
      <w:r>
        <w:rPr/>
        <w:t> </w:t>
      </w:r>
    </w:p>
    <w:tbl>
      <w:tblPr>
        <w:tblW w:w="2605" w:type="dxa"/>
        <w:jc w:val="left"/>
        <w:tblInd w:w="0" w:type="dxa"/>
        <w:tblLayout w:type="fixed"/>
        <w:tblCellMar>
          <w:top w:w="0" w:type="dxa"/>
          <w:left w:w="0" w:type="dxa"/>
          <w:bottom w:w="0" w:type="dxa"/>
          <w:right w:w="0" w:type="dxa"/>
        </w:tblCellMar>
      </w:tblPr>
      <w:tblGrid>
        <w:gridCol w:w="170"/>
        <w:gridCol w:w="24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4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Pledges and bank guarantees: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As of December 31, 2023, The Company and its subsidiaries holds pledged bank deposits of $170 and obtained bank guarantees of $1,559, in connection with office lease agreements.</w:t>
      </w:r>
    </w:p>
    <w:p>
      <w:pPr>
        <w:pStyle w:val="TextBody"/>
        <w:bidi w:val="0"/>
        <w:spacing w:lineRule="auto" w:line="300"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185"/>
        <w:gridCol w:w="219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21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Revolving Credit Facility:</w:t>
            </w:r>
          </w:p>
        </w:tc>
      </w:tr>
    </w:tbl>
    <w:p>
      <w:pPr>
        <w:pStyle w:val="TextBody"/>
        <w:bidi w:val="0"/>
        <w:spacing w:lineRule="auto" w:line="300" w:before="0" w:after="0"/>
        <w:ind w:left="426" w:right="0" w:hanging="0"/>
        <w:jc w:val="both"/>
        <w:rPr/>
      </w:pPr>
      <w:r>
        <w:rPr/>
        <w:t> </w:t>
      </w:r>
    </w:p>
    <w:p>
      <w:pPr>
        <w:pStyle w:val="TextBody"/>
        <w:bidi w:val="0"/>
        <w:spacing w:lineRule="auto" w:line="300"/>
        <w:ind w:left="426" w:right="0" w:hanging="0"/>
        <w:jc w:val="both"/>
        <w:rPr>
          <w:rFonts w:ascii="Times New Roman;Times;serif" w:hAnsi="Times New Roman;Times;serif"/>
          <w:sz w:val="20"/>
        </w:rPr>
      </w:pPr>
      <w:r>
        <w:rPr>
          <w:rFonts w:ascii="Times New Roman;Times;serif" w:hAnsi="Times New Roman;Times;serif"/>
          <w:sz w:val="20"/>
        </w:rPr>
        <w:t>In August 2021, the Company entered into a loan and security agreement with Silicon Valley Bank (SVB) which provides for the Revolving Credit Facility. The Company may borrow, repay and re-borrow funds under the Revolving Credit Facility up to the amount of $50,000 for a period of three years. Interest on borrowings under the revolving credit facility accrues as the greater of the Prime Rate or 3.25%. Pursuant to the terms of the Revolving Credit Facility, the Company are also required to pay an yearly fixed fee of $20 for the availability of this facility. Upon utilization of this credit facility certain covenants may apply according to the Revolving Credit Facility agreement. The Revolving Credit Facility is secured by a fixed and floating first priority blanket lien on all assets of the company as well as a negative pledge on our intellectual property. As of December 31, 2023 this facility remained unutilized and will expire in August 2024.</w:t>
      </w:r>
    </w:p>
    <w:p>
      <w:pPr>
        <w:pStyle w:val="TextBody"/>
        <w:bidi w:val="0"/>
        <w:spacing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NOTE 8: LEASES</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Company entered into non-cancelable operating lease agreements with various expiration dates through the year 2026. Certain lease agreements include options to renew or terminate the lease. The Company does not assume renewals in its determination of the lease term unless the renewals are considered as reasonably assured at lease commencement.</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components of operating lease costs were as follows:</w:t>
      </w:r>
    </w:p>
    <w:p>
      <w:pPr>
        <w:pStyle w:val="TextBody"/>
        <w:bidi w:val="0"/>
        <w:spacing w:lineRule="auto" w:line="300" w:before="0" w:after="0"/>
        <w:jc w:val="left"/>
        <w:rPr/>
      </w:pPr>
      <w:r>
        <w:rPr/>
        <w:t> </w:t>
      </w:r>
    </w:p>
    <w:tbl>
      <w:tblPr>
        <w:tblW w:w="3160" w:type="dxa"/>
        <w:jc w:val="left"/>
        <w:tblInd w:w="540" w:type="dxa"/>
        <w:tblLayout w:type="fixed"/>
        <w:tblCellMar>
          <w:top w:w="0" w:type="dxa"/>
          <w:left w:w="0" w:type="dxa"/>
          <w:bottom w:w="0" w:type="dxa"/>
          <w:right w:w="0" w:type="dxa"/>
        </w:tblCellMar>
      </w:tblPr>
      <w:tblGrid>
        <w:gridCol w:w="1700"/>
        <w:gridCol w:w="60"/>
        <w:gridCol w:w="125"/>
        <w:gridCol w:w="485"/>
        <w:gridCol w:w="60"/>
        <w:gridCol w:w="60"/>
        <w:gridCol w:w="125"/>
        <w:gridCol w:w="485"/>
        <w:gridCol w:w="60"/>
      </w:tblGrid>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40"/>
              <w:jc w:val="center"/>
              <w:rPr>
                <w:rFonts w:ascii="Times New Roman;Times;serif" w:hAnsi="Times New Roman;Times;serif"/>
                <w:b/>
                <w:sz w:val="20"/>
              </w:rPr>
            </w:pPr>
            <w:r>
              <w:rPr>
                <w:rFonts w:ascii="Times New Roman;Times;serif" w:hAnsi="Times New Roman;Times;serif"/>
                <w:b/>
                <w:sz w:val="20"/>
              </w:rPr>
              <w:t>Year ended</w:t>
            </w:r>
          </w:p>
          <w:p>
            <w:pPr>
              <w:pStyle w:val="TableContents"/>
              <w:bidi w:val="0"/>
              <w:spacing w:lineRule="auto" w:line="300" w:before="0" w:after="0"/>
              <w:ind w:left="0" w:right="0" w:firstLine="40"/>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lineRule="auto" w:line="300" w:before="0" w:after="0"/>
              <w:ind w:left="57" w:right="0" w:hanging="0"/>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4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4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Operating lease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6,227</w:t>
            </w:r>
          </w:p>
        </w:tc>
        <w:tc>
          <w:tcPr>
            <w:tcW w:w="60"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Short-term lease cost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787</w:t>
            </w:r>
          </w:p>
        </w:tc>
        <w:tc>
          <w:tcPr>
            <w:tcW w:w="60"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Variable lease cost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w:t>
            </w:r>
          </w:p>
        </w:tc>
        <w:tc>
          <w:tcPr>
            <w:tcW w:w="60"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Total lease cost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7,049</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540" w:right="0" w:hanging="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Supplemental balance sheet information related to operating leases is as follows:</w:t>
      </w:r>
    </w:p>
    <w:p>
      <w:pPr>
        <w:pStyle w:val="TextBody"/>
        <w:bidi w:val="0"/>
        <w:spacing w:lineRule="auto" w:line="300" w:before="0" w:after="0"/>
        <w:jc w:val="left"/>
        <w:rPr/>
      </w:pPr>
      <w:r>
        <w:rPr/>
        <w:t> </w:t>
      </w:r>
    </w:p>
    <w:tbl>
      <w:tblPr>
        <w:tblW w:w="5539" w:type="dxa"/>
        <w:jc w:val="left"/>
        <w:tblInd w:w="540" w:type="dxa"/>
        <w:tblLayout w:type="fixed"/>
        <w:tblCellMar>
          <w:top w:w="0" w:type="dxa"/>
          <w:left w:w="0" w:type="dxa"/>
          <w:bottom w:w="0" w:type="dxa"/>
          <w:right w:w="0" w:type="dxa"/>
        </w:tblCellMar>
      </w:tblPr>
      <w:tblGrid>
        <w:gridCol w:w="4010"/>
        <w:gridCol w:w="60"/>
        <w:gridCol w:w="85"/>
        <w:gridCol w:w="395"/>
        <w:gridCol w:w="245"/>
        <w:gridCol w:w="79"/>
        <w:gridCol w:w="85"/>
        <w:gridCol w:w="395"/>
        <w:gridCol w:w="185"/>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4"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40"/>
              <w:jc w:val="center"/>
              <w:rPr>
                <w:rFonts w:ascii="Times New Roman;Times;serif" w:hAnsi="Times New Roman;Times;serif"/>
                <w:b/>
                <w:sz w:val="20"/>
              </w:rPr>
            </w:pPr>
            <w:r>
              <w:rPr>
                <w:rFonts w:ascii="Times New Roman;Times;serif" w:hAnsi="Times New Roman;Times;serif"/>
                <w:b/>
                <w:sz w:val="20"/>
              </w:rPr>
              <w:t>December 31,</w:t>
            </w:r>
          </w:p>
        </w:tc>
        <w:tc>
          <w:tcPr>
            <w:tcW w:w="18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lineRule="auto" w:line="300" w:before="0" w:after="0"/>
              <w:ind w:left="57" w:right="0" w:hanging="0"/>
              <w:jc w:val="left"/>
              <w:rPr/>
            </w:pPr>
            <w:r>
              <w:rPr/>
              <w:t> </w:t>
            </w:r>
          </w:p>
        </w:tc>
        <w:tc>
          <w:tcPr>
            <w:tcW w:w="60" w:type="dxa"/>
            <w:tcBorders/>
            <w:vAlign w:val="center"/>
          </w:tcPr>
          <w:p>
            <w:pPr>
              <w:pStyle w:val="TableContents"/>
              <w:bidi w:val="0"/>
              <w:spacing w:before="0" w:after="283"/>
              <w:jc w:val="left"/>
              <w:rPr/>
            </w:pPr>
            <w:r>
              <w:rPr/>
              <w:t> </w:t>
            </w:r>
          </w:p>
        </w:tc>
        <w:tc>
          <w:tcPr>
            <w:tcW w:w="48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40"/>
              <w:jc w:val="center"/>
              <w:rPr>
                <w:rFonts w:ascii="Times New Roman;Times;serif" w:hAnsi="Times New Roman;Times;serif"/>
                <w:b/>
                <w:sz w:val="20"/>
              </w:rPr>
            </w:pPr>
            <w:r>
              <w:rPr>
                <w:rFonts w:ascii="Times New Roman;Times;serif" w:hAnsi="Times New Roman;Times;serif"/>
                <w:b/>
                <w:sz w:val="20"/>
              </w:rPr>
              <w:t>2023</w:t>
            </w:r>
          </w:p>
        </w:tc>
        <w:tc>
          <w:tcPr>
            <w:tcW w:w="245"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48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40"/>
              <w:jc w:val="center"/>
              <w:rPr>
                <w:rFonts w:ascii="Times New Roman;Times;serif" w:hAnsi="Times New Roman;Times;serif"/>
                <w:b/>
                <w:sz w:val="20"/>
              </w:rPr>
            </w:pPr>
            <w:r>
              <w:rPr>
                <w:rFonts w:ascii="Times New Roman;Times;serif" w:hAnsi="Times New Roman;Times;serif"/>
                <w:b/>
                <w:sz w:val="20"/>
              </w:rPr>
              <w:t>2022</w:t>
            </w:r>
          </w:p>
        </w:tc>
        <w:tc>
          <w:tcPr>
            <w:tcW w:w="18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Weighted 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w:t>
            </w:r>
          </w:p>
        </w:tc>
        <w:tc>
          <w:tcPr>
            <w:tcW w:w="24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w:t>
            </w:r>
          </w:p>
        </w:tc>
        <w:tc>
          <w:tcPr>
            <w:tcW w:w="185"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w:t>
            </w:r>
          </w:p>
        </w:tc>
        <w:tc>
          <w:tcPr>
            <w:tcW w:w="24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9"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ind w:left="540" w:right="0" w:hanging="0"/>
        <w:jc w:val="left"/>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F-23</w:t>
      </w:r>
    </w:p>
    <w:p>
      <w:pPr>
        <w:pStyle w:val="HorizontalLine"/>
        <w:bidi w:val="0"/>
        <w:spacing w:lineRule="auto" w:line="300" w:before="200" w:after="200"/>
        <w:jc w:val="both"/>
        <w:rPr/>
      </w:pPr>
      <w:r>
        <w:rPr/>
      </w:r>
    </w:p>
    <w:p>
      <w:pPr>
        <w:pStyle w:val="TextBody"/>
        <w:bidi w:val="0"/>
        <w:spacing w:lineRule="auto" w:line="300" w:before="0" w:after="160"/>
        <w:ind w:left="6" w:right="0" w:hanging="0"/>
        <w:jc w:val="right"/>
        <w:rPr>
          <w:rFonts w:ascii="Times New Roman;Times;serif" w:hAnsi="Times New Roman;Times;serif"/>
          <w:b/>
          <w:sz w:val="20"/>
        </w:rPr>
      </w:pPr>
      <w:r>
        <w:rPr>
          <w:rFonts w:ascii="Times New Roman;Times;serif" w:hAnsi="Times New Roman;Times;serif"/>
          <w:b/>
          <w:sz w:val="20"/>
        </w:rPr>
        <w:t>WALKME LTD. AND ITS SUBSIDIARIES</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HorizontalLine"/>
        <w:bidi w:val="0"/>
        <w:spacing w:lineRule="auto" w:line="300"/>
        <w:jc w:val="both"/>
        <w:rPr/>
      </w:pPr>
      <w:r>
        <w:rPr/>
      </w:r>
    </w:p>
    <w:p>
      <w:pPr>
        <w:pStyle w:val="TextBody"/>
        <w:bidi w:val="0"/>
        <w:spacing w:lineRule="auto" w:line="300"/>
        <w:jc w:val="both"/>
        <w:rPr/>
      </w:pPr>
      <w:r>
        <w:rPr>
          <w:rStyle w:val="StrongEmphasis"/>
          <w:rFonts w:ascii="Times New Roman;Times;serif" w:hAnsi="Times New Roman;Times;serif"/>
          <w:sz w:val="20"/>
        </w:rPr>
        <w:t>NOTE 8: LEASES (Cont.)</w:t>
      </w:r>
      <w:r>
        <w:rPr>
          <w:sz w:val="20"/>
        </w:rPr>
        <w:t xml:space="preserve"> </w:t>
      </w:r>
    </w:p>
    <w:p>
      <w:pPr>
        <w:pStyle w:val="TextBody"/>
        <w:bidi w:val="0"/>
        <w:spacing w:lineRule="auto" w:line="300" w:before="0" w:after="0"/>
        <w:ind w:left="0"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Supplemental cash flow information related to operating leases was as follows:</w:t>
      </w:r>
    </w:p>
    <w:p>
      <w:pPr>
        <w:pStyle w:val="TextBody"/>
        <w:bidi w:val="0"/>
        <w:spacing w:before="0" w:after="0"/>
        <w:ind w:left="540" w:right="0" w:hanging="0"/>
        <w:jc w:val="left"/>
        <w:rPr/>
      </w:pPr>
      <w:r>
        <w:rPr/>
        <w:t> </w:t>
      </w:r>
    </w:p>
    <w:tbl>
      <w:tblPr>
        <w:tblW w:w="8868" w:type="dxa"/>
        <w:jc w:val="left"/>
        <w:tblInd w:w="540" w:type="dxa"/>
        <w:tblLayout w:type="fixed"/>
        <w:tblCellMar>
          <w:top w:w="0" w:type="dxa"/>
          <w:left w:w="0" w:type="dxa"/>
          <w:bottom w:w="0" w:type="dxa"/>
          <w:right w:w="0" w:type="dxa"/>
        </w:tblCellMar>
      </w:tblPr>
      <w:tblGrid>
        <w:gridCol w:w="6530"/>
        <w:gridCol w:w="60"/>
        <w:gridCol w:w="207"/>
        <w:gridCol w:w="803"/>
        <w:gridCol w:w="99"/>
        <w:gridCol w:w="99"/>
        <w:gridCol w:w="207"/>
        <w:gridCol w:w="803"/>
        <w:gridCol w:w="60"/>
      </w:tblGrid>
      <w:tr>
        <w:trPr/>
        <w:tc>
          <w:tcPr>
            <w:tcW w:w="6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8"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40"/>
              <w:jc w:val="center"/>
              <w:rPr>
                <w:rFonts w:ascii="Times New Roman;Times;serif" w:hAnsi="Times New Roman;Times;serif"/>
                <w:b/>
                <w:sz w:val="20"/>
              </w:rPr>
            </w:pPr>
            <w:r>
              <w:rPr>
                <w:rFonts w:ascii="Times New Roman;Times;serif" w:hAnsi="Times New Roman;Times;serif"/>
                <w:b/>
                <w:sz w:val="20"/>
              </w:rPr>
              <w:t>Year ended December 31,</w:t>
            </w:r>
          </w:p>
        </w:tc>
        <w:tc>
          <w:tcPr>
            <w:tcW w:w="60" w:type="dxa"/>
            <w:tcBorders/>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lineRule="auto" w:line="300" w:before="0" w:after="0"/>
              <w:ind w:left="57" w:right="0" w:hanging="0"/>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40"/>
              <w:jc w:val="center"/>
              <w:rPr>
                <w:rFonts w:ascii="Times New Roman;Times;serif" w:hAnsi="Times New Roman;Times;serif"/>
                <w:b/>
                <w:sz w:val="20"/>
              </w:rPr>
            </w:pPr>
            <w:r>
              <w:rPr>
                <w:rFonts w:ascii="Times New Roman;Times;serif" w:hAnsi="Times New Roman;Times;serif"/>
                <w:b/>
                <w:sz w:val="20"/>
              </w:rPr>
              <w:t>2023</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4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operating liabilities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6,467</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5,399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540" w:right="0" w:hanging="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Maturities of operating lease liabilities as of December 31, 2023 are as follows:</w:t>
      </w:r>
    </w:p>
    <w:p>
      <w:pPr>
        <w:pStyle w:val="TextBody"/>
        <w:bidi w:val="0"/>
        <w:spacing w:lineRule="auto" w:line="300" w:before="0" w:after="0"/>
        <w:jc w:val="left"/>
        <w:rPr/>
      </w:pPr>
      <w:r>
        <w:rPr/>
        <w:t> </w:t>
      </w:r>
    </w:p>
    <w:tbl>
      <w:tblPr>
        <w:tblW w:w="4705" w:type="dxa"/>
        <w:jc w:val="left"/>
        <w:tblInd w:w="540" w:type="dxa"/>
        <w:tblLayout w:type="fixed"/>
        <w:tblCellMar>
          <w:top w:w="0" w:type="dxa"/>
          <w:left w:w="0" w:type="dxa"/>
          <w:bottom w:w="0" w:type="dxa"/>
          <w:right w:w="0" w:type="dxa"/>
        </w:tblCellMar>
      </w:tblPr>
      <w:tblGrid>
        <w:gridCol w:w="2885"/>
        <w:gridCol w:w="60"/>
        <w:gridCol w:w="293"/>
        <w:gridCol w:w="1387"/>
        <w:gridCol w:w="80"/>
      </w:tblGrid>
      <w:tr>
        <w:trPr/>
        <w:tc>
          <w:tcPr>
            <w:tcW w:w="2885" w:type="dxa"/>
            <w:tcBorders/>
            <w:vAlign w:val="center"/>
          </w:tcPr>
          <w:p>
            <w:pPr>
              <w:pStyle w:val="TableContents"/>
              <w:bidi w:val="0"/>
              <w:spacing w:lineRule="auto" w:line="300" w:before="0" w:after="0"/>
              <w:ind w:left="57" w:right="0" w:hanging="0"/>
              <w:jc w:val="center"/>
              <w:rPr/>
            </w:pPr>
            <w:r>
              <w:rPr/>
              <w:t> </w:t>
            </w:r>
          </w:p>
        </w:tc>
        <w:tc>
          <w:tcPr>
            <w:tcW w:w="60" w:type="dxa"/>
            <w:tcBorders/>
            <w:vAlign w:val="center"/>
          </w:tcPr>
          <w:p>
            <w:pPr>
              <w:pStyle w:val="TableContents"/>
              <w:bidi w:val="0"/>
              <w:spacing w:before="0" w:after="283"/>
              <w:jc w:val="center"/>
              <w:rPr/>
            </w:pPr>
            <w:r>
              <w:rPr/>
              <w:t> </w:t>
            </w:r>
          </w:p>
        </w:tc>
        <w:tc>
          <w:tcPr>
            <w:tcW w:w="1680"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40"/>
              <w:jc w:val="center"/>
              <w:rPr>
                <w:rFonts w:ascii="Times New Roman;Times;serif" w:hAnsi="Times New Roman;Times;serif"/>
                <w:b/>
                <w:sz w:val="20"/>
              </w:rPr>
            </w:pPr>
            <w:r>
              <w:rPr>
                <w:rFonts w:ascii="Times New Roman;Times;serif" w:hAnsi="Times New Roman;Times;serif"/>
                <w:b/>
                <w:sz w:val="20"/>
              </w:rPr>
              <w:t>As of</w:t>
            </w:r>
          </w:p>
          <w:p>
            <w:pPr>
              <w:pStyle w:val="TableContents"/>
              <w:bidi w:val="0"/>
              <w:spacing w:lineRule="auto" w:line="300" w:before="0" w:after="0"/>
              <w:ind w:left="0" w:right="0" w:firstLine="40"/>
              <w:jc w:val="center"/>
              <w:rPr>
                <w:rFonts w:ascii="Times New Roman;Times;serif" w:hAnsi="Times New Roman;Times;serif"/>
                <w:b/>
                <w:sz w:val="20"/>
              </w:rPr>
            </w:pPr>
            <w:r>
              <w:rPr>
                <w:rFonts w:ascii="Times New Roman;Times;serif" w:hAnsi="Times New Roman;Times;serif"/>
                <w:b/>
                <w:sz w:val="20"/>
              </w:rPr>
              <w:t>December 31, 2023</w:t>
            </w:r>
          </w:p>
        </w:tc>
        <w:tc>
          <w:tcPr>
            <w:tcW w:w="80" w:type="dxa"/>
            <w:tcBorders/>
            <w:vAlign w:val="center"/>
          </w:tcPr>
          <w:p>
            <w:pPr>
              <w:pStyle w:val="TableContents"/>
              <w:bidi w:val="0"/>
              <w:spacing w:before="0" w:after="283"/>
              <w:jc w:val="center"/>
              <w:rPr/>
            </w:pPr>
            <w:r>
              <w:rPr/>
              <w:t> </w:t>
            </w:r>
          </w:p>
        </w:tc>
      </w:tr>
      <w:tr>
        <w:trPr/>
        <w:tc>
          <w:tcPr>
            <w:tcW w:w="2885"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8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5,065</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2025</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2,111</w:t>
            </w:r>
          </w:p>
        </w:tc>
        <w:tc>
          <w:tcPr>
            <w:tcW w:w="8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1,734</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1,715</w:t>
            </w:r>
          </w:p>
        </w:tc>
        <w:tc>
          <w:tcPr>
            <w:tcW w:w="8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1,749</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vAlign w:val="center"/>
          </w:tcPr>
          <w:p>
            <w:pPr>
              <w:pStyle w:val="TableContents"/>
              <w:bidi w:val="0"/>
              <w:spacing w:before="0" w:after="283"/>
              <w:jc w:val="left"/>
              <w:rPr/>
            </w:pPr>
            <w:r>
              <w:rPr/>
              <w:t> </w:t>
            </w:r>
          </w:p>
        </w:tc>
        <w:tc>
          <w:tcPr>
            <w:tcW w:w="29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8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2,010</w:t>
            </w:r>
          </w:p>
        </w:tc>
        <w:tc>
          <w:tcPr>
            <w:tcW w:w="8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Total undiscounted lease payments</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14,384</w:t>
            </w:r>
          </w:p>
        </w:tc>
        <w:tc>
          <w:tcPr>
            <w:tcW w:w="8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60" w:type="dxa"/>
            <w:tcBorders/>
            <w:shd w:fill="CCEEFF" w:val="clear"/>
            <w:vAlign w:val="center"/>
          </w:tcPr>
          <w:p>
            <w:pPr>
              <w:pStyle w:val="TableContents"/>
              <w:bidi w:val="0"/>
              <w:spacing w:before="0" w:after="283"/>
              <w:jc w:val="left"/>
              <w:rPr/>
            </w:pPr>
            <w:r>
              <w:rPr/>
              <w:t> </w:t>
            </w:r>
          </w:p>
        </w:tc>
        <w:tc>
          <w:tcPr>
            <w:tcW w:w="2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(1,558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lineRule="auto" w:line="300" w:before="0" w:after="0"/>
              <w:ind w:left="17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60" w:type="dxa"/>
            <w:tcBorders/>
            <w:shd w:fill="CCEEFF" w:val="clear"/>
            <w:vAlign w:val="center"/>
          </w:tcPr>
          <w:p>
            <w:pPr>
              <w:pStyle w:val="TableContents"/>
              <w:bidi w:val="0"/>
              <w:spacing w:before="0" w:after="283"/>
              <w:jc w:val="left"/>
              <w:rPr/>
            </w:pPr>
            <w:r>
              <w:rPr/>
              <w:t> </w:t>
            </w:r>
          </w:p>
        </w:tc>
        <w:tc>
          <w:tcPr>
            <w:tcW w:w="293"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87"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12,826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NOTE 9: FAIR VALUE MEASUREMENTS</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following tables present the fair value of money market funds and marketable securities for the year ended December 31, 2023 and 2022:</w:t>
      </w:r>
    </w:p>
    <w:p>
      <w:pPr>
        <w:pStyle w:val="TextBody"/>
        <w:bidi w:val="0"/>
        <w:spacing w:lineRule="auto" w:line="300" w:before="0" w:after="0"/>
        <w:jc w:val="left"/>
        <w:rPr/>
      </w:pPr>
      <w:r>
        <w:rPr/>
        <w:t> </w:t>
      </w:r>
    </w:p>
    <w:tbl>
      <w:tblPr>
        <w:tblW w:w="7004" w:type="dxa"/>
        <w:jc w:val="left"/>
        <w:tblInd w:w="540" w:type="dxa"/>
        <w:tblLayout w:type="fixed"/>
        <w:tblCellMar>
          <w:top w:w="0" w:type="dxa"/>
          <w:left w:w="0" w:type="dxa"/>
          <w:bottom w:w="0" w:type="dxa"/>
          <w:right w:w="0" w:type="dxa"/>
        </w:tblCellMar>
      </w:tblPr>
      <w:tblGrid>
        <w:gridCol w:w="3275"/>
        <w:gridCol w:w="60"/>
        <w:gridCol w:w="125"/>
        <w:gridCol w:w="695"/>
        <w:gridCol w:w="60"/>
        <w:gridCol w:w="60"/>
        <w:gridCol w:w="125"/>
        <w:gridCol w:w="695"/>
        <w:gridCol w:w="80"/>
        <w:gridCol w:w="60"/>
        <w:gridCol w:w="172"/>
        <w:gridCol w:w="462"/>
        <w:gridCol w:w="75"/>
        <w:gridCol w:w="75"/>
        <w:gridCol w:w="158"/>
        <w:gridCol w:w="747"/>
        <w:gridCol w:w="80"/>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 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9"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 2022</w:t>
            </w:r>
          </w:p>
        </w:tc>
        <w:tc>
          <w:tcPr>
            <w:tcW w:w="8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1</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2</w:t>
            </w:r>
          </w:p>
        </w:tc>
        <w:tc>
          <w:tcPr>
            <w:tcW w:w="8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Financial Assets:</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4"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90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Cash equivalents:</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lineRule="auto" w:line="300" w:before="0" w:after="0"/>
              <w:ind w:left="599" w:right="0" w:hanging="0"/>
              <w:jc w:val="both"/>
              <w:rPr>
                <w:rFonts w:ascii="Times New Roman;Times;serif" w:hAnsi="Times New Roman;Times;serif"/>
                <w:sz w:val="20"/>
              </w:rPr>
            </w:pPr>
            <w:r>
              <w:rPr>
                <w:rFonts w:ascii="Times New Roman;Times;serif" w:hAnsi="Times New Roman;Times;serif"/>
                <w:sz w:val="20"/>
              </w:rPr>
              <w:t>Money market funds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133,211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6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lineRule="auto" w:line="300" w:before="0" w:after="0"/>
              <w:ind w:left="599" w:right="0" w:hanging="0"/>
              <w:jc w:val="both"/>
              <w:rPr>
                <w:rFonts w:ascii="Times New Roman;Times;serif" w:hAnsi="Times New Roman;Times;serif"/>
                <w:sz w:val="20"/>
              </w:rPr>
            </w:pPr>
            <w:r>
              <w:rPr>
                <w:rFonts w:ascii="Times New Roman;Times;serif" w:hAnsi="Times New Roman;Times;serif"/>
                <w:sz w:val="20"/>
              </w:rPr>
              <w:t>U.S. Treasuries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1,997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Foreign currency derivative contracts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6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Marketable securities: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lineRule="auto" w:line="300" w:before="0" w:after="0"/>
              <w:ind w:left="567" w:right="0" w:hanging="0"/>
              <w:jc w:val="left"/>
              <w:rPr>
                <w:rFonts w:ascii="Times New Roman;Times;serif" w:hAnsi="Times New Roman;Times;serif"/>
                <w:sz w:val="20"/>
              </w:rPr>
            </w:pPr>
            <w:r>
              <w:rPr>
                <w:rFonts w:ascii="Times New Roman;Times;serif" w:hAnsi="Times New Roman;Times;serif"/>
                <w:sz w:val="20"/>
              </w:rPr>
              <w:t>U.S. Treasuries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84,768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6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68,106</w:t>
            </w:r>
          </w:p>
        </w:tc>
        <w:tc>
          <w:tcPr>
            <w:tcW w:w="8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lineRule="auto" w:line="300" w:before="0" w:after="0"/>
              <w:ind w:left="567" w:right="0" w:hanging="0"/>
              <w:jc w:val="both"/>
              <w:rPr>
                <w:rFonts w:ascii="Times New Roman;Times;serif" w:hAnsi="Times New Roman;Times;serif"/>
                <w:sz w:val="20"/>
              </w:rPr>
            </w:pPr>
            <w:r>
              <w:rPr>
                <w:rFonts w:ascii="Times New Roman;Times;serif" w:hAnsi="Times New Roman;Times;serif"/>
                <w:sz w:val="20"/>
              </w:rPr>
              <w:t>U.S. Government Agencies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31,804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462"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8" w:type="dxa"/>
            <w:tcBorders>
              <w:bottom w:val="single" w:sz="12" w:space="0" w:color="000000"/>
            </w:tcBorders>
            <w:tcMar>
              <w:bottom w:w="28" w:type="dxa"/>
            </w:tcMar>
            <w:vAlign w:val="center"/>
          </w:tcPr>
          <w:p>
            <w:pPr>
              <w:pStyle w:val="TableContents"/>
              <w:bidi w:val="0"/>
              <w:spacing w:before="0" w:after="283"/>
              <w:jc w:val="left"/>
              <w:rPr/>
            </w:pPr>
            <w:r>
              <w:rPr/>
              <w:t> </w:t>
            </w:r>
          </w:p>
        </w:tc>
        <w:tc>
          <w:tcPr>
            <w:tcW w:w="74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17,415</w:t>
            </w:r>
          </w:p>
        </w:tc>
        <w:tc>
          <w:tcPr>
            <w:tcW w:w="8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Total assets measured at fair value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133,211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119,394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85,521</w:t>
            </w:r>
          </w:p>
        </w:tc>
        <w:tc>
          <w:tcPr>
            <w:tcW w:w="8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Financial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6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Foreign currency derivative contracts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(72</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462"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8" w:type="dxa"/>
            <w:tcBorders>
              <w:bottom w:val="single" w:sz="12" w:space="0" w:color="000000"/>
            </w:tcBorders>
            <w:tcMar>
              <w:bottom w:w="28" w:type="dxa"/>
            </w:tcMar>
            <w:vAlign w:val="center"/>
          </w:tcPr>
          <w:p>
            <w:pPr>
              <w:pStyle w:val="TableContents"/>
              <w:bidi w:val="0"/>
              <w:spacing w:before="0" w:after="283"/>
              <w:jc w:val="left"/>
              <w:rPr/>
            </w:pPr>
            <w:r>
              <w:rPr/>
              <w:t> </w:t>
            </w:r>
          </w:p>
        </w:tc>
        <w:tc>
          <w:tcPr>
            <w:tcW w:w="74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(1,577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shd w:fill="CCEEFF" w:val="clear"/>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Total liabilities measured at fair value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(1,577</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F-24</w:t>
      </w:r>
    </w:p>
    <w:p>
      <w:pPr>
        <w:pStyle w:val="HorizontalLine"/>
        <w:bidi w:val="0"/>
        <w:spacing w:before="200" w:after="200"/>
        <w:jc w:val="left"/>
        <w:rPr/>
      </w:pPr>
      <w:r>
        <w:rPr/>
      </w:r>
    </w:p>
    <w:p>
      <w:pPr>
        <w:pStyle w:val="TextBody"/>
        <w:bidi w:val="0"/>
        <w:spacing w:lineRule="auto" w:line="300" w:before="0" w:after="160"/>
        <w:ind w:left="6" w:right="0" w:hanging="0"/>
        <w:jc w:val="right"/>
        <w:rPr>
          <w:rFonts w:ascii="Times New Roman;Times;serif" w:hAnsi="Times New Roman;Times;serif"/>
          <w:b/>
          <w:sz w:val="20"/>
        </w:rPr>
      </w:pPr>
      <w:r>
        <w:rPr>
          <w:rFonts w:ascii="Times New Roman;Times;serif" w:hAnsi="Times New Roman;Times;serif"/>
          <w:b/>
          <w:sz w:val="20"/>
        </w:rPr>
        <w:t>WALKME LTD. AND ITS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HorizontalLine"/>
        <w:bidi w:val="0"/>
        <w:spacing w:lineRule="auto" w:line="300"/>
        <w:jc w:val="left"/>
        <w:rPr/>
      </w:pPr>
      <w:r>
        <w:rPr/>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b/>
          <w:sz w:val="20"/>
        </w:rPr>
        <w:t>NOTE 10:</w:t>
      </w:r>
      <w:r>
        <w:rPr>
          <w:rFonts w:ascii="Times New Roman;Times;serif" w:hAnsi="Times New Roman;Times;serif"/>
          <w:sz w:val="20"/>
        </w:rPr>
        <w:t> </w:t>
      </w:r>
      <w:r>
        <w:rPr>
          <w:rFonts w:ascii="Times New Roman;Times;serif" w:hAnsi="Times New Roman;Times;serif"/>
          <w:b/>
          <w:sz w:val="20"/>
        </w:rPr>
        <w:t>CONVERTIBLE PREFERRED SHARES,</w:t>
      </w:r>
      <w:r>
        <w:rPr>
          <w:rFonts w:ascii="Times New Roman;Times;serif" w:hAnsi="Times New Roman;Times;serif"/>
          <w:sz w:val="20"/>
        </w:rPr>
        <w:t> </w:t>
      </w:r>
      <w:r>
        <w:rPr>
          <w:rFonts w:ascii="Times New Roman;Times;serif" w:hAnsi="Times New Roman;Times;serif"/>
          <w:b/>
          <w:sz w:val="20"/>
        </w:rPr>
        <w:t>SHAREHOLDERS’ EQUITY AND EQUITY INCENTIVE PLAN</w:t>
      </w:r>
    </w:p>
    <w:p>
      <w:pPr>
        <w:pStyle w:val="TextBody"/>
        <w:bidi w:val="0"/>
        <w:spacing w:lineRule="auto" w:line="300" w:before="0" w:after="0"/>
        <w:jc w:val="left"/>
        <w:rPr/>
      </w:pPr>
      <w:r>
        <w:rPr/>
        <w:t> </w:t>
      </w:r>
    </w:p>
    <w:tbl>
      <w:tblPr>
        <w:tblW w:w="2545" w:type="dxa"/>
        <w:jc w:val="left"/>
        <w:tblInd w:w="0" w:type="dxa"/>
        <w:tblLayout w:type="fixed"/>
        <w:tblCellMar>
          <w:top w:w="0" w:type="dxa"/>
          <w:left w:w="0" w:type="dxa"/>
          <w:bottom w:w="0" w:type="dxa"/>
          <w:right w:w="0" w:type="dxa"/>
        </w:tblCellMar>
      </w:tblPr>
      <w:tblGrid>
        <w:gridCol w:w="170"/>
        <w:gridCol w:w="237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3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Composition of share capital</w:t>
            </w:r>
          </w:p>
        </w:tc>
      </w:tr>
      <w:tr>
        <w:trPr/>
        <w:tc>
          <w:tcPr>
            <w:tcW w:w="17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both"/>
              <w:rPr/>
            </w:pPr>
            <w:r>
              <w:rPr/>
              <w:t> </w:t>
            </w:r>
          </w:p>
        </w:tc>
      </w:tr>
    </w:tbl>
    <w:tbl>
      <w:tblPr>
        <w:tblW w:w="6010" w:type="dxa"/>
        <w:jc w:val="left"/>
        <w:tblInd w:w="540" w:type="dxa"/>
        <w:tblLayout w:type="fixed"/>
        <w:tblCellMar>
          <w:top w:w="0" w:type="dxa"/>
          <w:left w:w="0" w:type="dxa"/>
          <w:bottom w:w="0" w:type="dxa"/>
          <w:right w:w="0" w:type="dxa"/>
        </w:tblCellMar>
      </w:tblPr>
      <w:tblGrid>
        <w:gridCol w:w="1280"/>
        <w:gridCol w:w="60"/>
        <w:gridCol w:w="60"/>
        <w:gridCol w:w="1055"/>
        <w:gridCol w:w="60"/>
        <w:gridCol w:w="60"/>
        <w:gridCol w:w="60"/>
        <w:gridCol w:w="950"/>
        <w:gridCol w:w="60"/>
        <w:gridCol w:w="60"/>
        <w:gridCol w:w="60"/>
        <w:gridCol w:w="1055"/>
        <w:gridCol w:w="60"/>
        <w:gridCol w:w="60"/>
        <w:gridCol w:w="60"/>
        <w:gridCol w:w="950"/>
        <w:gridCol w:w="60"/>
      </w:tblGrid>
      <w:tr>
        <w:trPr/>
        <w:tc>
          <w:tcPr>
            <w:tcW w:w="1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45"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 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45"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 2022</w:t>
            </w:r>
          </w:p>
        </w:tc>
        <w:tc>
          <w:tcPr>
            <w:tcW w:w="60" w:type="dxa"/>
            <w:tcBorders/>
            <w:vAlign w:val="center"/>
          </w:tcPr>
          <w:p>
            <w:pPr>
              <w:pStyle w:val="TableContents"/>
              <w:bidi w:val="0"/>
              <w:spacing w:before="0" w:after="283"/>
              <w:jc w:val="center"/>
              <w:rPr/>
            </w:pPr>
            <w:r>
              <w:rPr/>
              <w:t> </w:t>
            </w:r>
          </w:p>
        </w:tc>
      </w:tr>
      <w:tr>
        <w:trPr/>
        <w:tc>
          <w:tcPr>
            <w:tcW w:w="1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Authorized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Issued and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outstanding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Authorized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Issued and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outstanding</w:t>
            </w:r>
          </w:p>
        </w:tc>
        <w:tc>
          <w:tcPr>
            <w:tcW w:w="60" w:type="dxa"/>
            <w:tcBorders/>
            <w:vAlign w:val="center"/>
          </w:tcPr>
          <w:p>
            <w:pPr>
              <w:pStyle w:val="TableContents"/>
              <w:bidi w:val="0"/>
              <w:spacing w:before="0" w:after="283"/>
              <w:jc w:val="center"/>
              <w:rPr/>
            </w:pPr>
            <w:r>
              <w:rPr/>
              <w:t> </w:t>
            </w:r>
          </w:p>
        </w:tc>
      </w:tr>
      <w:tr>
        <w:trPr/>
        <w:tc>
          <w:tcPr>
            <w:tcW w:w="1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610" w:type="dxa"/>
            <w:gridSpan w:val="14"/>
            <w:tcBorders>
              <w:bottom w:val="single" w:sz="12" w:space="0" w:color="000000"/>
            </w:tcBorders>
            <w:tcMar>
              <w:bottom w:w="28" w:type="dxa"/>
            </w:tcMar>
            <w:vAlign w:val="center"/>
          </w:tcPr>
          <w:p>
            <w:pPr>
              <w:pStyle w:val="TableContents"/>
              <w:bidi w:val="0"/>
              <w:spacing w:lineRule="auto" w:line="300" w:before="0" w:after="0"/>
              <w:ind w:left="0" w:right="0" w:firstLine="40"/>
              <w:jc w:val="center"/>
              <w:rPr>
                <w:rFonts w:ascii="Times New Roman;Times;serif" w:hAnsi="Times New Roman;Times;serif"/>
                <w:b/>
                <w:sz w:val="20"/>
              </w:rPr>
            </w:pPr>
            <w:r>
              <w:rPr>
                <w:rFonts w:ascii="Times New Roman;Times;serif" w:hAnsi="Times New Roman;Times;serif"/>
                <w:b/>
                <w:sz w:val="20"/>
              </w:rPr>
              <w:t>Number of shares no par value</w:t>
            </w:r>
          </w:p>
        </w:tc>
        <w:tc>
          <w:tcPr>
            <w:tcW w:w="60" w:type="dxa"/>
            <w:tcBorders/>
            <w:vAlign w:val="center"/>
          </w:tcPr>
          <w:p>
            <w:pPr>
              <w:pStyle w:val="TableContents"/>
              <w:bidi w:val="0"/>
              <w:spacing w:before="0" w:after="283"/>
              <w:jc w:val="center"/>
              <w:rPr/>
            </w:pPr>
            <w:r>
              <w:rPr/>
              <w:t> </w:t>
            </w:r>
          </w:p>
        </w:tc>
      </w:tr>
      <w:tr>
        <w:trPr/>
        <w:tc>
          <w:tcPr>
            <w:tcW w:w="1280" w:type="dxa"/>
            <w:tcBorders/>
            <w:shd w:fill="CCEEFF" w:val="clear"/>
            <w:vAlign w:val="center"/>
          </w:tcPr>
          <w:p>
            <w:pPr>
              <w:pStyle w:val="TableContents"/>
              <w:bidi w:val="0"/>
              <w:spacing w:lineRule="auto" w:line="300" w:before="0" w:after="0"/>
              <w:ind w:left="227" w:right="0" w:hanging="0"/>
              <w:jc w:val="left"/>
              <w:rPr>
                <w:rFonts w:ascii="Times New Roman;Times;serif" w:hAnsi="Times New Roman;Times;serif"/>
                <w:sz w:val="20"/>
              </w:rPr>
            </w:pPr>
            <w:r>
              <w:rPr>
                <w:rFonts w:ascii="Times New Roman;Times;serif" w:hAnsi="Times New Roman;Times;serif"/>
                <w:sz w:val="20"/>
              </w:rPr>
              <w:t>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90,864,662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86,780,082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540" w:right="0" w:hanging="0"/>
        <w:jc w:val="left"/>
        <w:rPr/>
      </w:pPr>
      <w:r>
        <w:rPr/>
        <w:t> </w:t>
      </w:r>
    </w:p>
    <w:tbl>
      <w:tblPr>
        <w:tblW w:w="1540" w:type="dxa"/>
        <w:jc w:val="left"/>
        <w:tblInd w:w="0" w:type="dxa"/>
        <w:tblLayout w:type="fixed"/>
        <w:tblCellMar>
          <w:top w:w="0" w:type="dxa"/>
          <w:left w:w="0" w:type="dxa"/>
          <w:bottom w:w="0" w:type="dxa"/>
          <w:right w:w="0" w:type="dxa"/>
        </w:tblCellMar>
      </w:tblPr>
      <w:tblGrid>
        <w:gridCol w:w="185"/>
        <w:gridCol w:w="135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3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Ordinary shares: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Ordinary shares shall confer on their shareholders all rights in the Company, including the right to vote on any matter at any general meeting, with each ordinary share having voting power of one vote for one ordinary share, the right to receive notice of any General Meeting, the right to receive dividends and to participate in any distribution of surplus assets and funds in the Company.</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On March 4, 2021, the Company's shareholders approved the change of share capital from NIS 0.01 par value to no par-value. All references to ordinary and convertible preferred shares amounts and per share amounts have been retroactively restated to reflect the change in par value as if it had taken place as of the beginning of the earliest period presented.</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In connection with the IPO, the Company’s amended and restated articles of association became effective, which authorized the issuance of 900,000,000 ordinary shares, no par value each.</w:t>
      </w:r>
    </w:p>
    <w:p>
      <w:pPr>
        <w:pStyle w:val="TextBody"/>
        <w:bidi w:val="0"/>
        <w:spacing w:lineRule="auto" w:line="300" w:before="0" w:after="0"/>
        <w:jc w:val="left"/>
        <w:rPr/>
      </w:pPr>
      <w:r>
        <w:rPr/>
        <w:t> </w:t>
      </w:r>
    </w:p>
    <w:tbl>
      <w:tblPr>
        <w:tblW w:w="2545" w:type="dxa"/>
        <w:jc w:val="left"/>
        <w:tblInd w:w="0" w:type="dxa"/>
        <w:tblLayout w:type="fixed"/>
        <w:tblCellMar>
          <w:top w:w="0" w:type="dxa"/>
          <w:left w:w="0" w:type="dxa"/>
          <w:bottom w:w="0" w:type="dxa"/>
          <w:right w:w="0" w:type="dxa"/>
        </w:tblCellMar>
      </w:tblPr>
      <w:tblGrid>
        <w:gridCol w:w="170"/>
        <w:gridCol w:w="237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3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Convertible preferred shares: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In November 2019, the Company entered into a share purchase agreement with certain investors for a total consideration of $45,000. In addition to the initial consideration, the share purchase agreement granted the Company the right to execute additional funding requests up to a total amount of $45,000 for a period of 24 months. As of December 31, 2020 the Company executed additional funding in the aggregate amount of $35,000 out of the available $45,000.</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On March 25, 2021 the Company executed an additional funding request in the total amount of $10,000, for which 455,942 preferred F shares of no par value each were issued.</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Upon completion of the IPO, all convertible preferred shares outstanding, totaling 59,180,522 shares, were automatically converted into an equivalent number of ordinary shares on a one-to-one basis and their carrying value of $310,490 was reclassified into shareholders’ equity.</w:t>
      </w:r>
    </w:p>
    <w:p>
      <w:pPr>
        <w:pStyle w:val="TextBody"/>
        <w:bidi w:val="0"/>
        <w:spacing w:lineRule="auto" w:line="300"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185"/>
        <w:gridCol w:w="153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5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Share option plan:</w:t>
            </w:r>
          </w:p>
        </w:tc>
      </w:tr>
    </w:tbl>
    <w:p>
      <w:pPr>
        <w:pStyle w:val="TextBody"/>
        <w:bidi w:val="0"/>
        <w:spacing w:lineRule="auto" w:line="300" w:before="0" w:after="0"/>
        <w:jc w:val="left"/>
        <w:rPr/>
      </w:pPr>
      <w:r>
        <w:rPr/>
        <w:t> </w:t>
      </w:r>
    </w:p>
    <w:p>
      <w:pPr>
        <w:pStyle w:val="TextBody"/>
        <w:bidi w:val="0"/>
        <w:spacing w:lineRule="auto" w:line="300" w:before="0" w:after="0"/>
        <w:ind w:left="426" w:right="0" w:hanging="0"/>
        <w:jc w:val="both"/>
        <w:rPr>
          <w:sz w:val="20"/>
        </w:rPr>
      </w:pPr>
      <w:r>
        <w:rPr>
          <w:rFonts w:ascii="Times New Roman;Times;serif" w:hAnsi="Times New Roman;Times;serif"/>
          <w:sz w:val="20"/>
        </w:rPr>
        <w:t>The Company’s equity incentive plans provide for granting share options, RSUs, PSUs and restricted share awards to employees, consultants, officers and directors. Each option granted under the Plan expires no later than 10 years from the date of grant. Options and RSUs vest usually over four years of commencement of employment or services. Any option or RSU which are forfeited or not exercised before expiration, become available for future grants. As of December 31, 2023 an aggregate of 8,992,791 ordinary shares of the Company are still available for future grants.</w:t>
      </w:r>
      <w:r>
        <w:rPr>
          <w:sz w:val="20"/>
        </w:rPr>
        <w:t xml:space="preserve"> </w:t>
      </w:r>
    </w:p>
    <w:p>
      <w:pPr>
        <w:pStyle w:val="TextBody"/>
        <w:bidi w:val="0"/>
        <w:spacing w:lineRule="auto" w:line="300" w:before="0" w:after="0"/>
        <w:ind w:left="426" w:right="0" w:hanging="0"/>
        <w:jc w:val="both"/>
        <w:rPr/>
      </w:pPr>
      <w:r>
        <w:rPr/>
        <w:t> </w:t>
      </w:r>
    </w:p>
    <w:p>
      <w:pPr>
        <w:pStyle w:val="TextBody"/>
        <w:bidi w:val="0"/>
        <w:spacing w:lineRule="auto" w:line="300" w:before="200" w:after="200"/>
        <w:ind w:left="426"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F-25</w:t>
      </w:r>
    </w:p>
    <w:p>
      <w:pPr>
        <w:pStyle w:val="HorizontalLine"/>
        <w:bidi w:val="0"/>
        <w:spacing w:lineRule="auto" w:line="300" w:before="200" w:after="200"/>
        <w:jc w:val="left"/>
        <w:rPr/>
      </w:pPr>
      <w:r>
        <w:rPr/>
      </w:r>
    </w:p>
    <w:p>
      <w:pPr>
        <w:pStyle w:val="TextBody"/>
        <w:bidi w:val="0"/>
        <w:spacing w:lineRule="auto" w:line="300" w:before="0" w:after="160"/>
        <w:ind w:left="6" w:right="0" w:hanging="0"/>
        <w:jc w:val="right"/>
        <w:rPr>
          <w:rFonts w:ascii="Times New Roman;Times;serif" w:hAnsi="Times New Roman;Times;serif"/>
          <w:b/>
          <w:sz w:val="20"/>
        </w:rPr>
      </w:pPr>
      <w:r>
        <w:rPr>
          <w:rFonts w:ascii="Times New Roman;Times;serif" w:hAnsi="Times New Roman;Times;serif"/>
          <w:b/>
          <w:sz w:val="20"/>
        </w:rPr>
        <w:t>WALKME LTD. AND ITS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HorizontalLine"/>
        <w:bidi w:val="0"/>
        <w:spacing w:lineRule="auto" w:line="300"/>
        <w:jc w:val="left"/>
        <w:rPr/>
      </w:pPr>
      <w:r>
        <w:rPr/>
      </w:r>
    </w:p>
    <w:p>
      <w:pPr>
        <w:pStyle w:val="TextBody"/>
        <w:bidi w:val="0"/>
        <w:spacing w:lineRule="auto" w:line="300"/>
        <w:jc w:val="left"/>
        <w:rPr>
          <w:sz w:val="20"/>
        </w:rPr>
      </w:pPr>
      <w:r>
        <w:rPr>
          <w:rFonts w:ascii="Times New Roman;Times;serif" w:hAnsi="Times New Roman;Times;serif"/>
          <w:b/>
          <w:sz w:val="20"/>
        </w:rPr>
        <w:t>NOTE 10:</w:t>
      </w:r>
      <w:r>
        <w:rPr>
          <w:rFonts w:ascii="Times New Roman;Times;serif" w:hAnsi="Times New Roman;Times;serif"/>
          <w:sz w:val="20"/>
        </w:rPr>
        <w:t> </w:t>
      </w:r>
      <w:r>
        <w:rPr>
          <w:rFonts w:ascii="Times New Roman;Times;serif" w:hAnsi="Times New Roman;Times;serif"/>
          <w:b/>
          <w:sz w:val="20"/>
        </w:rPr>
        <w:t>CONVERTIBLE PREFERRED SHARES,</w:t>
      </w:r>
      <w:r>
        <w:rPr>
          <w:rFonts w:ascii="Times New Roman;Times;serif" w:hAnsi="Times New Roman;Times;serif"/>
          <w:sz w:val="20"/>
        </w:rPr>
        <w:t> </w:t>
      </w:r>
      <w:r>
        <w:rPr>
          <w:rFonts w:ascii="Times New Roman;Times;serif" w:hAnsi="Times New Roman;Times;serif"/>
          <w:b/>
          <w:sz w:val="20"/>
        </w:rPr>
        <w:t>SHAREHOLDERS’ EQUITY AND EQUITY INCENTIVE PLAN (Cont.)</w:t>
      </w:r>
      <w:r>
        <w:rPr>
          <w:sz w:val="20"/>
        </w:rPr>
        <w:t xml:space="preserve"> </w:t>
      </w:r>
    </w:p>
    <w:p>
      <w:pPr>
        <w:pStyle w:val="TextBody"/>
        <w:bidi w:val="0"/>
        <w:spacing w:lineRule="auto" w:line="300" w:before="0" w:after="0"/>
        <w:ind w:left="0" w:right="0" w:hanging="0"/>
        <w:jc w:val="left"/>
        <w:rPr/>
      </w:pPr>
      <w:r>
        <w:rPr/>
        <w:t> </w:t>
      </w:r>
    </w:p>
    <w:p>
      <w:pPr>
        <w:pStyle w:val="TextBody"/>
        <w:bidi w:val="0"/>
        <w:spacing w:lineRule="auto" w:line="300" w:before="0" w:after="0"/>
        <w:ind w:left="426" w:right="0" w:hanging="0"/>
        <w:jc w:val="both"/>
        <w:rPr>
          <w:rFonts w:ascii="Times New Roman;Times;serif" w:hAnsi="Times New Roman;Times;serif"/>
          <w:b/>
          <w:i/>
          <w:sz w:val="20"/>
        </w:rPr>
      </w:pPr>
      <w:r>
        <w:rPr>
          <w:rFonts w:ascii="Times New Roman;Times;serif" w:hAnsi="Times New Roman;Times;serif"/>
          <w:b/>
          <w:i/>
          <w:sz w:val="20"/>
        </w:rPr>
        <w:t>Share options</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A summary of the Company's share option activity under the Plan is as follows:</w:t>
      </w:r>
    </w:p>
    <w:p>
      <w:pPr>
        <w:pStyle w:val="TextBody"/>
        <w:bidi w:val="0"/>
        <w:spacing w:lineRule="auto" w:line="300" w:before="0" w:after="0"/>
        <w:jc w:val="left"/>
        <w:rPr/>
      </w:pPr>
      <w:r>
        <w:rPr/>
        <w:t> </w:t>
      </w:r>
    </w:p>
    <w:tbl>
      <w:tblPr>
        <w:tblW w:w="8203" w:type="dxa"/>
        <w:jc w:val="left"/>
        <w:tblInd w:w="540" w:type="dxa"/>
        <w:tblLayout w:type="fixed"/>
        <w:tblCellMar>
          <w:top w:w="0" w:type="dxa"/>
          <w:left w:w="0" w:type="dxa"/>
          <w:bottom w:w="0" w:type="dxa"/>
          <w:right w:w="0" w:type="dxa"/>
        </w:tblCellMar>
      </w:tblPr>
      <w:tblGrid>
        <w:gridCol w:w="2765"/>
        <w:gridCol w:w="60"/>
        <w:gridCol w:w="60"/>
        <w:gridCol w:w="950"/>
        <w:gridCol w:w="80"/>
        <w:gridCol w:w="60"/>
        <w:gridCol w:w="170"/>
        <w:gridCol w:w="660"/>
        <w:gridCol w:w="60"/>
        <w:gridCol w:w="60"/>
        <w:gridCol w:w="196"/>
        <w:gridCol w:w="1248"/>
        <w:gridCol w:w="60"/>
        <w:gridCol w:w="60"/>
        <w:gridCol w:w="288"/>
        <w:gridCol w:w="1366"/>
        <w:gridCol w:w="60"/>
      </w:tblGrid>
      <w:tr>
        <w:trPr/>
        <w:tc>
          <w:tcPr>
            <w:tcW w:w="2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of</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options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Weighted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average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exercise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Weighted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average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remaining</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contractual term</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years)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5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Aggregate intrinsic</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value</w:t>
            </w:r>
          </w:p>
        </w:tc>
        <w:tc>
          <w:tcPr>
            <w:tcW w:w="60" w:type="dxa"/>
            <w:tcBorders/>
            <w:vAlign w:val="center"/>
          </w:tcPr>
          <w:p>
            <w:pPr>
              <w:pStyle w:val="TableContents"/>
              <w:bidi w:val="0"/>
              <w:spacing w:before="0" w:after="283"/>
              <w:jc w:val="center"/>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lineRule="auto" w:line="300" w:before="0" w:after="0"/>
              <w:ind w:left="227" w:right="0" w:hanging="0"/>
              <w:jc w:val="left"/>
              <w:rPr>
                <w:rFonts w:ascii="Times New Roman;Times;serif" w:hAnsi="Times New Roman;Times;serif"/>
                <w:sz w:val="20"/>
              </w:rPr>
            </w:pPr>
            <w:r>
              <w:rPr>
                <w:rFonts w:ascii="Times New Roman;Times;serif" w:hAnsi="Times New Roman;Times;serif"/>
                <w:sz w:val="20"/>
              </w:rPr>
              <w:t>Balance as of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12,412,197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49,209</w:t>
            </w:r>
          </w:p>
        </w:tc>
        <w:tc>
          <w:tcPr>
            <w:tcW w:w="60"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lineRule="auto" w:line="300" w:before="0" w:after="0"/>
              <w:ind w:left="227" w:right="0" w:firstLine="170"/>
              <w:jc w:val="left"/>
              <w:rPr>
                <w:rFonts w:ascii="Times New Roman;Times;serif" w:hAnsi="Times New Roman;Times;serif"/>
                <w:sz w:val="20"/>
              </w:rPr>
            </w:pPr>
            <w:r>
              <w:rPr>
                <w:rFonts w:ascii="Times New Roman;Times;serif" w:hAnsi="Times New Roman;Times;serif"/>
                <w:sz w:val="20"/>
              </w:rPr>
              <w:t>Granted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596,782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lineRule="auto" w:line="300" w:before="0" w:after="0"/>
              <w:ind w:left="227" w:right="0" w:firstLine="170"/>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(802,728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lineRule="auto" w:line="300" w:before="0" w:after="0"/>
              <w:ind w:left="227" w:right="0" w:firstLine="170"/>
              <w:jc w:val="left"/>
              <w:rPr>
                <w:rFonts w:ascii="Times New Roman;Times;serif" w:hAnsi="Times New Roman;Times;serif"/>
                <w:sz w:val="20"/>
              </w:rPr>
            </w:pPr>
            <w:r>
              <w:rPr>
                <w:rFonts w:ascii="Times New Roman;Times;serif" w:hAnsi="Times New Roman;Times;serif"/>
                <w:sz w:val="20"/>
              </w:rPr>
              <w:t>Exercised</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(982,717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7,662</w:t>
            </w:r>
          </w:p>
        </w:tc>
        <w:tc>
          <w:tcPr>
            <w:tcW w:w="6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lineRule="auto" w:line="300" w:before="0" w:after="0"/>
              <w:ind w:left="227" w:right="0" w:hanging="0"/>
              <w:jc w:val="left"/>
              <w:rPr>
                <w:rFonts w:ascii="Times New Roman;Times;serif" w:hAnsi="Times New Roman;Times;serif"/>
                <w:sz w:val="20"/>
              </w:rPr>
            </w:pPr>
            <w:r>
              <w:rPr>
                <w:rFonts w:ascii="Times New Roman;Times;serif" w:hAnsi="Times New Roman;Times;serif"/>
                <w:sz w:val="20"/>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11,223,534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37,473</w:t>
            </w:r>
          </w:p>
        </w:tc>
        <w:tc>
          <w:tcPr>
            <w:tcW w:w="60"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lineRule="auto" w:line="300" w:before="0" w:after="0"/>
              <w:ind w:left="227" w:right="0" w:hanging="0"/>
              <w:jc w:val="left"/>
              <w:rPr>
                <w:rFonts w:ascii="Times New Roman;Times;serif" w:hAnsi="Times New Roman;Times;serif"/>
                <w:sz w:val="20"/>
              </w:rPr>
            </w:pPr>
            <w:r>
              <w:rPr>
                <w:rFonts w:ascii="Times New Roman;Times;serif" w:hAnsi="Times New Roman;Times;serif"/>
                <w:sz w:val="20"/>
              </w:rPr>
              <w:t>Exercisable options at end of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8,140,268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35,597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540" w:right="0" w:hanging="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As of December 31, 2023, there was approximately $19,688 of total unrecognized compensation cost related to non-vested share-based compensation arrangements granted under the Company's share option plan. That cost is expected to be recognized over a weighted-average period of 2.17 years.</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weighted-average grant date fair value of options granted during the years ended December 31, 2023, 2022 and 2021 was $4.23, $7.32 and $13.31, respectively.</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intrinsic value of the options exercised during the years ended December 31, 2023, 2022 and 2021 was $7,662, $12,217 and $25,937, respectively.</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As of December 31, 2023 and 2022, there were no outstanding options granted to non-employees.</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Under the provisions of ASC 718, the fair value of each option was estimated on the date of grant using the Black &amp; Scholes option valuation model, using the assumptions noted in the following table:</w:t>
      </w:r>
    </w:p>
    <w:p>
      <w:pPr>
        <w:pStyle w:val="TextBody"/>
        <w:bidi w:val="0"/>
        <w:spacing w:lineRule="auto" w:line="300" w:before="0" w:after="0"/>
        <w:jc w:val="left"/>
        <w:rPr/>
      </w:pPr>
      <w:r>
        <w:rPr/>
        <w:t> </w:t>
      </w:r>
    </w:p>
    <w:tbl>
      <w:tblPr>
        <w:tblW w:w="6017" w:type="dxa"/>
        <w:jc w:val="left"/>
        <w:tblInd w:w="540" w:type="dxa"/>
        <w:tblLayout w:type="fixed"/>
        <w:tblCellMar>
          <w:top w:w="0" w:type="dxa"/>
          <w:left w:w="0" w:type="dxa"/>
          <w:bottom w:w="0" w:type="dxa"/>
          <w:right w:w="0" w:type="dxa"/>
        </w:tblCellMar>
      </w:tblPr>
      <w:tblGrid>
        <w:gridCol w:w="2087"/>
        <w:gridCol w:w="60"/>
        <w:gridCol w:w="60"/>
        <w:gridCol w:w="1130"/>
        <w:gridCol w:w="60"/>
        <w:gridCol w:w="60"/>
        <w:gridCol w:w="60"/>
        <w:gridCol w:w="1130"/>
        <w:gridCol w:w="60"/>
        <w:gridCol w:w="60"/>
        <w:gridCol w:w="60"/>
        <w:gridCol w:w="1130"/>
        <w:gridCol w:w="60"/>
      </w:tblGrid>
      <w:tr>
        <w:trPr/>
        <w:tc>
          <w:tcPr>
            <w:tcW w:w="20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r>
      <w:tr>
        <w:trPr/>
        <w:tc>
          <w:tcPr>
            <w:tcW w:w="20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60" w:type="dxa"/>
            <w:tcBorders/>
            <w:vAlign w:val="center"/>
          </w:tcPr>
          <w:p>
            <w:pPr>
              <w:pStyle w:val="TableContents"/>
              <w:bidi w:val="0"/>
              <w:spacing w:before="0" w:after="283"/>
              <w:jc w:val="left"/>
              <w:rPr/>
            </w:pPr>
            <w:r>
              <w:rPr/>
              <w:t> </w:t>
            </w:r>
          </w:p>
        </w:tc>
      </w:tr>
      <w:tr>
        <w:trPr/>
        <w:tc>
          <w:tcPr>
            <w:tcW w:w="20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087" w:type="dxa"/>
            <w:tcBorders/>
            <w:shd w:fill="CCEEFF" w:val="clear"/>
            <w:vAlign w:val="center"/>
          </w:tcPr>
          <w:p>
            <w:pPr>
              <w:pStyle w:val="TableContents"/>
              <w:bidi w:val="0"/>
              <w:spacing w:lineRule="auto" w:line="300" w:before="0" w:after="0"/>
              <w:ind w:left="57" w:right="57" w:hanging="0"/>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60%-76%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60%</w:t>
            </w:r>
          </w:p>
        </w:tc>
        <w:tc>
          <w:tcPr>
            <w:tcW w:w="60" w:type="dxa"/>
            <w:tcBorders/>
            <w:shd w:fill="CCEEFF" w:val="clear"/>
            <w:vAlign w:val="center"/>
          </w:tcPr>
          <w:p>
            <w:pPr>
              <w:pStyle w:val="TableContents"/>
              <w:bidi w:val="0"/>
              <w:spacing w:before="0" w:after="283"/>
              <w:jc w:val="left"/>
              <w:rPr/>
            </w:pPr>
            <w:r>
              <w:rPr/>
              <w:t> </w:t>
            </w:r>
          </w:p>
        </w:tc>
      </w:tr>
      <w:tr>
        <w:trPr/>
        <w:tc>
          <w:tcPr>
            <w:tcW w:w="2087" w:type="dxa"/>
            <w:tcBorders/>
            <w:vAlign w:val="center"/>
          </w:tcPr>
          <w:p>
            <w:pPr>
              <w:pStyle w:val="TableContents"/>
              <w:bidi w:val="0"/>
              <w:spacing w:lineRule="auto" w:line="300" w:before="0" w:after="0"/>
              <w:ind w:left="57" w:right="57" w:hanging="0"/>
              <w:jc w:val="left"/>
              <w:rPr>
                <w:rFonts w:ascii="Times New Roman;Times;serif" w:hAnsi="Times New Roman;Times;serif"/>
                <w:sz w:val="20"/>
              </w:rPr>
            </w:pPr>
            <w:r>
              <w:rPr>
                <w:rFonts w:ascii="Times New Roman;Times;serif" w:hAnsi="Times New Roman;Times;serif"/>
                <w:sz w:val="20"/>
              </w:rPr>
              <w:t>Expected dividend yield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r>
        <w:trPr/>
        <w:tc>
          <w:tcPr>
            <w:tcW w:w="2087" w:type="dxa"/>
            <w:tcBorders/>
            <w:shd w:fill="CCEEFF" w:val="clear"/>
            <w:vAlign w:val="center"/>
          </w:tcPr>
          <w:p>
            <w:pPr>
              <w:pStyle w:val="TableContents"/>
              <w:bidi w:val="0"/>
              <w:spacing w:lineRule="auto" w:line="300" w:before="0" w:after="0"/>
              <w:ind w:left="57" w:right="57" w:hanging="0"/>
              <w:jc w:val="left"/>
              <w:rPr>
                <w:rFonts w:ascii="Times New Roman;Times;serif" w:hAnsi="Times New Roman;Times;serif"/>
                <w:sz w:val="20"/>
              </w:rPr>
            </w:pPr>
            <w:r>
              <w:rPr>
                <w:rFonts w:ascii="Times New Roman;Times;serif" w:hAnsi="Times New Roman;Times;serif"/>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1.44-6.08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5.5-6.98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5-6.55</w:t>
            </w:r>
          </w:p>
        </w:tc>
        <w:tc>
          <w:tcPr>
            <w:tcW w:w="60" w:type="dxa"/>
            <w:tcBorders/>
            <w:shd w:fill="CCEEFF" w:val="clear"/>
            <w:vAlign w:val="center"/>
          </w:tcPr>
          <w:p>
            <w:pPr>
              <w:pStyle w:val="TableContents"/>
              <w:bidi w:val="0"/>
              <w:spacing w:before="0" w:after="283"/>
              <w:jc w:val="left"/>
              <w:rPr/>
            </w:pPr>
            <w:r>
              <w:rPr/>
              <w:t> </w:t>
            </w:r>
          </w:p>
        </w:tc>
      </w:tr>
      <w:tr>
        <w:trPr/>
        <w:tc>
          <w:tcPr>
            <w:tcW w:w="2087" w:type="dxa"/>
            <w:tcBorders/>
            <w:vAlign w:val="center"/>
          </w:tcPr>
          <w:p>
            <w:pPr>
              <w:pStyle w:val="TableContents"/>
              <w:bidi w:val="0"/>
              <w:spacing w:lineRule="auto" w:line="300" w:before="0" w:after="0"/>
              <w:ind w:left="57" w:right="57" w:hanging="0"/>
              <w:jc w:val="left"/>
              <w:rPr>
                <w:rFonts w:ascii="Times New Roman;Times;serif" w:hAnsi="Times New Roman;Times;serif"/>
                <w:sz w:val="20"/>
              </w:rPr>
            </w:pPr>
            <w:r>
              <w:rPr>
                <w:rFonts w:ascii="Times New Roman;Times;serif" w:hAnsi="Times New Roman;Times;serif"/>
                <w:sz w:val="20"/>
              </w:rPr>
              <w:t>Risk free 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3.46%-4.93%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1.98%-3.88%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0.49%-1.06%</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540" w:right="0" w:hanging="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Risk-free interest rates are based on the yield from U.S. Treasury zero-coupon bonds with a term equivalent to the expected term of the options. The expected volatility of the price of such shares is based on an analysis of reported data for a peer group of comparable publicly traded companies which were selected based upon industry similarities. The expected term of options granted represents the period of time that options granted are expected to be outstanding, and is determined based on the simplified method in accordance with ASC No. 718-10-S99-1 (SAB No. 110), as adequate historical experience is not available to provide a reasonable estimate. The dividend yield is based on the Company's historical and future expectation of dividends payouts. Historically, the Company has not paid cash dividends and has no foreseeable plans to pay cash dividends in the future.</w:t>
      </w:r>
    </w:p>
    <w:p>
      <w:pPr>
        <w:pStyle w:val="TextBody"/>
        <w:bidi w:val="0"/>
        <w:spacing w:lineRule="auto" w:line="300" w:before="0" w:after="0"/>
        <w:ind w:left="426" w:right="0" w:hanging="0"/>
        <w:jc w:val="both"/>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F-26</w:t>
      </w:r>
    </w:p>
    <w:p>
      <w:pPr>
        <w:pStyle w:val="HorizontalLine"/>
        <w:bidi w:val="0"/>
        <w:spacing w:lineRule="auto" w:line="300" w:before="200" w:after="200"/>
        <w:jc w:val="both"/>
        <w:rPr/>
      </w:pPr>
      <w:r>
        <w:rPr/>
      </w:r>
    </w:p>
    <w:p>
      <w:pPr>
        <w:pStyle w:val="TextBody"/>
        <w:bidi w:val="0"/>
        <w:spacing w:lineRule="auto" w:line="300" w:before="0" w:after="160"/>
        <w:ind w:left="6" w:right="0" w:hanging="0"/>
        <w:jc w:val="right"/>
        <w:rPr>
          <w:rFonts w:ascii="Times New Roman;Times;serif" w:hAnsi="Times New Roman;Times;serif"/>
          <w:b/>
          <w:sz w:val="20"/>
        </w:rPr>
      </w:pPr>
      <w:r>
        <w:rPr>
          <w:rFonts w:ascii="Times New Roman;Times;serif" w:hAnsi="Times New Roman;Times;serif"/>
          <w:b/>
          <w:sz w:val="20"/>
        </w:rPr>
        <w:t>WALKME LTD. AND ITS SUBSIDIARIES</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HorizontalLine"/>
        <w:bidi w:val="0"/>
        <w:spacing w:lineRule="auto" w:line="300" w:before="0" w:after="0"/>
        <w:jc w:val="both"/>
        <w:rPr/>
      </w:pPr>
      <w:r>
        <w:rPr/>
      </w:r>
    </w:p>
    <w:p>
      <w:pPr>
        <w:pStyle w:val="TextBody"/>
        <w:bidi w:val="0"/>
        <w:spacing w:lineRule="auto" w:line="300" w:before="0" w:after="0"/>
        <w:jc w:val="left"/>
        <w:rPr>
          <w:sz w:val="20"/>
        </w:rPr>
      </w:pPr>
      <w:r>
        <w:rPr>
          <w:rFonts w:ascii="Times New Roman;Times;serif" w:hAnsi="Times New Roman;Times;serif"/>
          <w:b/>
          <w:sz w:val="20"/>
        </w:rPr>
        <w:t>NOTE 10:</w:t>
      </w:r>
      <w:r>
        <w:rPr>
          <w:rFonts w:ascii="Times New Roman;Times;serif" w:hAnsi="Times New Roman;Times;serif"/>
          <w:sz w:val="20"/>
        </w:rPr>
        <w:t> </w:t>
      </w:r>
      <w:r>
        <w:rPr>
          <w:rFonts w:ascii="Times New Roman;Times;serif" w:hAnsi="Times New Roman;Times;serif"/>
          <w:b/>
          <w:sz w:val="20"/>
        </w:rPr>
        <w:t>CONVERTIBLE PREFERRED SHARES,</w:t>
      </w:r>
      <w:r>
        <w:rPr>
          <w:rFonts w:ascii="Times New Roman;Times;serif" w:hAnsi="Times New Roman;Times;serif"/>
          <w:sz w:val="20"/>
        </w:rPr>
        <w:t> </w:t>
      </w:r>
      <w:r>
        <w:rPr>
          <w:rFonts w:ascii="Times New Roman;Times;serif" w:hAnsi="Times New Roman;Times;serif"/>
          <w:b/>
          <w:sz w:val="20"/>
        </w:rPr>
        <w:t>SHAREHOLDERS’ EQUITY AND EQUITY INCENTIVE PLAN (Cont.)</w:t>
      </w:r>
      <w:r>
        <w:rPr>
          <w:sz w:val="20"/>
        </w:rPr>
        <w:t xml:space="preserve"> </w:t>
      </w:r>
    </w:p>
    <w:p>
      <w:pPr>
        <w:pStyle w:val="TextBody"/>
        <w:bidi w:val="0"/>
        <w:spacing w:lineRule="auto" w:line="300" w:before="0" w:after="0"/>
        <w:ind w:left="0" w:right="0" w:hanging="0"/>
        <w:jc w:val="both"/>
        <w:rPr/>
      </w:pPr>
      <w:r>
        <w:rPr/>
        <w:t> </w:t>
      </w:r>
    </w:p>
    <w:p>
      <w:pPr>
        <w:pStyle w:val="TextBody"/>
        <w:bidi w:val="0"/>
        <w:spacing w:lineRule="auto" w:line="300" w:before="0" w:after="0"/>
        <w:ind w:left="426" w:right="0" w:hanging="0"/>
        <w:jc w:val="both"/>
        <w:rPr>
          <w:rFonts w:ascii="Times New Roman;Times;serif" w:hAnsi="Times New Roman;Times;serif"/>
          <w:b/>
          <w:i/>
          <w:sz w:val="20"/>
        </w:rPr>
      </w:pPr>
      <w:r>
        <w:rPr>
          <w:rFonts w:ascii="Times New Roman;Times;serif" w:hAnsi="Times New Roman;Times;serif"/>
          <w:b/>
          <w:i/>
          <w:sz w:val="20"/>
        </w:rPr>
        <w:t>Restricted and performance Share Units</w:t>
      </w:r>
    </w:p>
    <w:p>
      <w:pPr>
        <w:pStyle w:val="TextBody"/>
        <w:bidi w:val="0"/>
        <w:spacing w:lineRule="auto" w:line="300" w:before="0" w:after="0"/>
        <w:jc w:val="left"/>
        <w:rPr/>
      </w:pPr>
      <w:r>
        <w:rPr/>
        <w:t> </w:t>
      </w:r>
    </w:p>
    <w:tbl>
      <w:tblPr>
        <w:tblW w:w="4909" w:type="dxa"/>
        <w:jc w:val="left"/>
        <w:tblInd w:w="540" w:type="dxa"/>
        <w:tblLayout w:type="fixed"/>
        <w:tblCellMar>
          <w:top w:w="0" w:type="dxa"/>
          <w:left w:w="0" w:type="dxa"/>
          <w:bottom w:w="0" w:type="dxa"/>
          <w:right w:w="0" w:type="dxa"/>
        </w:tblCellMar>
      </w:tblPr>
      <w:tblGrid>
        <w:gridCol w:w="2720"/>
        <w:gridCol w:w="60"/>
        <w:gridCol w:w="60"/>
        <w:gridCol w:w="905"/>
        <w:gridCol w:w="80"/>
        <w:gridCol w:w="60"/>
        <w:gridCol w:w="197"/>
        <w:gridCol w:w="767"/>
        <w:gridCol w:w="60"/>
      </w:tblGrid>
      <w:tr>
        <w:trPr/>
        <w:tc>
          <w:tcPr>
            <w:tcW w:w="27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of</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RSUs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Weighted-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Average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Grant Date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Fair Value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Per Share</w:t>
            </w:r>
          </w:p>
        </w:tc>
        <w:tc>
          <w:tcPr>
            <w:tcW w:w="60" w:type="dxa"/>
            <w:tcBorders/>
            <w:vAlign w:val="center"/>
          </w:tcPr>
          <w:p>
            <w:pPr>
              <w:pStyle w:val="TableContents"/>
              <w:bidi w:val="0"/>
              <w:spacing w:before="0" w:after="283"/>
              <w:jc w:val="center"/>
              <w:rPr/>
            </w:pPr>
            <w:r>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lineRule="auto" w:line="300" w:before="0" w:after="0"/>
              <w:ind w:left="227" w:right="0" w:hanging="0"/>
              <w:jc w:val="left"/>
              <w:rPr>
                <w:rFonts w:ascii="Times New Roman;Times;serif" w:hAnsi="Times New Roman;Times;serif"/>
                <w:sz w:val="20"/>
              </w:rPr>
            </w:pPr>
            <w:r>
              <w:rPr>
                <w:rFonts w:ascii="Times New Roman;Times;serif" w:hAnsi="Times New Roman;Times;serif"/>
                <w:sz w:val="20"/>
              </w:rPr>
              <w:t>Balance as of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6,559,826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16.23</w:t>
            </w:r>
          </w:p>
        </w:tc>
        <w:tc>
          <w:tcPr>
            <w:tcW w:w="60" w:type="dxa"/>
            <w:tcBorders/>
            <w:shd w:fill="CCEEFF" w:val="clear"/>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lineRule="auto" w:line="300" w:before="0" w:after="0"/>
              <w:ind w:left="227" w:right="0" w:firstLine="170"/>
              <w:jc w:val="left"/>
              <w:rPr>
                <w:rFonts w:ascii="Times New Roman;Times;serif" w:hAnsi="Times New Roman;Times;serif"/>
                <w:sz w:val="20"/>
              </w:rPr>
            </w:pPr>
            <w:r>
              <w:rPr>
                <w:rFonts w:ascii="Times New Roman;Times;serif" w:hAnsi="Times New Roman;Times;serif"/>
                <w:sz w:val="20"/>
              </w:rPr>
              <w:t>Granted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4,814,253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9.44</w:t>
            </w:r>
          </w:p>
        </w:tc>
        <w:tc>
          <w:tcPr>
            <w:tcW w:w="60" w:type="dxa"/>
            <w:tcBorders/>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lineRule="auto" w:line="300" w:before="0" w:after="0"/>
              <w:ind w:left="227" w:right="0" w:firstLine="170"/>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(2,021,312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15.91</w:t>
            </w:r>
          </w:p>
        </w:tc>
        <w:tc>
          <w:tcPr>
            <w:tcW w:w="60" w:type="dxa"/>
            <w:tcBorders/>
            <w:shd w:fill="CCEEFF" w:val="clear"/>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lineRule="auto" w:line="300" w:before="0" w:after="0"/>
              <w:ind w:left="227" w:right="0" w:firstLine="170"/>
              <w:jc w:val="left"/>
              <w:rPr>
                <w:rFonts w:ascii="Times New Roman;Times;serif" w:hAnsi="Times New Roman;Times;serif"/>
                <w:sz w:val="20"/>
              </w:rPr>
            </w:pPr>
            <w:r>
              <w:rPr>
                <w:rFonts w:ascii="Times New Roman;Times;serif" w:hAnsi="Times New Roman;Times;serif"/>
                <w:sz w:val="20"/>
              </w:rPr>
              <w:t>Released</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(2,510,169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15.22</w:t>
            </w:r>
          </w:p>
        </w:tc>
        <w:tc>
          <w:tcPr>
            <w:tcW w:w="60" w:type="dxa"/>
            <w:tcBorders/>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lineRule="auto" w:line="300" w:before="0" w:after="0"/>
              <w:ind w:left="227" w:right="0" w:hanging="0"/>
              <w:jc w:val="left"/>
              <w:rPr>
                <w:rFonts w:ascii="Times New Roman;Times;serif" w:hAnsi="Times New Roman;Times;serif"/>
                <w:sz w:val="20"/>
              </w:rPr>
            </w:pPr>
            <w:r>
              <w:rPr>
                <w:rFonts w:ascii="Times New Roman;Times;serif" w:hAnsi="Times New Roman;Times;serif"/>
                <w:sz w:val="20"/>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6,842,598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11.89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540" w:right="0" w:hanging="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total grant-date fair value of released RSUs and PSUs during the years ended December 31, 2023, 2022 and 2021 was $38,309, $19,004 and $49, respectively.</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As of December 31, 2023, there was approximately $70,706 of unrecognized share-based compensation expense related to unvested RSUs, which is being recognized over a weighted-average period of 2.47 years based on vesting under the award service conditions.</w:t>
      </w:r>
    </w:p>
    <w:p>
      <w:pPr>
        <w:pStyle w:val="TextBody"/>
        <w:bidi w:val="0"/>
        <w:spacing w:lineRule="auto" w:line="300"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170"/>
        <w:gridCol w:w="252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25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Employee Share Purchase Plan</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In June 2021, the Company adopted the ESPP. Generally, all of the Company’s employees are eligible to participate if they are employed by the Company. The Company’s ESPP permits participants to purchase the Company’s ordinary shares through contributions in the form of payroll deductions or otherwise to the extent permitted by the Company, of up to 15% of their eligible compensation (as defined in the ESPP). Amounts contributed and accumulated by the participant will be used to purchase the Company’s ordinary shares at the end of each offering period. The purchase price of the shares will be 85% of the lower of the fair market value of the Company’s ordinary shares on the first trading day of the offering period or on the exercise date. As of December 31, 2023 and 2022, a total of 2,627,628 and 2,161,770 ordinary shares of the Company, respectively, are reserved for issuance under the ESPP.</w:t>
      </w:r>
    </w:p>
    <w:p>
      <w:pPr>
        <w:pStyle w:val="TextBody"/>
        <w:bidi w:val="0"/>
        <w:spacing w:lineRule="auto" w:line="30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Company estimated the fair value of ESPP purchase rights using a Monte-Carlo option pricing model with the following assumptions:</w:t>
      </w:r>
    </w:p>
    <w:p>
      <w:pPr>
        <w:pStyle w:val="TextBody"/>
        <w:bidi w:val="0"/>
        <w:spacing w:lineRule="auto" w:line="300" w:before="0" w:after="0"/>
        <w:ind w:left="426" w:right="0" w:hanging="0"/>
        <w:jc w:val="left"/>
        <w:rPr/>
      </w:pPr>
      <w:r>
        <w:rPr/>
        <w:t> </w:t>
      </w:r>
    </w:p>
    <w:tbl>
      <w:tblPr>
        <w:tblW w:w="5252" w:type="dxa"/>
        <w:jc w:val="left"/>
        <w:tblInd w:w="540" w:type="dxa"/>
        <w:tblLayout w:type="fixed"/>
        <w:tblCellMar>
          <w:top w:w="0" w:type="dxa"/>
          <w:left w:w="0" w:type="dxa"/>
          <w:bottom w:w="0" w:type="dxa"/>
          <w:right w:w="0" w:type="dxa"/>
        </w:tblCellMar>
      </w:tblPr>
      <w:tblGrid>
        <w:gridCol w:w="2087"/>
        <w:gridCol w:w="60"/>
        <w:gridCol w:w="1130"/>
        <w:gridCol w:w="60"/>
        <w:gridCol w:w="60"/>
        <w:gridCol w:w="1130"/>
        <w:gridCol w:w="60"/>
        <w:gridCol w:w="60"/>
        <w:gridCol w:w="545"/>
        <w:gridCol w:w="60"/>
      </w:tblGrid>
      <w:tr>
        <w:trPr/>
        <w:tc>
          <w:tcPr>
            <w:tcW w:w="20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5" w:type="dxa"/>
            <w:gridSpan w:val="7"/>
            <w:tcBorders>
              <w:bottom w:val="single" w:sz="12" w:space="0" w:color="000000"/>
            </w:tcBorders>
            <w:tcMar>
              <w:bottom w:w="28" w:type="dxa"/>
            </w:tcMar>
            <w:vAlign w:val="center"/>
          </w:tcPr>
          <w:p>
            <w:pPr>
              <w:pStyle w:val="TableContents"/>
              <w:bidi w:val="0"/>
              <w:spacing w:lineRule="auto" w:line="300" w:before="0" w:after="0"/>
              <w:ind w:left="0" w:right="0" w:firstLine="40"/>
              <w:jc w:val="center"/>
              <w:rPr>
                <w:rFonts w:ascii="Times New Roman;Times;serif" w:hAnsi="Times New Roman;Times;serif"/>
                <w:b/>
                <w:sz w:val="20"/>
              </w:rPr>
            </w:pPr>
            <w:r>
              <w:rPr>
                <w:rFonts w:ascii="Times New Roman;Times;serif" w:hAnsi="Times New Roman;Times;serif"/>
                <w:b/>
                <w:sz w:val="20"/>
              </w:rPr>
              <w:t>Year ended December 31,</w:t>
            </w:r>
          </w:p>
        </w:tc>
        <w:tc>
          <w:tcPr>
            <w:tcW w:w="60" w:type="dxa"/>
            <w:tcBorders/>
            <w:vAlign w:val="center"/>
          </w:tcPr>
          <w:p>
            <w:pPr>
              <w:pStyle w:val="TableContents"/>
              <w:bidi w:val="0"/>
              <w:spacing w:before="0" w:after="283"/>
              <w:jc w:val="left"/>
              <w:rPr/>
            </w:pPr>
            <w:r>
              <w:rPr/>
              <w:t> </w:t>
            </w:r>
          </w:p>
        </w:tc>
      </w:tr>
      <w:tr>
        <w:trPr/>
        <w:tc>
          <w:tcPr>
            <w:tcW w:w="20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lineRule="auto" w:line="300" w:before="0" w:after="0"/>
              <w:ind w:left="0" w:right="0" w:firstLine="4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60" w:type="dxa"/>
            <w:tcBorders/>
            <w:vAlign w:val="center"/>
          </w:tcPr>
          <w:p>
            <w:pPr>
              <w:pStyle w:val="TableContents"/>
              <w:bidi w:val="0"/>
              <w:spacing w:before="0" w:after="283"/>
              <w:jc w:val="left"/>
              <w:rPr/>
            </w:pPr>
            <w:r>
              <w:rPr/>
              <w:t> </w:t>
            </w:r>
          </w:p>
        </w:tc>
      </w:tr>
      <w:tr>
        <w:trPr/>
        <w:tc>
          <w:tcPr>
            <w:tcW w:w="20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87" w:type="dxa"/>
            <w:tcBorders/>
            <w:shd w:fill="CCEEFF" w:val="clear"/>
            <w:vAlign w:val="center"/>
          </w:tcPr>
          <w:p>
            <w:pPr>
              <w:pStyle w:val="TableContents"/>
              <w:bidi w:val="0"/>
              <w:spacing w:lineRule="auto" w:line="300" w:before="0" w:after="0"/>
              <w:ind w:left="57" w:right="57" w:hanging="0"/>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49%-63.8%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77%-91.9%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vAlign w:val="center"/>
          </w:tcPr>
          <w:p>
            <w:pPr>
              <w:pStyle w:val="TableContents"/>
              <w:bidi w:val="0"/>
              <w:spacing w:before="0" w:after="283"/>
              <w:jc w:val="center"/>
              <w:rPr/>
            </w:pPr>
            <w:r>
              <w:rPr/>
              <w:t> </w:t>
            </w:r>
          </w:p>
        </w:tc>
      </w:tr>
      <w:tr>
        <w:trPr/>
        <w:tc>
          <w:tcPr>
            <w:tcW w:w="2087" w:type="dxa"/>
            <w:tcBorders/>
            <w:vAlign w:val="center"/>
          </w:tcPr>
          <w:p>
            <w:pPr>
              <w:pStyle w:val="TableContents"/>
              <w:bidi w:val="0"/>
              <w:spacing w:lineRule="auto" w:line="300" w:before="0" w:after="0"/>
              <w:ind w:left="57" w:right="57" w:hanging="0"/>
              <w:jc w:val="left"/>
              <w:rPr>
                <w:rFonts w:ascii="Times New Roman;Times;serif" w:hAnsi="Times New Roman;Times;serif"/>
                <w:sz w:val="20"/>
              </w:rPr>
            </w:pPr>
            <w:r>
              <w:rPr>
                <w:rFonts w:ascii="Times New Roman;Times;serif" w:hAnsi="Times New Roman;Times;serif"/>
                <w:sz w:val="20"/>
              </w:rPr>
              <w:t>Expected dividend yield</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r>
        <w:trPr/>
        <w:tc>
          <w:tcPr>
            <w:tcW w:w="2087" w:type="dxa"/>
            <w:tcBorders/>
            <w:shd w:fill="CCEEFF" w:val="clear"/>
            <w:vAlign w:val="center"/>
          </w:tcPr>
          <w:p>
            <w:pPr>
              <w:pStyle w:val="TableContents"/>
              <w:bidi w:val="0"/>
              <w:spacing w:lineRule="auto" w:line="300" w:before="0" w:after="0"/>
              <w:ind w:left="57" w:right="57" w:hanging="0"/>
              <w:jc w:val="left"/>
              <w:rPr>
                <w:rFonts w:ascii="Times New Roman;Times;serif" w:hAnsi="Times New Roman;Times;serif"/>
                <w:sz w:val="20"/>
              </w:rPr>
            </w:pPr>
            <w:r>
              <w:rPr>
                <w:rFonts w:ascii="Times New Roman;Times;serif" w:hAnsi="Times New Roman;Times;serif"/>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0.57 </w:t>
            </w:r>
          </w:p>
        </w:tc>
        <w:tc>
          <w:tcPr>
            <w:tcW w:w="60" w:type="dxa"/>
            <w:tcBorders/>
            <w:shd w:fill="CCEEFF" w:val="clear"/>
            <w:vAlign w:val="center"/>
          </w:tcPr>
          <w:p>
            <w:pPr>
              <w:pStyle w:val="TableContents"/>
              <w:bidi w:val="0"/>
              <w:spacing w:before="0" w:after="283"/>
              <w:jc w:val="left"/>
              <w:rPr/>
            </w:pPr>
            <w:r>
              <w:rPr/>
              <w:t> </w:t>
            </w:r>
          </w:p>
        </w:tc>
      </w:tr>
      <w:tr>
        <w:trPr/>
        <w:tc>
          <w:tcPr>
            <w:tcW w:w="2087" w:type="dxa"/>
            <w:tcBorders/>
            <w:vAlign w:val="center"/>
          </w:tcPr>
          <w:p>
            <w:pPr>
              <w:pStyle w:val="TableContents"/>
              <w:bidi w:val="0"/>
              <w:spacing w:lineRule="auto" w:line="300" w:before="0" w:after="0"/>
              <w:ind w:left="57" w:right="57" w:hanging="0"/>
              <w:jc w:val="left"/>
              <w:rPr>
                <w:rFonts w:ascii="Times New Roman;Times;serif" w:hAnsi="Times New Roman;Times;serif"/>
                <w:sz w:val="20"/>
              </w:rPr>
            </w:pPr>
            <w:r>
              <w:rPr>
                <w:rFonts w:ascii="Times New Roman;Times;serif" w:hAnsi="Times New Roman;Times;serif"/>
                <w:sz w:val="20"/>
              </w:rPr>
              <w:t>Risk free interest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4.92%-5.47%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0.46%-2.85%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0.06%</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540" w:right="0" w:hanging="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As of December 31, 2023, there was $232 of unrecognized share-based compensation expense related to the ESPP that is expected to be recognized over an average vesting period of 0.2 years.</w:t>
      </w:r>
    </w:p>
    <w:p>
      <w:pPr>
        <w:pStyle w:val="TextBody"/>
        <w:bidi w:val="0"/>
        <w:spacing w:lineRule="auto" w:line="300" w:before="0" w:after="0"/>
        <w:jc w:val="left"/>
        <w:rPr/>
      </w:pPr>
      <w:r>
        <w:rPr/>
        <w:t> </w:t>
      </w:r>
    </w:p>
    <w:tbl>
      <w:tblPr>
        <w:tblW w:w="5485" w:type="dxa"/>
        <w:jc w:val="left"/>
        <w:tblInd w:w="0" w:type="dxa"/>
        <w:tblLayout w:type="fixed"/>
        <w:tblCellMar>
          <w:top w:w="0" w:type="dxa"/>
          <w:left w:w="0" w:type="dxa"/>
          <w:bottom w:w="0" w:type="dxa"/>
          <w:right w:w="0" w:type="dxa"/>
        </w:tblCellMar>
      </w:tblPr>
      <w:tblGrid>
        <w:gridCol w:w="140"/>
        <w:gridCol w:w="534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53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Share-based compensation expense by award type was as follows:</w:t>
            </w:r>
          </w:p>
        </w:tc>
      </w:tr>
    </w:tbl>
    <w:p>
      <w:pPr>
        <w:pStyle w:val="TextBody"/>
        <w:bidi w:val="0"/>
        <w:spacing w:lineRule="auto" w:line="300" w:before="0" w:after="0"/>
        <w:jc w:val="left"/>
        <w:rPr/>
      </w:pPr>
      <w:r>
        <w:rPr/>
        <w:t> </w:t>
      </w:r>
    </w:p>
    <w:tbl>
      <w:tblPr>
        <w:tblW w:w="3170" w:type="dxa"/>
        <w:jc w:val="left"/>
        <w:tblInd w:w="540" w:type="dxa"/>
        <w:tblLayout w:type="fixed"/>
        <w:tblCellMar>
          <w:top w:w="0" w:type="dxa"/>
          <w:left w:w="0" w:type="dxa"/>
          <w:bottom w:w="0" w:type="dxa"/>
          <w:right w:w="0" w:type="dxa"/>
        </w:tblCellMar>
      </w:tblPr>
      <w:tblGrid>
        <w:gridCol w:w="665"/>
        <w:gridCol w:w="60"/>
        <w:gridCol w:w="125"/>
        <w:gridCol w:w="590"/>
        <w:gridCol w:w="60"/>
        <w:gridCol w:w="60"/>
        <w:gridCol w:w="125"/>
        <w:gridCol w:w="590"/>
        <w:gridCol w:w="60"/>
        <w:gridCol w:w="60"/>
        <w:gridCol w:w="125"/>
        <w:gridCol w:w="590"/>
        <w:gridCol w:w="60"/>
      </w:tblGrid>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6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60" w:type="dxa"/>
            <w:tcBorders/>
            <w:vAlign w:val="center"/>
          </w:tcPr>
          <w:p>
            <w:pPr>
              <w:pStyle w:val="TableContents"/>
              <w:bidi w:val="0"/>
              <w:spacing w:before="0" w:after="283"/>
              <w:jc w:val="left"/>
              <w:rPr/>
            </w:pPr>
            <w:r>
              <w:rPr/>
              <w:t> </w:t>
            </w:r>
          </w:p>
        </w:tc>
      </w:tr>
      <w:tr>
        <w:trPr/>
        <w:tc>
          <w:tcPr>
            <w:tcW w:w="66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21,359</w:t>
            </w:r>
          </w:p>
        </w:tc>
        <w:tc>
          <w:tcPr>
            <w:tcW w:w="60" w:type="dxa"/>
            <w:tcBorders/>
            <w:shd w:fill="CCEEFF" w:val="clear"/>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RSUs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35,262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27,001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4,842</w:t>
            </w:r>
          </w:p>
        </w:tc>
        <w:tc>
          <w:tcPr>
            <w:tcW w:w="60" w:type="dxa"/>
            <w:tcBorders/>
            <w:vAlign w:val="center"/>
          </w:tcPr>
          <w:p>
            <w:pPr>
              <w:pStyle w:val="TableContents"/>
              <w:bidi w:val="0"/>
              <w:spacing w:before="0" w:after="283"/>
              <w:jc w:val="left"/>
              <w:rPr/>
            </w:pPr>
            <w:r>
              <w:rPr/>
              <w:t> </w:t>
            </w:r>
          </w:p>
        </w:tc>
      </w:tr>
      <w:tr>
        <w:trPr/>
        <w:tc>
          <w:tcPr>
            <w:tcW w:w="66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ESPP</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1,131</w:t>
            </w:r>
          </w:p>
        </w:tc>
        <w:tc>
          <w:tcPr>
            <w:tcW w:w="60" w:type="dxa"/>
            <w:tcBorders/>
            <w:shd w:fill="CCEEFF" w:val="clear"/>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55,457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50,104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27,332</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F-27</w:t>
      </w:r>
    </w:p>
    <w:p>
      <w:pPr>
        <w:pStyle w:val="HorizontalLine"/>
        <w:bidi w:val="0"/>
        <w:spacing w:lineRule="auto" w:line="300" w:before="200" w:after="200"/>
        <w:jc w:val="left"/>
        <w:rPr/>
      </w:pPr>
      <w:r>
        <w:rPr/>
      </w:r>
    </w:p>
    <w:p>
      <w:pPr>
        <w:pStyle w:val="TextBody"/>
        <w:bidi w:val="0"/>
        <w:spacing w:lineRule="auto" w:line="300" w:before="0" w:after="160"/>
        <w:ind w:left="6" w:right="0" w:hanging="0"/>
        <w:jc w:val="right"/>
        <w:rPr>
          <w:rFonts w:ascii="Times New Roman;Times;serif" w:hAnsi="Times New Roman;Times;serif"/>
          <w:b/>
          <w:sz w:val="20"/>
        </w:rPr>
      </w:pPr>
      <w:r>
        <w:rPr>
          <w:rFonts w:ascii="Times New Roman;Times;serif" w:hAnsi="Times New Roman;Times;serif"/>
          <w:b/>
          <w:sz w:val="20"/>
        </w:rPr>
        <w:t>WALKME LTD. AND ITS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HorizontalLine"/>
        <w:bidi w:val="0"/>
        <w:spacing w:lineRule="auto" w:line="300"/>
        <w:jc w:val="left"/>
        <w:rPr/>
      </w:pPr>
      <w:r>
        <w:rPr/>
      </w:r>
    </w:p>
    <w:p>
      <w:pPr>
        <w:pStyle w:val="TextBody"/>
        <w:bidi w:val="0"/>
        <w:spacing w:lineRule="auto" w:line="300"/>
        <w:jc w:val="left"/>
        <w:rPr>
          <w:sz w:val="20"/>
        </w:rPr>
      </w:pPr>
      <w:r>
        <w:rPr>
          <w:rFonts w:ascii="Times New Roman;Times;serif" w:hAnsi="Times New Roman;Times;serif"/>
          <w:b/>
          <w:sz w:val="20"/>
        </w:rPr>
        <w:t>NOTE 10:</w:t>
      </w:r>
      <w:r>
        <w:rPr>
          <w:rFonts w:ascii="Times New Roman;Times;serif" w:hAnsi="Times New Roman;Times;serif"/>
          <w:sz w:val="20"/>
        </w:rPr>
        <w:t> </w:t>
      </w:r>
      <w:r>
        <w:rPr>
          <w:rFonts w:ascii="Times New Roman;Times;serif" w:hAnsi="Times New Roman;Times;serif"/>
          <w:b/>
          <w:sz w:val="20"/>
        </w:rPr>
        <w:t>CONVERTIBLE PREFERRED SHARES,</w:t>
      </w:r>
      <w:r>
        <w:rPr>
          <w:rFonts w:ascii="Times New Roman;Times;serif" w:hAnsi="Times New Roman;Times;serif"/>
          <w:sz w:val="20"/>
        </w:rPr>
        <w:t> </w:t>
      </w:r>
      <w:r>
        <w:rPr>
          <w:rFonts w:ascii="Times New Roman;Times;serif" w:hAnsi="Times New Roman;Times;serif"/>
          <w:b/>
          <w:sz w:val="20"/>
        </w:rPr>
        <w:t>SHAREHOLDERS’ EQUITY AND EQUITY INCENTIVE PLAN (Cont.)</w:t>
      </w:r>
      <w:r>
        <w:rPr>
          <w:sz w:val="20"/>
        </w:rPr>
        <w:t xml:space="preserve"> </w:t>
      </w:r>
    </w:p>
    <w:p>
      <w:pPr>
        <w:pStyle w:val="TextBody"/>
        <w:bidi w:val="0"/>
        <w:spacing w:lineRule="auto" w:line="300" w:before="0" w:after="0"/>
        <w:ind w:left="0" w:right="0" w:hanging="0"/>
        <w:jc w:val="left"/>
        <w:rPr/>
      </w:pPr>
      <w:r>
        <w:rPr/>
        <w:t> </w:t>
      </w:r>
    </w:p>
    <w:p>
      <w:pPr>
        <w:pStyle w:val="TextBody"/>
        <w:bidi w:val="0"/>
        <w:spacing w:lineRule="auto" w:line="300" w:before="0" w:after="0"/>
        <w:ind w:left="426" w:right="0" w:hanging="0"/>
        <w:jc w:val="left"/>
        <w:rPr>
          <w:rFonts w:ascii="Times New Roman;Times;serif" w:hAnsi="Times New Roman;Times;serif"/>
          <w:sz w:val="20"/>
        </w:rPr>
      </w:pPr>
      <w:r>
        <w:rPr>
          <w:rFonts w:ascii="Times New Roman;Times;serif" w:hAnsi="Times New Roman;Times;serif"/>
          <w:sz w:val="20"/>
        </w:rPr>
        <w:t>The share-based compensation expense by line item in the accompanying consolidated statements of operations is summarized as follows:</w:t>
      </w:r>
    </w:p>
    <w:p>
      <w:pPr>
        <w:pStyle w:val="TextBody"/>
        <w:bidi w:val="0"/>
        <w:spacing w:lineRule="auto" w:line="300" w:before="0" w:after="0"/>
        <w:jc w:val="left"/>
        <w:rPr/>
      </w:pPr>
      <w:r>
        <w:rPr/>
        <w:t> </w:t>
      </w:r>
    </w:p>
    <w:tbl>
      <w:tblPr>
        <w:tblW w:w="4715" w:type="dxa"/>
        <w:jc w:val="left"/>
        <w:tblInd w:w="540" w:type="dxa"/>
        <w:tblLayout w:type="fixed"/>
        <w:tblCellMar>
          <w:top w:w="0" w:type="dxa"/>
          <w:left w:w="0" w:type="dxa"/>
          <w:bottom w:w="0" w:type="dxa"/>
          <w:right w:w="0" w:type="dxa"/>
        </w:tblCellMar>
      </w:tblPr>
      <w:tblGrid>
        <w:gridCol w:w="2210"/>
        <w:gridCol w:w="60"/>
        <w:gridCol w:w="125"/>
        <w:gridCol w:w="590"/>
        <w:gridCol w:w="60"/>
        <w:gridCol w:w="60"/>
        <w:gridCol w:w="125"/>
        <w:gridCol w:w="590"/>
        <w:gridCol w:w="60"/>
        <w:gridCol w:w="60"/>
        <w:gridCol w:w="125"/>
        <w:gridCol w:w="590"/>
        <w:gridCol w:w="60"/>
      </w:tblGrid>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60"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6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1,804</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11,041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7,285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3,863</w:t>
            </w:r>
          </w:p>
        </w:tc>
        <w:tc>
          <w:tcPr>
            <w:tcW w:w="6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17,671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8,205</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24,155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19,797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13,460</w:t>
            </w:r>
          </w:p>
        </w:tc>
        <w:tc>
          <w:tcPr>
            <w:tcW w:w="6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27,332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11: TAXES ON INCOME</w:t>
      </w:r>
    </w:p>
    <w:p>
      <w:pPr>
        <w:pStyle w:val="TextBody"/>
        <w:bidi w:val="0"/>
        <w:spacing w:lineRule="auto" w:line="300"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170"/>
        <w:gridCol w:w="602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Ordinary taxable income in Israel is subject to a corporate tax rate of 23%.</w:t>
            </w:r>
          </w:p>
        </w:tc>
      </w:tr>
    </w:tbl>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Company applies various benefits allotted to it under the revised Investment Law as per Amendment 73, which includes a number of changes to the Investment Law regimes through regulations that have come into effect from January 1, 2017. Applicable benefits under the new regime include:</w:t>
      </w:r>
    </w:p>
    <w:p>
      <w:pPr>
        <w:pStyle w:val="TextBody"/>
        <w:bidi w:val="0"/>
        <w:spacing w:lineRule="auto" w:line="300" w:before="0" w:after="0"/>
        <w:ind w:left="1146"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Introduction of a benefit regime for “Preferred Technology Enterprises” (“PTE”), granting a 12% tax rate in central Israel on income deriving from Benefited Intangible Assets, subject to a number of conditions being fulfilled, including a minimal amount or ratio of annual R&amp;D expenditure and R&amp;D employees, as well as having at least 25% of annual income derived from exports to large markets. PTE is defined as an enterprise which meets the aforementioned conditions and for which total consolidated revenues of its parent company and all subsidiaries are less than NIS 10 billion.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12% capital gains tax rate on the sale of a preferred intangible asset to a foreign affiliated enterprise, provided that the asset was initially purchased from a foreign resident at an amount of NIS 200 million or more.</w:t>
            </w:r>
          </w:p>
          <w:p>
            <w:pPr>
              <w:pStyle w:val="TableContents"/>
              <w:bidi w:val="0"/>
              <w:spacing w:before="0" w:after="0"/>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withholding tax rate of 20% for dividends paid from PTE income (with an exemption from such withholding tax applying to dividends paid to an Israeli company) may be reduced to 4% on dividends paid to a foreign resident company, subject to certain conditions regarding percentage of foreign ownership of the distributing entity.</w:t>
            </w:r>
          </w:p>
        </w:tc>
      </w:tr>
    </w:tbl>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company has not exhausted the benefits it may qualify for as a PTE and continue to examine the degree to which it might qualify as a PTE</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Company’s subsidiaries are separately taxed under the local tax laws of the jurisdiction of incorporation of each entity.</w:t>
      </w:r>
    </w:p>
    <w:p>
      <w:pPr>
        <w:pStyle w:val="TextBody"/>
        <w:bidi w:val="0"/>
        <w:spacing w:lineRule="auto" w:line="300"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185"/>
        <w:gridCol w:w="482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8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Income (Loss) before income taxes is comprised as follows:</w:t>
            </w:r>
          </w:p>
        </w:tc>
      </w:tr>
    </w:tbl>
    <w:p>
      <w:pPr>
        <w:pStyle w:val="TextBody"/>
        <w:bidi w:val="0"/>
        <w:spacing w:before="0" w:after="0"/>
        <w:jc w:val="left"/>
        <w:rPr/>
      </w:pPr>
      <w:r>
        <w:rPr/>
        <w:t xml:space="preserve">  </w:t>
      </w:r>
    </w:p>
    <w:tbl>
      <w:tblPr>
        <w:tblW w:w="3500" w:type="dxa"/>
        <w:jc w:val="left"/>
        <w:tblInd w:w="540" w:type="dxa"/>
        <w:tblLayout w:type="fixed"/>
        <w:tblCellMar>
          <w:top w:w="0" w:type="dxa"/>
          <w:left w:w="0" w:type="dxa"/>
          <w:bottom w:w="0" w:type="dxa"/>
          <w:right w:w="0" w:type="dxa"/>
        </w:tblCellMar>
      </w:tblPr>
      <w:tblGrid>
        <w:gridCol w:w="650"/>
        <w:gridCol w:w="60"/>
        <w:gridCol w:w="125"/>
        <w:gridCol w:w="650"/>
        <w:gridCol w:w="80"/>
        <w:gridCol w:w="60"/>
        <w:gridCol w:w="125"/>
        <w:gridCol w:w="755"/>
        <w:gridCol w:w="80"/>
        <w:gridCol w:w="60"/>
        <w:gridCol w:w="125"/>
        <w:gridCol w:w="650"/>
        <w:gridCol w:w="80"/>
      </w:tblGrid>
      <w:tr>
        <w:trPr/>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8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80" w:type="dxa"/>
            <w:tcBorders/>
            <w:vAlign w:val="center"/>
          </w:tcPr>
          <w:p>
            <w:pPr>
              <w:pStyle w:val="TableContents"/>
              <w:bidi w:val="0"/>
              <w:spacing w:before="0" w:after="283"/>
              <w:jc w:val="left"/>
              <w:rPr/>
            </w:pPr>
            <w:r>
              <w:rPr/>
              <w:t> </w:t>
            </w:r>
          </w:p>
        </w:tc>
      </w:tr>
      <w:tr>
        <w:trPr/>
        <w:tc>
          <w:tcPr>
            <w:tcW w:w="650" w:type="dxa"/>
            <w:tcBorders/>
            <w:shd w:fill="CCEEFF" w:val="clear"/>
            <w:vAlign w:val="center"/>
          </w:tcPr>
          <w:p>
            <w:pPr>
              <w:pStyle w:val="TableContents"/>
              <w:bidi w:val="0"/>
              <w:spacing w:lineRule="auto" w:line="300" w:before="0" w:after="0"/>
              <w:ind w:left="252" w:right="0" w:hanging="0"/>
              <w:jc w:val="left"/>
              <w:rPr>
                <w:rFonts w:ascii="Times New Roman;Times;serif" w:hAnsi="Times New Roman;Times;serif"/>
                <w:sz w:val="20"/>
              </w:rPr>
            </w:pPr>
            <w:r>
              <w:rPr>
                <w:rFonts w:ascii="Times New Roman;Times;serif" w:hAnsi="Times New Roman;Times;serif"/>
                <w:sz w:val="20"/>
              </w:rPr>
              <w:t>Israel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(59,200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(102,013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(68,924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50" w:type="dxa"/>
            <w:tcBorders/>
            <w:vAlign w:val="center"/>
          </w:tcPr>
          <w:p>
            <w:pPr>
              <w:pStyle w:val="TableContents"/>
              <w:bidi w:val="0"/>
              <w:spacing w:lineRule="auto" w:line="300" w:before="0" w:after="0"/>
              <w:ind w:left="252" w:right="0" w:hanging="0"/>
              <w:jc w:val="left"/>
              <w:rPr>
                <w:rFonts w:ascii="Times New Roman;Times;serif" w:hAnsi="Times New Roman;Times;serif"/>
                <w:sz w:val="20"/>
              </w:rPr>
            </w:pPr>
            <w:r>
              <w:rPr>
                <w:rFonts w:ascii="Times New Roman;Times;serif" w:hAnsi="Times New Roman;Times;serif"/>
                <w:sz w:val="20"/>
              </w:rPr>
              <w:t>Foreign</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7,514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(2,506</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(8,875</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(51,686</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(104,519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(77,799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F-28</w:t>
      </w:r>
    </w:p>
    <w:p>
      <w:pPr>
        <w:pStyle w:val="HorizontalLine"/>
        <w:bidi w:val="0"/>
        <w:spacing w:before="200" w:after="200"/>
        <w:jc w:val="left"/>
        <w:rPr/>
      </w:pPr>
      <w:r>
        <w:rPr/>
      </w:r>
    </w:p>
    <w:p>
      <w:pPr>
        <w:pStyle w:val="TextBody"/>
        <w:bidi w:val="0"/>
        <w:spacing w:lineRule="auto" w:line="300" w:before="0" w:after="160"/>
        <w:ind w:left="6" w:right="0" w:hanging="0"/>
        <w:jc w:val="right"/>
        <w:rPr>
          <w:rFonts w:ascii="Times New Roman;Times;serif" w:hAnsi="Times New Roman;Times;serif"/>
          <w:b/>
          <w:sz w:val="20"/>
        </w:rPr>
      </w:pPr>
      <w:r>
        <w:rPr>
          <w:rFonts w:ascii="Times New Roman;Times;serif" w:hAnsi="Times New Roman;Times;serif"/>
          <w:b/>
          <w:sz w:val="20"/>
        </w:rPr>
        <w:t>WALKME LTD. AND ITS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HorizontalLine"/>
        <w:bidi w:val="0"/>
        <w:spacing w:lineRule="auto" w:line="300"/>
        <w:jc w:val="left"/>
        <w:rPr/>
      </w:pPr>
      <w:r>
        <w:rPr/>
      </w:r>
    </w:p>
    <w:p>
      <w:pPr>
        <w:pStyle w:val="TextBody"/>
        <w:bidi w:val="0"/>
        <w:spacing w:lineRule="auto" w:line="300"/>
        <w:jc w:val="left"/>
        <w:rPr>
          <w:b/>
          <w:sz w:val="20"/>
        </w:rPr>
      </w:pPr>
      <w:r>
        <w:rPr>
          <w:rFonts w:ascii="Times New Roman;Times;serif" w:hAnsi="Times New Roman;Times;serif"/>
          <w:b/>
          <w:sz w:val="20"/>
        </w:rPr>
        <w:t>NOTE 11: TAXES ON INCOME (Cont.)</w:t>
      </w:r>
      <w:r>
        <w:rPr>
          <w:b/>
          <w:sz w:val="20"/>
        </w:rPr>
        <w:t xml:space="preserve"> </w:t>
      </w:r>
    </w:p>
    <w:p>
      <w:pPr>
        <w:pStyle w:val="TextBody"/>
        <w:bidi w:val="0"/>
        <w:spacing w:lineRule="auto" w:line="300" w:before="0" w:after="0"/>
        <w:ind w:left="0" w:right="0" w:hanging="0"/>
        <w:jc w:val="left"/>
        <w:rPr/>
      </w:pPr>
      <w:r>
        <w:rPr/>
        <w:t> </w:t>
      </w:r>
    </w:p>
    <w:tbl>
      <w:tblPr>
        <w:tblW w:w="3355" w:type="dxa"/>
        <w:jc w:val="left"/>
        <w:tblInd w:w="0" w:type="dxa"/>
        <w:tblLayout w:type="fixed"/>
        <w:tblCellMar>
          <w:top w:w="0" w:type="dxa"/>
          <w:left w:w="0" w:type="dxa"/>
          <w:bottom w:w="0" w:type="dxa"/>
          <w:right w:w="0" w:type="dxa"/>
        </w:tblCellMar>
      </w:tblPr>
      <w:tblGrid>
        <w:gridCol w:w="170"/>
        <w:gridCol w:w="318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318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Income taxes are comprised as follows:</w:t>
            </w:r>
          </w:p>
        </w:tc>
      </w:tr>
    </w:tbl>
    <w:p>
      <w:pPr>
        <w:pStyle w:val="TextBody"/>
        <w:bidi w:val="0"/>
        <w:spacing w:before="0" w:after="0"/>
        <w:jc w:val="left"/>
        <w:rPr/>
      </w:pPr>
      <w:r>
        <w:rPr/>
        <w:t xml:space="preserve">  </w:t>
      </w:r>
    </w:p>
    <w:tbl>
      <w:tblPr>
        <w:tblW w:w="3915" w:type="dxa"/>
        <w:jc w:val="left"/>
        <w:tblInd w:w="540" w:type="dxa"/>
        <w:tblLayout w:type="fixed"/>
        <w:tblCellMar>
          <w:top w:w="0" w:type="dxa"/>
          <w:left w:w="0" w:type="dxa"/>
          <w:bottom w:w="0" w:type="dxa"/>
          <w:right w:w="0" w:type="dxa"/>
        </w:tblCellMar>
      </w:tblPr>
      <w:tblGrid>
        <w:gridCol w:w="1625"/>
        <w:gridCol w:w="60"/>
        <w:gridCol w:w="125"/>
        <w:gridCol w:w="545"/>
        <w:gridCol w:w="80"/>
        <w:gridCol w:w="60"/>
        <w:gridCol w:w="125"/>
        <w:gridCol w:w="485"/>
        <w:gridCol w:w="80"/>
        <w:gridCol w:w="60"/>
        <w:gridCol w:w="125"/>
        <w:gridCol w:w="485"/>
        <w:gridCol w:w="60"/>
      </w:tblGrid>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6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60"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lineRule="auto" w:line="300" w:before="0" w:after="0"/>
              <w:ind w:left="252" w:right="0" w:hanging="0"/>
              <w:jc w:val="left"/>
              <w:rPr>
                <w:rFonts w:ascii="Times New Roman;Times;serif" w:hAnsi="Times New Roman;Times;serif"/>
                <w:sz w:val="20"/>
              </w:rPr>
            </w:pPr>
            <w:r>
              <w:rPr>
                <w:rFonts w:ascii="Times New Roman;Times;serif" w:hAnsi="Times New Roman;Times;serif"/>
                <w:sz w:val="20"/>
              </w:rPr>
              <w:t>Current:</w:t>
            </w:r>
          </w:p>
        </w:tc>
        <w:tc>
          <w:tcPr>
            <w:tcW w:w="60" w:type="dxa"/>
            <w:tcBorders/>
            <w:shd w:fill="CCEEFF" w:val="clear"/>
            <w:vAlign w:val="center"/>
          </w:tcPr>
          <w:p>
            <w:pPr>
              <w:pStyle w:val="TableContents"/>
              <w:bidi w:val="0"/>
              <w:spacing w:before="0" w:after="283"/>
              <w:jc w:val="left"/>
              <w:rPr/>
            </w:pPr>
            <w:r>
              <w:rPr/>
              <w:t> </w:t>
            </w:r>
          </w:p>
        </w:tc>
        <w:tc>
          <w:tcPr>
            <w:tcW w:w="67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lineRule="auto" w:line="300" w:before="0" w:after="0"/>
              <w:ind w:left="252" w:right="0" w:firstLine="315"/>
              <w:jc w:val="left"/>
              <w:rPr>
                <w:rFonts w:ascii="Times New Roman;Times;serif" w:hAnsi="Times New Roman;Times;serif"/>
                <w:sz w:val="20"/>
              </w:rPr>
            </w:pPr>
            <w:r>
              <w:rPr>
                <w:rFonts w:ascii="Times New Roman;Times;serif" w:hAnsi="Times New Roman;Times;serif"/>
                <w:sz w:val="20"/>
              </w:rPr>
              <w:t>Israel</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103</w:t>
            </w:r>
          </w:p>
        </w:tc>
        <w:tc>
          <w:tcPr>
            <w:tcW w:w="60"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lineRule="auto" w:line="300" w:before="0" w:after="0"/>
              <w:ind w:left="252" w:right="0" w:firstLine="315"/>
              <w:jc w:val="left"/>
              <w:rPr>
                <w:rFonts w:ascii="Times New Roman;Times;serif" w:hAnsi="Times New Roman;Times;serif"/>
                <w:sz w:val="20"/>
              </w:rPr>
            </w:pPr>
            <w:r>
              <w:rPr>
                <w:rFonts w:ascii="Times New Roman;Times;serif" w:hAnsi="Times New Roman;Times;serif"/>
                <w:sz w:val="20"/>
              </w:rPr>
              <w:t>Foreign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697</w:t>
            </w:r>
          </w:p>
        </w:tc>
        <w:tc>
          <w:tcPr>
            <w:tcW w:w="60"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lineRule="auto" w:line="300" w:before="0" w:after="0"/>
              <w:ind w:left="252" w:right="0" w:hanging="0"/>
              <w:jc w:val="left"/>
              <w:rPr>
                <w:rFonts w:ascii="Times New Roman;Times;serif" w:hAnsi="Times New Roman;Times;serif"/>
                <w:sz w:val="20"/>
              </w:rPr>
            </w:pPr>
            <w:r>
              <w:rPr>
                <w:rFonts w:ascii="Times New Roman;Times;serif" w:hAnsi="Times New Roman;Times;serif"/>
                <w:sz w:val="20"/>
              </w:rPr>
              <w:t>Total current taxes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6,838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1,296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800</w:t>
            </w:r>
          </w:p>
        </w:tc>
        <w:tc>
          <w:tcPr>
            <w:tcW w:w="60"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lineRule="auto" w:line="300" w:before="0" w:after="0"/>
              <w:ind w:left="252" w:right="0" w:hanging="0"/>
              <w:jc w:val="left"/>
              <w:rPr>
                <w:rFonts w:ascii="Times New Roman;Times;serif" w:hAnsi="Times New Roman;Times;serif"/>
                <w:sz w:val="20"/>
              </w:rPr>
            </w:pPr>
            <w:r>
              <w:rPr>
                <w:rFonts w:ascii="Times New Roman;Times;serif" w:hAnsi="Times New Roman;Times;serif"/>
                <w:sz w:val="20"/>
              </w:rPr>
              <w:t>Deferred: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lineRule="auto" w:line="300" w:before="0" w:after="0"/>
              <w:ind w:left="252" w:right="0" w:firstLine="315"/>
              <w:jc w:val="left"/>
              <w:rPr>
                <w:rFonts w:ascii="Times New Roman;Times;serif" w:hAnsi="Times New Roman;Times;serif"/>
                <w:sz w:val="20"/>
              </w:rPr>
            </w:pPr>
            <w:r>
              <w:rPr>
                <w:rFonts w:ascii="Times New Roman;Times;serif" w:hAnsi="Times New Roman;Times;serif"/>
                <w:sz w:val="20"/>
              </w:rPr>
              <w:t>Israel</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lineRule="auto" w:line="300" w:before="0" w:after="0"/>
              <w:ind w:left="252" w:right="0" w:firstLine="315"/>
              <w:jc w:val="left"/>
              <w:rPr>
                <w:rFonts w:ascii="Times New Roman;Times;serif" w:hAnsi="Times New Roman;Times;serif"/>
                <w:sz w:val="20"/>
              </w:rPr>
            </w:pPr>
            <w:r>
              <w:rPr>
                <w:rFonts w:ascii="Times New Roman;Times;serif" w:hAnsi="Times New Roman;Times;serif"/>
                <w:sz w:val="20"/>
              </w:rPr>
              <w:t>Foreign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(1,771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1,694</w:t>
            </w:r>
          </w:p>
        </w:tc>
        <w:tc>
          <w:tcPr>
            <w:tcW w:w="60"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lineRule="auto" w:line="300" w:before="0" w:after="0"/>
              <w:ind w:left="252" w:right="0" w:hanging="0"/>
              <w:jc w:val="left"/>
              <w:rPr>
                <w:rFonts w:ascii="Times New Roman;Times;serif" w:hAnsi="Times New Roman;Times;serif"/>
                <w:sz w:val="20"/>
              </w:rPr>
            </w:pPr>
            <w:r>
              <w:rPr>
                <w:rFonts w:ascii="Times New Roman;Times;serif" w:hAnsi="Times New Roman;Times;serif"/>
                <w:sz w:val="20"/>
              </w:rPr>
              <w:t>Total deferred taxes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(1,771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2,535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1,694</w:t>
            </w:r>
          </w:p>
        </w:tc>
        <w:tc>
          <w:tcPr>
            <w:tcW w:w="60"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lineRule="auto" w:line="300" w:before="0" w:after="0"/>
              <w:ind w:left="252" w:right="0" w:hanging="0"/>
              <w:jc w:val="left"/>
              <w:rPr>
                <w:rFonts w:ascii="Times New Roman;Times;serif" w:hAnsi="Times New Roman;Times;serif"/>
                <w:sz w:val="20"/>
              </w:rPr>
            </w:pPr>
            <w:r>
              <w:rPr>
                <w:rFonts w:ascii="Times New Roman;Times;serif" w:hAnsi="Times New Roman;Times;serif"/>
                <w:sz w:val="20"/>
              </w:rPr>
              <w:t>Total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2,494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540" w:right="0" w:hanging="0"/>
        <w:jc w:val="left"/>
        <w:rPr/>
      </w:pPr>
      <w:r>
        <w:rPr/>
        <w:t> </w:t>
      </w:r>
    </w:p>
    <w:tbl>
      <w:tblPr>
        <w:tblW w:w="8965" w:type="dxa"/>
        <w:jc w:val="left"/>
        <w:tblInd w:w="0" w:type="dxa"/>
        <w:tblLayout w:type="fixed"/>
        <w:tblCellMar>
          <w:top w:w="0" w:type="dxa"/>
          <w:left w:w="0" w:type="dxa"/>
          <w:bottom w:w="0" w:type="dxa"/>
          <w:right w:w="0" w:type="dxa"/>
        </w:tblCellMar>
      </w:tblPr>
      <w:tblGrid>
        <w:gridCol w:w="185"/>
        <w:gridCol w:w="878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87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reconciliation of the Company's theoretical income tax benefit to actual income tax expense is as follows:</w:t>
            </w:r>
          </w:p>
        </w:tc>
      </w:tr>
    </w:tbl>
    <w:p>
      <w:pPr>
        <w:pStyle w:val="TextBody"/>
        <w:bidi w:val="0"/>
        <w:spacing w:lineRule="auto" w:line="300" w:before="0" w:after="0"/>
        <w:jc w:val="left"/>
        <w:rPr/>
      </w:pPr>
      <w:r>
        <w:rPr/>
        <w:t> </w:t>
      </w:r>
    </w:p>
    <w:tbl>
      <w:tblPr>
        <w:tblW w:w="5735" w:type="dxa"/>
        <w:jc w:val="left"/>
        <w:tblInd w:w="540" w:type="dxa"/>
        <w:tblLayout w:type="fixed"/>
        <w:tblCellMar>
          <w:top w:w="0" w:type="dxa"/>
          <w:left w:w="0" w:type="dxa"/>
          <w:bottom w:w="0" w:type="dxa"/>
          <w:right w:w="0" w:type="dxa"/>
        </w:tblCellMar>
      </w:tblPr>
      <w:tblGrid>
        <w:gridCol w:w="2630"/>
        <w:gridCol w:w="60"/>
        <w:gridCol w:w="125"/>
        <w:gridCol w:w="650"/>
        <w:gridCol w:w="185"/>
        <w:gridCol w:w="60"/>
        <w:gridCol w:w="125"/>
        <w:gridCol w:w="695"/>
        <w:gridCol w:w="185"/>
        <w:gridCol w:w="60"/>
        <w:gridCol w:w="125"/>
        <w:gridCol w:w="650"/>
        <w:gridCol w:w="185"/>
      </w:tblGrid>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18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18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lineRule="auto" w:line="300" w:before="0" w:after="0"/>
              <w:ind w:left="176"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51,686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104,519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77,799</w:t>
            </w:r>
          </w:p>
        </w:tc>
        <w:tc>
          <w:tcPr>
            <w:tcW w:w="185"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lineRule="auto" w:line="300" w:before="0" w:after="0"/>
              <w:ind w:left="176" w:right="0" w:hanging="0"/>
              <w:jc w:val="left"/>
              <w:rPr>
                <w:rFonts w:ascii="Times New Roman;Times;serif" w:hAnsi="Times New Roman;Times;serif"/>
                <w:sz w:val="20"/>
              </w:rPr>
            </w:pPr>
            <w:r>
              <w:rPr>
                <w:rFonts w:ascii="Times New Roman;Times;serif" w:hAnsi="Times New Roman;Times;serif"/>
                <w:sz w:val="20"/>
              </w:rPr>
              <w:t>Statutory tax rate</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630" w:type="dxa"/>
            <w:tcBorders/>
            <w:shd w:fill="CCEEFF" w:val="clear"/>
            <w:vAlign w:val="center"/>
          </w:tcPr>
          <w:p>
            <w:pPr>
              <w:pStyle w:val="TableContents"/>
              <w:bidi w:val="0"/>
              <w:spacing w:lineRule="auto" w:line="300" w:before="0" w:after="0"/>
              <w:ind w:left="176" w:right="0" w:hanging="0"/>
              <w:jc w:val="left"/>
              <w:rPr>
                <w:rFonts w:ascii="Times New Roman;Times;serif" w:hAnsi="Times New Roman;Times;serif"/>
                <w:sz w:val="20"/>
              </w:rPr>
            </w:pPr>
            <w:r>
              <w:rPr>
                <w:rFonts w:ascii="Times New Roman;Times;serif" w:hAnsi="Times New Roman;Times;serif"/>
                <w:sz w:val="20"/>
              </w:rPr>
              <w:t>Theoretical income tax benefit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(11,888</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(24,039</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(17,894</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630" w:type="dxa"/>
            <w:tcBorders/>
            <w:vAlign w:val="center"/>
          </w:tcPr>
          <w:p>
            <w:pPr>
              <w:pStyle w:val="TableContents"/>
              <w:bidi w:val="0"/>
              <w:spacing w:lineRule="auto" w:line="300" w:before="0" w:after="0"/>
              <w:ind w:left="498" w:right="0" w:hanging="0"/>
              <w:jc w:val="left"/>
              <w:rPr>
                <w:rFonts w:ascii="Times New Roman;Times;serif" w:hAnsi="Times New Roman;Times;serif"/>
                <w:sz w:val="20"/>
              </w:rPr>
            </w:pPr>
            <w:r>
              <w:rPr>
                <w:rFonts w:ascii="Times New Roman;Times;serif" w:hAnsi="Times New Roman;Times;serif"/>
                <w:sz w:val="20"/>
              </w:rPr>
              <w:t>Preferred technology enterprise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6,512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11,221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7,582</w:t>
            </w:r>
          </w:p>
        </w:tc>
        <w:tc>
          <w:tcPr>
            <w:tcW w:w="18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lineRule="auto" w:line="300" w:before="0" w:after="0"/>
              <w:ind w:left="498" w:right="0" w:hanging="0"/>
              <w:jc w:val="left"/>
              <w:rPr>
                <w:rFonts w:ascii="Times New Roman;Times;serif" w:hAnsi="Times New Roman;Times;serif"/>
                <w:sz w:val="20"/>
              </w:rPr>
            </w:pPr>
            <w:r>
              <w:rPr>
                <w:rFonts w:ascii="Times New Roman;Times;serif" w:hAnsi="Times New Roman;Times;serif"/>
                <w:sz w:val="20"/>
              </w:rPr>
              <w:t>Foreign rate differential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(597</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630" w:type="dxa"/>
            <w:tcBorders/>
            <w:vAlign w:val="center"/>
          </w:tcPr>
          <w:p>
            <w:pPr>
              <w:pStyle w:val="TableContents"/>
              <w:bidi w:val="0"/>
              <w:spacing w:lineRule="auto" w:line="300" w:before="0" w:after="0"/>
              <w:ind w:left="498" w:right="0" w:hanging="0"/>
              <w:jc w:val="left"/>
              <w:rPr>
                <w:rFonts w:ascii="Times New Roman;Times;serif" w:hAnsi="Times New Roman;Times;serif"/>
                <w:sz w:val="20"/>
              </w:rPr>
            </w:pPr>
            <w:r>
              <w:rPr>
                <w:rFonts w:ascii="Times New Roman;Times;serif" w:hAnsi="Times New Roman;Times;serif"/>
                <w:sz w:val="20"/>
              </w:rPr>
              <w:t>Unrecognized tax benefits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1,348</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3,159</w:t>
            </w:r>
          </w:p>
        </w:tc>
        <w:tc>
          <w:tcPr>
            <w:tcW w:w="18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lineRule="auto" w:line="300" w:before="0" w:after="0"/>
              <w:ind w:left="498" w:right="0" w:hanging="0"/>
              <w:jc w:val="left"/>
              <w:rPr>
                <w:rFonts w:ascii="Times New Roman;Times;serif" w:hAnsi="Times New Roman;Times;serif"/>
                <w:sz w:val="20"/>
              </w:rPr>
            </w:pPr>
            <w:r>
              <w:rPr>
                <w:rFonts w:ascii="Times New Roman;Times;serif" w:hAnsi="Times New Roman;Times;serif"/>
                <w:sz w:val="20"/>
              </w:rPr>
              <w:t>Changes in valuation allowance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4,329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11,421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7,498</w:t>
            </w:r>
          </w:p>
        </w:tc>
        <w:tc>
          <w:tcPr>
            <w:tcW w:w="185"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lineRule="auto" w:line="300" w:before="0" w:after="0"/>
              <w:ind w:left="498"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5,589</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3,745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2,519</w:t>
            </w:r>
          </w:p>
        </w:tc>
        <w:tc>
          <w:tcPr>
            <w:tcW w:w="18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lineRule="auto" w:line="300" w:before="0" w:after="0"/>
              <w:ind w:left="498" w:right="0" w:hanging="0"/>
              <w:jc w:val="left"/>
              <w:rPr>
                <w:rFonts w:ascii="Times New Roman;Times;serif" w:hAnsi="Times New Roman;Times;serif"/>
                <w:sz w:val="20"/>
              </w:rPr>
            </w:pPr>
            <w:r>
              <w:rPr>
                <w:rFonts w:ascii="Times New Roman;Times;serif" w:hAnsi="Times New Roman;Times;serif"/>
                <w:sz w:val="20"/>
              </w:rPr>
              <w:t>Non-deductible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234</w:t>
            </w:r>
          </w:p>
        </w:tc>
        <w:tc>
          <w:tcPr>
            <w:tcW w:w="185"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lineRule="auto" w:line="300" w:before="0" w:after="0"/>
              <w:ind w:left="498"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630" w:type="dxa"/>
            <w:tcBorders/>
            <w:shd w:fill="CCEEFF" w:val="clear"/>
            <w:vAlign w:val="center"/>
          </w:tcPr>
          <w:p>
            <w:pPr>
              <w:pStyle w:val="TableContents"/>
              <w:bidi w:val="0"/>
              <w:spacing w:lineRule="auto" w:line="300" w:before="0" w:after="0"/>
              <w:ind w:left="252" w:right="0" w:hanging="0"/>
              <w:jc w:val="left"/>
              <w:rPr>
                <w:rFonts w:ascii="Times New Roman;Times;serif" w:hAnsi="Times New Roman;Times;serif"/>
                <w:sz w:val="20"/>
              </w:rPr>
            </w:pPr>
            <w:r>
              <w:rPr>
                <w:rFonts w:ascii="Times New Roman;Times;serif" w:hAnsi="Times New Roman;Times;serif"/>
                <w:sz w:val="20"/>
              </w:rPr>
              <w:t>Actual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5,067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3,831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2,494</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F-29</w:t>
      </w:r>
    </w:p>
    <w:p>
      <w:pPr>
        <w:pStyle w:val="HorizontalLine"/>
        <w:bidi w:val="0"/>
        <w:spacing w:lineRule="auto" w:line="300" w:before="200" w:after="200"/>
        <w:jc w:val="left"/>
        <w:rPr/>
      </w:pPr>
      <w:r>
        <w:rPr/>
      </w:r>
    </w:p>
    <w:p>
      <w:pPr>
        <w:pStyle w:val="TextBody"/>
        <w:bidi w:val="0"/>
        <w:spacing w:lineRule="auto" w:line="300" w:before="0" w:after="160"/>
        <w:ind w:left="6" w:right="0" w:hanging="0"/>
        <w:jc w:val="right"/>
        <w:rPr>
          <w:rFonts w:ascii="Times New Roman;Times;serif" w:hAnsi="Times New Roman;Times;serif"/>
          <w:b/>
          <w:sz w:val="20"/>
        </w:rPr>
      </w:pPr>
      <w:r>
        <w:rPr>
          <w:rFonts w:ascii="Times New Roman;Times;serif" w:hAnsi="Times New Roman;Times;serif"/>
          <w:b/>
          <w:sz w:val="20"/>
        </w:rPr>
        <w:t>WALKME LTD. AND ITS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HorizontalLine"/>
        <w:bidi w:val="0"/>
        <w:spacing w:lineRule="auto" w:line="300"/>
        <w:jc w:val="left"/>
        <w:rPr/>
      </w:pPr>
      <w:r>
        <w:rPr/>
      </w:r>
    </w:p>
    <w:p>
      <w:pPr>
        <w:pStyle w:val="TextBody"/>
        <w:bidi w:val="0"/>
        <w:spacing w:lineRule="auto" w:line="300"/>
        <w:jc w:val="left"/>
        <w:rPr/>
      </w:pPr>
      <w:r>
        <w:rPr>
          <w:rStyle w:val="StrongEmphasis"/>
          <w:rFonts w:ascii="Times New Roman;Times;serif" w:hAnsi="Times New Roman;Times;serif"/>
          <w:sz w:val="20"/>
        </w:rPr>
        <w:t>NOTE 11: TAXES ON INCOME (Cont.)</w:t>
      </w:r>
      <w:r>
        <w:rPr>
          <w:sz w:val="20"/>
        </w:rPr>
        <w:t xml:space="preserve"> </w:t>
      </w:r>
    </w:p>
    <w:p>
      <w:pPr>
        <w:pStyle w:val="TextBody"/>
        <w:bidi w:val="0"/>
        <w:spacing w:lineRule="auto" w:line="300" w:before="0" w:after="0"/>
        <w:ind w:left="0" w:right="0" w:hanging="0"/>
        <w:jc w:val="left"/>
        <w:rPr/>
      </w:pPr>
      <w:r>
        <w:rPr/>
        <w:t> </w:t>
      </w:r>
    </w:p>
    <w:tbl>
      <w:tblPr>
        <w:tblW w:w="7450" w:type="dxa"/>
        <w:jc w:val="left"/>
        <w:tblInd w:w="0" w:type="dxa"/>
        <w:tblLayout w:type="fixed"/>
        <w:tblCellMar>
          <w:top w:w="0" w:type="dxa"/>
          <w:left w:w="0" w:type="dxa"/>
          <w:bottom w:w="0" w:type="dxa"/>
          <w:right w:w="0" w:type="dxa"/>
        </w:tblCellMar>
      </w:tblPr>
      <w:tblGrid>
        <w:gridCol w:w="170"/>
        <w:gridCol w:w="728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72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following table presents the significant components of the Company's deferred taxes:</w:t>
            </w:r>
          </w:p>
        </w:tc>
      </w:tr>
    </w:tbl>
    <w:p>
      <w:pPr>
        <w:pStyle w:val="TextBody"/>
        <w:bidi w:val="0"/>
        <w:spacing w:lineRule="auto" w:line="300" w:before="0" w:after="0"/>
        <w:jc w:val="left"/>
        <w:rPr/>
      </w:pPr>
      <w:r>
        <w:rPr/>
        <w:t> </w:t>
      </w:r>
    </w:p>
    <w:tbl>
      <w:tblPr>
        <w:tblW w:w="4852" w:type="dxa"/>
        <w:jc w:val="left"/>
        <w:tblInd w:w="540" w:type="dxa"/>
        <w:tblLayout w:type="fixed"/>
        <w:tblCellMar>
          <w:top w:w="0" w:type="dxa"/>
          <w:left w:w="0" w:type="dxa"/>
          <w:bottom w:w="0" w:type="dxa"/>
          <w:right w:w="0" w:type="dxa"/>
        </w:tblCellMar>
      </w:tblPr>
      <w:tblGrid>
        <w:gridCol w:w="3022"/>
        <w:gridCol w:w="60"/>
        <w:gridCol w:w="125"/>
        <w:gridCol w:w="650"/>
        <w:gridCol w:w="80"/>
        <w:gridCol w:w="60"/>
        <w:gridCol w:w="125"/>
        <w:gridCol w:w="650"/>
        <w:gridCol w:w="80"/>
      </w:tblGrid>
      <w:tr>
        <w:trPr/>
        <w:tc>
          <w:tcPr>
            <w:tcW w:w="30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80" w:type="dxa"/>
            <w:tcBorders/>
            <w:vAlign w:val="center"/>
          </w:tcPr>
          <w:p>
            <w:pPr>
              <w:pStyle w:val="TableContents"/>
              <w:bidi w:val="0"/>
              <w:spacing w:before="0" w:after="283"/>
              <w:jc w:val="left"/>
              <w:rPr/>
            </w:pPr>
            <w:r>
              <w:rPr/>
              <w:t> </w:t>
            </w:r>
          </w:p>
        </w:tc>
      </w:tr>
      <w:tr>
        <w:trPr/>
        <w:tc>
          <w:tcPr>
            <w:tcW w:w="30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center"/>
          </w:tcPr>
          <w:p>
            <w:pPr>
              <w:pStyle w:val="TableContents"/>
              <w:bidi w:val="0"/>
              <w:spacing w:before="0" w:after="283"/>
              <w:jc w:val="left"/>
              <w:rPr/>
            </w:pPr>
            <w:r>
              <w:rPr/>
              <w:t> </w:t>
            </w:r>
          </w:p>
        </w:tc>
      </w:tr>
      <w:tr>
        <w:trPr/>
        <w:tc>
          <w:tcPr>
            <w:tcW w:w="302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Deferred tax assets:</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022" w:type="dxa"/>
            <w:tcBorders/>
            <w:shd w:fill="CCEEFF" w:val="clear"/>
            <w:vAlign w:val="center"/>
          </w:tcPr>
          <w:p>
            <w:pPr>
              <w:pStyle w:val="TableContents"/>
              <w:bidi w:val="0"/>
              <w:spacing w:lineRule="auto" w:line="300" w:before="0" w:after="0"/>
              <w:ind w:left="252" w:right="0" w:firstLine="32"/>
              <w:jc w:val="left"/>
              <w:rPr>
                <w:rFonts w:ascii="Times New Roman;Times;serif" w:hAnsi="Times New Roman;Times;serif"/>
                <w:sz w:val="20"/>
              </w:rPr>
            </w:pPr>
            <w:r>
              <w:rPr>
                <w:rFonts w:ascii="Times New Roman;Times;serif" w:hAnsi="Times New Roman;Times;serif"/>
                <w:sz w:val="20"/>
              </w:rPr>
              <w:t>Net operating loss carryforwards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48,348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43,437</w:t>
            </w:r>
          </w:p>
        </w:tc>
        <w:tc>
          <w:tcPr>
            <w:tcW w:w="80" w:type="dxa"/>
            <w:tcBorders/>
            <w:shd w:fill="CCEEFF" w:val="clear"/>
            <w:vAlign w:val="center"/>
          </w:tcPr>
          <w:p>
            <w:pPr>
              <w:pStyle w:val="TableContents"/>
              <w:bidi w:val="0"/>
              <w:spacing w:before="0" w:after="283"/>
              <w:jc w:val="left"/>
              <w:rPr/>
            </w:pPr>
            <w:r>
              <w:rPr/>
              <w:t> </w:t>
            </w:r>
          </w:p>
        </w:tc>
      </w:tr>
      <w:tr>
        <w:trPr/>
        <w:tc>
          <w:tcPr>
            <w:tcW w:w="3022" w:type="dxa"/>
            <w:tcBorders/>
            <w:vAlign w:val="center"/>
          </w:tcPr>
          <w:p>
            <w:pPr>
              <w:pStyle w:val="TableContents"/>
              <w:bidi w:val="0"/>
              <w:spacing w:lineRule="auto" w:line="300" w:before="0" w:after="0"/>
              <w:ind w:left="252" w:right="0" w:firstLine="32"/>
              <w:jc w:val="left"/>
              <w:rPr>
                <w:rFonts w:ascii="Times New Roman;Times;serif" w:hAnsi="Times New Roman;Times;serif"/>
                <w:sz w:val="20"/>
              </w:rPr>
            </w:pPr>
            <w:r>
              <w:rPr>
                <w:rFonts w:ascii="Times New Roman;Times;serif" w:hAnsi="Times New Roman;Times;serif"/>
                <w:sz w:val="20"/>
              </w:rPr>
              <w:t>Research and development expenses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4,878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5,398</w:t>
            </w:r>
          </w:p>
        </w:tc>
        <w:tc>
          <w:tcPr>
            <w:tcW w:w="80" w:type="dxa"/>
            <w:tcBorders/>
            <w:vAlign w:val="center"/>
          </w:tcPr>
          <w:p>
            <w:pPr>
              <w:pStyle w:val="TableContents"/>
              <w:bidi w:val="0"/>
              <w:spacing w:before="0" w:after="283"/>
              <w:jc w:val="left"/>
              <w:rPr/>
            </w:pPr>
            <w:r>
              <w:rPr/>
              <w:t> </w:t>
            </w:r>
          </w:p>
        </w:tc>
      </w:tr>
      <w:tr>
        <w:trPr/>
        <w:tc>
          <w:tcPr>
            <w:tcW w:w="3022" w:type="dxa"/>
            <w:tcBorders/>
            <w:shd w:fill="CCEEFF" w:val="clear"/>
            <w:vAlign w:val="center"/>
          </w:tcPr>
          <w:p>
            <w:pPr>
              <w:pStyle w:val="TableContents"/>
              <w:bidi w:val="0"/>
              <w:spacing w:lineRule="auto" w:line="300" w:before="0" w:after="0"/>
              <w:ind w:left="252" w:right="0" w:firstLine="32"/>
              <w:jc w:val="left"/>
              <w:rPr>
                <w:rFonts w:ascii="Times New Roman;Times;serif" w:hAnsi="Times New Roman;Times;serif"/>
                <w:sz w:val="20"/>
              </w:rPr>
            </w:pPr>
            <w:r>
              <w:rPr>
                <w:rFonts w:ascii="Times New Roman;Times;serif" w:hAnsi="Times New Roman;Times;serif"/>
                <w:sz w:val="20"/>
              </w:rPr>
              <w:t>Accruals and reserves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2,088</w:t>
            </w:r>
          </w:p>
        </w:tc>
        <w:tc>
          <w:tcPr>
            <w:tcW w:w="80" w:type="dxa"/>
            <w:tcBorders/>
            <w:shd w:fill="CCEEFF" w:val="clear"/>
            <w:vAlign w:val="center"/>
          </w:tcPr>
          <w:p>
            <w:pPr>
              <w:pStyle w:val="TableContents"/>
              <w:bidi w:val="0"/>
              <w:spacing w:before="0" w:after="283"/>
              <w:jc w:val="left"/>
              <w:rPr/>
            </w:pPr>
            <w:r>
              <w:rPr/>
              <w:t> </w:t>
            </w:r>
          </w:p>
        </w:tc>
      </w:tr>
      <w:tr>
        <w:trPr/>
        <w:tc>
          <w:tcPr>
            <w:tcW w:w="3022" w:type="dxa"/>
            <w:tcBorders/>
            <w:vAlign w:val="center"/>
          </w:tcPr>
          <w:p>
            <w:pPr>
              <w:pStyle w:val="TableContents"/>
              <w:bidi w:val="0"/>
              <w:spacing w:lineRule="auto" w:line="300" w:before="0" w:after="0"/>
              <w:ind w:left="252" w:right="0" w:hanging="0"/>
              <w:jc w:val="left"/>
              <w:rPr>
                <w:rFonts w:ascii="Times New Roman;Times;serif" w:hAnsi="Times New Roman;Times;serif"/>
                <w:sz w:val="20"/>
              </w:rPr>
            </w:pPr>
            <w:r>
              <w:rPr>
                <w:rFonts w:ascii="Times New Roman;Times;serif" w:hAnsi="Times New Roman;Times;serif"/>
                <w:sz w:val="20"/>
              </w:rPr>
              <w:t>Issuance costs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914</w:t>
            </w:r>
          </w:p>
        </w:tc>
        <w:tc>
          <w:tcPr>
            <w:tcW w:w="80" w:type="dxa"/>
            <w:tcBorders/>
            <w:vAlign w:val="center"/>
          </w:tcPr>
          <w:p>
            <w:pPr>
              <w:pStyle w:val="TableContents"/>
              <w:bidi w:val="0"/>
              <w:spacing w:before="0" w:after="283"/>
              <w:jc w:val="left"/>
              <w:rPr/>
            </w:pPr>
            <w:r>
              <w:rPr/>
              <w:t> </w:t>
            </w:r>
          </w:p>
        </w:tc>
      </w:tr>
      <w:tr>
        <w:trPr/>
        <w:tc>
          <w:tcPr>
            <w:tcW w:w="3022" w:type="dxa"/>
            <w:tcBorders/>
            <w:shd w:fill="CCEEFF" w:val="clear"/>
            <w:vAlign w:val="center"/>
          </w:tcPr>
          <w:p>
            <w:pPr>
              <w:pStyle w:val="TableContents"/>
              <w:bidi w:val="0"/>
              <w:spacing w:lineRule="auto" w:line="300" w:before="0" w:after="0"/>
              <w:ind w:left="252"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4,318</w:t>
            </w:r>
          </w:p>
        </w:tc>
        <w:tc>
          <w:tcPr>
            <w:tcW w:w="80" w:type="dxa"/>
            <w:tcBorders/>
            <w:shd w:fill="CCEEFF" w:val="clear"/>
            <w:vAlign w:val="center"/>
          </w:tcPr>
          <w:p>
            <w:pPr>
              <w:pStyle w:val="TableContents"/>
              <w:bidi w:val="0"/>
              <w:spacing w:before="0" w:after="283"/>
              <w:jc w:val="left"/>
              <w:rPr/>
            </w:pPr>
            <w:r>
              <w:rPr/>
              <w:t> </w:t>
            </w:r>
          </w:p>
        </w:tc>
      </w:tr>
      <w:tr>
        <w:trPr/>
        <w:tc>
          <w:tcPr>
            <w:tcW w:w="3022" w:type="dxa"/>
            <w:tcBorders/>
            <w:vAlign w:val="center"/>
          </w:tcPr>
          <w:p>
            <w:pPr>
              <w:pStyle w:val="TableContents"/>
              <w:bidi w:val="0"/>
              <w:spacing w:lineRule="auto" w:line="300" w:before="0" w:after="0"/>
              <w:ind w:left="252"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1,968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2,115</w:t>
            </w:r>
          </w:p>
        </w:tc>
        <w:tc>
          <w:tcPr>
            <w:tcW w:w="80" w:type="dxa"/>
            <w:tcBorders/>
            <w:vAlign w:val="center"/>
          </w:tcPr>
          <w:p>
            <w:pPr>
              <w:pStyle w:val="TableContents"/>
              <w:bidi w:val="0"/>
              <w:spacing w:before="0" w:after="283"/>
              <w:jc w:val="left"/>
              <w:rPr/>
            </w:pPr>
            <w:r>
              <w:rPr/>
              <w:t> </w:t>
            </w:r>
          </w:p>
        </w:tc>
      </w:tr>
      <w:tr>
        <w:trPr/>
        <w:tc>
          <w:tcPr>
            <w:tcW w:w="3022" w:type="dxa"/>
            <w:tcBorders/>
            <w:shd w:fill="CCEEFF" w:val="clear"/>
            <w:vAlign w:val="center"/>
          </w:tcPr>
          <w:p>
            <w:pPr>
              <w:pStyle w:val="TableContents"/>
              <w:bidi w:val="0"/>
              <w:spacing w:lineRule="auto" w:line="300" w:before="0" w:after="0"/>
              <w:ind w:left="252" w:right="0" w:firstLine="32"/>
              <w:jc w:val="left"/>
              <w:rPr>
                <w:rFonts w:ascii="Times New Roman;Times;serif" w:hAnsi="Times New Roman;Times;serif"/>
                <w:sz w:val="20"/>
              </w:rPr>
            </w:pPr>
            <w:r>
              <w:rPr>
                <w:rFonts w:ascii="Times New Roman;Times;serif" w:hAnsi="Times New Roman;Times;serif"/>
                <w:sz w:val="20"/>
              </w:rPr>
              <w:t>Other deferred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805</w:t>
            </w:r>
          </w:p>
        </w:tc>
        <w:tc>
          <w:tcPr>
            <w:tcW w:w="80" w:type="dxa"/>
            <w:tcBorders/>
            <w:shd w:fill="CCEEFF" w:val="clear"/>
            <w:vAlign w:val="center"/>
          </w:tcPr>
          <w:p>
            <w:pPr>
              <w:pStyle w:val="TableContents"/>
              <w:bidi w:val="0"/>
              <w:spacing w:before="0" w:after="283"/>
              <w:jc w:val="left"/>
              <w:rPr/>
            </w:pPr>
            <w:r>
              <w:rPr/>
              <w:t> </w:t>
            </w:r>
          </w:p>
        </w:tc>
      </w:tr>
      <w:tr>
        <w:trPr/>
        <w:tc>
          <w:tcPr>
            <w:tcW w:w="3022" w:type="dxa"/>
            <w:tcBorders/>
            <w:vAlign w:val="center"/>
          </w:tcPr>
          <w:p>
            <w:pPr>
              <w:pStyle w:val="TableContents"/>
              <w:bidi w:val="0"/>
              <w:spacing w:lineRule="auto" w:line="300" w:before="0" w:after="0"/>
              <w:ind w:left="498" w:right="0" w:firstLine="69"/>
              <w:jc w:val="left"/>
              <w:rPr>
                <w:rFonts w:ascii="Times New Roman;Times;serif" w:hAnsi="Times New Roman;Times;serif"/>
                <w:sz w:val="20"/>
              </w:rPr>
            </w:pPr>
            <w:r>
              <w:rPr>
                <w:rFonts w:ascii="Times New Roman;Times;serif" w:hAnsi="Times New Roman;Times;serif"/>
                <w:sz w:val="20"/>
              </w:rPr>
              <w:t>Gross deferred tax assets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63,247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59,075</w:t>
            </w:r>
          </w:p>
        </w:tc>
        <w:tc>
          <w:tcPr>
            <w:tcW w:w="80" w:type="dxa"/>
            <w:tcBorders/>
            <w:vAlign w:val="center"/>
          </w:tcPr>
          <w:p>
            <w:pPr>
              <w:pStyle w:val="TableContents"/>
              <w:bidi w:val="0"/>
              <w:spacing w:before="0" w:after="283"/>
              <w:jc w:val="left"/>
              <w:rPr/>
            </w:pPr>
            <w:r>
              <w:rPr/>
              <w:t> </w:t>
            </w:r>
          </w:p>
        </w:tc>
      </w:tr>
      <w:tr>
        <w:trPr/>
        <w:tc>
          <w:tcPr>
            <w:tcW w:w="302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Valuation allowance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(55,758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(51,164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02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deferred tax assets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7,489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7,911</w:t>
            </w:r>
          </w:p>
        </w:tc>
        <w:tc>
          <w:tcPr>
            <w:tcW w:w="80" w:type="dxa"/>
            <w:tcBorders/>
            <w:vAlign w:val="center"/>
          </w:tcPr>
          <w:p>
            <w:pPr>
              <w:pStyle w:val="TableContents"/>
              <w:bidi w:val="0"/>
              <w:spacing w:before="0" w:after="283"/>
              <w:jc w:val="left"/>
              <w:rPr/>
            </w:pPr>
            <w:r>
              <w:rPr/>
              <w:t> </w:t>
            </w:r>
          </w:p>
        </w:tc>
      </w:tr>
      <w:tr>
        <w:trPr/>
        <w:tc>
          <w:tcPr>
            <w:tcW w:w="302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022" w:type="dxa"/>
            <w:tcBorders/>
            <w:vAlign w:val="center"/>
          </w:tcPr>
          <w:p>
            <w:pPr>
              <w:pStyle w:val="TableContents"/>
              <w:bidi w:val="0"/>
              <w:spacing w:lineRule="auto" w:line="300" w:before="0" w:after="0"/>
              <w:ind w:left="252" w:right="0" w:hanging="0"/>
              <w:jc w:val="left"/>
              <w:rPr>
                <w:rFonts w:ascii="Times New Roman;Times;serif" w:hAnsi="Times New Roman;Times;serif"/>
                <w:sz w:val="20"/>
              </w:rPr>
            </w:pPr>
            <w:r>
              <w:rPr>
                <w:rFonts w:ascii="Times New Roman;Times;serif" w:hAnsi="Times New Roman;Times;serif"/>
                <w:sz w:val="20"/>
              </w:rPr>
              <w:t>Deferred contract costs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(10,989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(13,313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022" w:type="dxa"/>
            <w:tcBorders/>
            <w:shd w:fill="CCEEFF" w:val="clear"/>
            <w:vAlign w:val="center"/>
          </w:tcPr>
          <w:p>
            <w:pPr>
              <w:pStyle w:val="TableContents"/>
              <w:bidi w:val="0"/>
              <w:spacing w:lineRule="auto" w:line="300" w:before="0" w:after="0"/>
              <w:ind w:left="252" w:right="0" w:hanging="0"/>
              <w:jc w:val="left"/>
              <w:rPr>
                <w:rFonts w:ascii="Times New Roman;Times;serif" w:hAnsi="Times New Roman;Times;serif"/>
                <w:sz w:val="20"/>
              </w:rPr>
            </w:pPr>
            <w:r>
              <w:rPr>
                <w:rFonts w:ascii="Times New Roman;Times;serif" w:hAnsi="Times New Roman;Times;serif"/>
                <w:sz w:val="20"/>
              </w:rPr>
              <w:t>Operating lease ROU asset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(1,760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(1,667</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022" w:type="dxa"/>
            <w:tcBorders/>
            <w:vAlign w:val="center"/>
          </w:tcPr>
          <w:p>
            <w:pPr>
              <w:pStyle w:val="TableContents"/>
              <w:bidi w:val="0"/>
              <w:spacing w:lineRule="auto" w:line="300" w:before="0" w:after="0"/>
              <w:ind w:left="252" w:right="0" w:hanging="0"/>
              <w:jc w:val="left"/>
              <w:rPr>
                <w:rFonts w:ascii="Times New Roman;Times;serif" w:hAnsi="Times New Roman;Times;serif"/>
                <w:sz w:val="20"/>
              </w:rPr>
            </w:pPr>
            <w:r>
              <w:rPr>
                <w:rFonts w:ascii="Times New Roman;Times;serif" w:hAnsi="Times New Roman;Times;serif"/>
                <w:sz w:val="20"/>
              </w:rPr>
              <w:t>Other deferred tax liabilities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022" w:type="dxa"/>
            <w:tcBorders/>
            <w:shd w:fill="CCEEFF" w:val="clear"/>
            <w:vAlign w:val="center"/>
          </w:tcPr>
          <w:p>
            <w:pPr>
              <w:pStyle w:val="TableContents"/>
              <w:bidi w:val="0"/>
              <w:spacing w:lineRule="auto" w:line="300" w:before="0" w:after="0"/>
              <w:ind w:left="498" w:right="0" w:firstLine="69"/>
              <w:jc w:val="left"/>
              <w:rPr>
                <w:rFonts w:ascii="Times New Roman;Times;serif" w:hAnsi="Times New Roman;Times;serif"/>
                <w:sz w:val="20"/>
              </w:rPr>
            </w:pPr>
            <w:r>
              <w:rPr>
                <w:rFonts w:ascii="Times New Roman;Times;serif" w:hAnsi="Times New Roman;Times;serif"/>
                <w:sz w:val="20"/>
              </w:rPr>
              <w:t>Gross 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(13,048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(15,241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02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deferred taxes</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(5,559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(7,330</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ind w:left="540" w:right="0" w:hanging="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A valuation allowance is provided when it is more likely than not that the deferred tax assets will not be realized. The Company has established a valuation allowance to offset certain deferred tax assets at December 31, 2023 and 2022 due to the uncertainty of realizing future tax benefits from its net operating loss carryforwards and other deferred tax assets.</w:t>
      </w:r>
    </w:p>
    <w:p>
      <w:pPr>
        <w:pStyle w:val="TextBody"/>
        <w:bidi w:val="0"/>
        <w:spacing w:lineRule="auto" w:line="300" w:before="0" w:after="0"/>
        <w:jc w:val="left"/>
        <w:rPr/>
      </w:pPr>
      <w:r>
        <w:rPr/>
        <w:t> </w:t>
      </w:r>
    </w:p>
    <w:tbl>
      <w:tblPr>
        <w:tblW w:w="2980" w:type="dxa"/>
        <w:jc w:val="left"/>
        <w:tblInd w:w="0" w:type="dxa"/>
        <w:tblLayout w:type="fixed"/>
        <w:tblCellMar>
          <w:top w:w="0" w:type="dxa"/>
          <w:left w:w="0" w:type="dxa"/>
          <w:bottom w:w="0" w:type="dxa"/>
          <w:right w:w="0" w:type="dxa"/>
        </w:tblCellMar>
      </w:tblPr>
      <w:tblGrid>
        <w:gridCol w:w="140"/>
        <w:gridCol w:w="284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28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Net operating losses carry forward:</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As of December 31, 2023, the Company had approximately $364,062 in net operating loss carryforwards in Israel that can be carried forward indefinitely.</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As of December 31, 2023, the U.S. subsidiary had $55,906 of state net operating loss carryforwards available to offset future taxable income. If not utilized, the state net operating loss carryforwards will expire in varying amounts mostly between the years ended 2032 and 2042.</w:t>
      </w:r>
    </w:p>
    <w:p>
      <w:pPr>
        <w:pStyle w:val="TextBody"/>
        <w:bidi w:val="0"/>
        <w:spacing w:lineRule="auto" w:line="300" w:before="0" w:after="0"/>
        <w:jc w:val="left"/>
        <w:rPr/>
      </w:pPr>
      <w:r>
        <w:rPr/>
        <w:t> </w:t>
      </w:r>
    </w:p>
    <w:tbl>
      <w:tblPr>
        <w:tblW w:w="1540" w:type="dxa"/>
        <w:jc w:val="left"/>
        <w:tblInd w:w="0" w:type="dxa"/>
        <w:tblLayout w:type="fixed"/>
        <w:tblCellMar>
          <w:top w:w="0" w:type="dxa"/>
          <w:left w:w="0" w:type="dxa"/>
          <w:bottom w:w="0" w:type="dxa"/>
          <w:right w:w="0" w:type="dxa"/>
        </w:tblCellMar>
      </w:tblPr>
      <w:tblGrid>
        <w:gridCol w:w="185"/>
        <w:gridCol w:w="135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13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Tax assessments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Company has net operating losses from prior tax periods which may be subjected to examination in future periods. As of December 31, 2023, the Company’s tax years until December 31, 2018 are subject to statute of limitation in Israel.</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As of that date, the U.S. subsidiary’s tax years until December 31, 2019 are subject to statute of limitation in the U.S.</w:t>
      </w:r>
    </w:p>
    <w:p>
      <w:pPr>
        <w:pStyle w:val="TextBody"/>
        <w:bidi w:val="0"/>
        <w:spacing w:lineRule="auto" w:line="300" w:before="0" w:after="0"/>
        <w:ind w:left="426" w:right="0" w:hanging="0"/>
        <w:jc w:val="both"/>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F-30</w:t>
      </w:r>
    </w:p>
    <w:p>
      <w:pPr>
        <w:pStyle w:val="HorizontalLine"/>
        <w:bidi w:val="0"/>
        <w:spacing w:before="200" w:after="200"/>
        <w:jc w:val="left"/>
        <w:rPr/>
      </w:pPr>
      <w:r>
        <w:rPr/>
      </w:r>
    </w:p>
    <w:p>
      <w:pPr>
        <w:pStyle w:val="TextBody"/>
        <w:bidi w:val="0"/>
        <w:spacing w:lineRule="auto" w:line="300" w:before="0" w:after="160"/>
        <w:ind w:left="6" w:right="0" w:hanging="0"/>
        <w:jc w:val="right"/>
        <w:rPr>
          <w:rFonts w:ascii="Times New Roman;Times;serif" w:hAnsi="Times New Roman;Times;serif"/>
          <w:b/>
          <w:sz w:val="20"/>
        </w:rPr>
      </w:pPr>
      <w:r>
        <w:rPr>
          <w:rFonts w:ascii="Times New Roman;Times;serif" w:hAnsi="Times New Roman;Times;serif"/>
          <w:b/>
          <w:sz w:val="20"/>
        </w:rPr>
        <w:t>WALKME LTD. AND ITS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HorizontalLine"/>
        <w:bidi w:val="0"/>
        <w:spacing w:lineRule="auto" w:line="300"/>
        <w:jc w:val="left"/>
        <w:rPr/>
      </w:pPr>
      <w:r>
        <w:rPr/>
      </w:r>
    </w:p>
    <w:p>
      <w:pPr>
        <w:pStyle w:val="TextBody"/>
        <w:bidi w:val="0"/>
        <w:spacing w:before="0" w:after="283"/>
        <w:jc w:val="left"/>
        <w:rPr/>
      </w:pPr>
      <w:r>
        <w:rPr>
          <w:rStyle w:val="StrongEmphasis"/>
          <w:rFonts w:ascii="Times New Roman;Times;serif" w:hAnsi="Times New Roman;Times;serif"/>
          <w:sz w:val="20"/>
        </w:rPr>
        <w:t>NOTE 11: TAXES ON INCOME (Cont.)</w:t>
      </w:r>
      <w:r>
        <w:rPr>
          <w:sz w:val="20"/>
        </w:rPr>
        <w:t xml:space="preserve"> </w:t>
      </w:r>
    </w:p>
    <w:p>
      <w:pPr>
        <w:pStyle w:val="TextBody"/>
        <w:bidi w:val="0"/>
        <w:spacing w:before="0" w:after="0"/>
        <w:ind w:left="0" w:right="0" w:hanging="0"/>
        <w:jc w:val="left"/>
        <w:rPr/>
      </w:pPr>
      <w:r>
        <w:rPr/>
        <w:t> </w:t>
      </w:r>
    </w:p>
    <w:tbl>
      <w:tblPr>
        <w:tblW w:w="2350" w:type="dxa"/>
        <w:jc w:val="left"/>
        <w:tblInd w:w="0" w:type="dxa"/>
        <w:tblLayout w:type="fixed"/>
        <w:tblCellMar>
          <w:top w:w="0" w:type="dxa"/>
          <w:left w:w="0" w:type="dxa"/>
          <w:bottom w:w="0" w:type="dxa"/>
          <w:right w:w="0" w:type="dxa"/>
        </w:tblCellMar>
      </w:tblPr>
      <w:tblGrid>
        <w:gridCol w:w="185"/>
        <w:gridCol w:w="216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216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Unrecognized tax benefits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Consistent with the provisions of ASC 740, Income Taxes,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following table shows the changes in the gross amount of unrecognized tax benefits as of December 31, 2023, 2022 and 2021:</w:t>
      </w:r>
    </w:p>
    <w:p>
      <w:pPr>
        <w:pStyle w:val="TextBody"/>
        <w:bidi w:val="0"/>
        <w:spacing w:lineRule="auto" w:line="300" w:before="0" w:after="0"/>
        <w:jc w:val="left"/>
        <w:rPr/>
      </w:pPr>
      <w:r>
        <w:rPr/>
        <w:t> </w:t>
      </w:r>
    </w:p>
    <w:tbl>
      <w:tblPr>
        <w:tblW w:w="5130" w:type="dxa"/>
        <w:jc w:val="left"/>
        <w:tblInd w:w="540" w:type="dxa"/>
        <w:tblLayout w:type="fixed"/>
        <w:tblCellMar>
          <w:top w:w="0" w:type="dxa"/>
          <w:left w:w="0" w:type="dxa"/>
          <w:bottom w:w="0" w:type="dxa"/>
          <w:right w:w="0" w:type="dxa"/>
        </w:tblCellMar>
      </w:tblPr>
      <w:tblGrid>
        <w:gridCol w:w="3800"/>
        <w:gridCol w:w="60"/>
        <w:gridCol w:w="243"/>
        <w:gridCol w:w="947"/>
        <w:gridCol w:w="80"/>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Unrecognized</w:t>
            </w:r>
          </w:p>
          <w:p>
            <w:pPr>
              <w:pStyle w:val="TableContents"/>
              <w:bidi w:val="0"/>
              <w:spacing w:lineRule="auto" w:line="300" w:before="0" w:after="0"/>
              <w:ind w:left="0" w:right="0" w:firstLine="20"/>
              <w:jc w:val="center"/>
              <w:rPr>
                <w:rFonts w:ascii="Times New Roman;Times;serif" w:hAnsi="Times New Roman;Times;serif"/>
                <w:b/>
                <w:sz w:val="20"/>
              </w:rPr>
            </w:pPr>
            <w:r>
              <w:rPr>
                <w:rFonts w:ascii="Times New Roman;Times;serif" w:hAnsi="Times New Roman;Times;serif"/>
                <w:b/>
                <w:sz w:val="20"/>
              </w:rPr>
              <w:t>Tax Benefits</w:t>
            </w:r>
          </w:p>
        </w:tc>
        <w:tc>
          <w:tcPr>
            <w:tcW w:w="8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lineRule="auto" w:line="300" w:before="0" w:after="0"/>
              <w:ind w:left="604" w:right="0" w:hanging="425"/>
              <w:jc w:val="left"/>
              <w:rPr>
                <w:rFonts w:ascii="Times New Roman;Times;serif" w:hAnsi="Times New Roman;Times;serif"/>
                <w:sz w:val="20"/>
              </w:rPr>
            </w:pPr>
            <w:r>
              <w:rPr>
                <w:rFonts w:ascii="Times New Roman;Times;serif" w:hAnsi="Times New Roman;Times;serif"/>
                <w:sz w:val="20"/>
              </w:rPr>
              <w:t>Balance - December 31, 2020</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1,709</w:t>
            </w:r>
          </w:p>
        </w:tc>
        <w:tc>
          <w:tcPr>
            <w:tcW w:w="8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lineRule="auto" w:line="300" w:before="0" w:after="0"/>
              <w:ind w:left="604" w:right="0" w:hanging="0"/>
              <w:jc w:val="left"/>
              <w:rPr>
                <w:rFonts w:ascii="Times New Roman;Times;serif" w:hAnsi="Times New Roman;Times;serif"/>
                <w:sz w:val="20"/>
              </w:rPr>
            </w:pPr>
            <w:r>
              <w:rPr>
                <w:rFonts w:ascii="Times New Roman;Times;serif" w:hAnsi="Times New Roman;Times;serif"/>
                <w:sz w:val="20"/>
              </w:rPr>
              <w:t>Increases related to prior years’ tax positions</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175</w:t>
            </w:r>
          </w:p>
        </w:tc>
        <w:tc>
          <w:tcPr>
            <w:tcW w:w="8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lineRule="auto" w:line="300" w:before="0" w:after="0"/>
              <w:ind w:left="604" w:right="0" w:hanging="0"/>
              <w:jc w:val="left"/>
              <w:rPr>
                <w:rFonts w:ascii="Times New Roman;Times;serif" w:hAnsi="Times New Roman;Times;serif"/>
                <w:sz w:val="20"/>
              </w:rPr>
            </w:pPr>
            <w:r>
              <w:rPr>
                <w:rFonts w:ascii="Times New Roman;Times;serif" w:hAnsi="Times New Roman;Times;serif"/>
                <w:sz w:val="20"/>
              </w:rPr>
              <w:t>Increases related to current years’ tax positions</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2,984</w:t>
            </w:r>
          </w:p>
        </w:tc>
        <w:tc>
          <w:tcPr>
            <w:tcW w:w="8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lineRule="auto" w:line="300" w:before="0" w:after="0"/>
              <w:ind w:left="604" w:right="0" w:hanging="425"/>
              <w:jc w:val="left"/>
              <w:rPr>
                <w:rFonts w:ascii="Times New Roman;Times;serif" w:hAnsi="Times New Roman;Times;serif"/>
                <w:sz w:val="20"/>
              </w:rPr>
            </w:pPr>
            <w:r>
              <w:rPr>
                <w:rFonts w:ascii="Times New Roman;Times;serif" w:hAnsi="Times New Roman;Times;serif"/>
                <w:sz w:val="20"/>
              </w:rPr>
              <w:t>Balance - December 31, 2021</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4,868</w:t>
            </w:r>
          </w:p>
        </w:tc>
        <w:tc>
          <w:tcPr>
            <w:tcW w:w="8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lineRule="auto" w:line="300" w:before="0" w:after="0"/>
              <w:ind w:left="604" w:right="0" w:hanging="0"/>
              <w:jc w:val="left"/>
              <w:rPr>
                <w:rFonts w:ascii="Times New Roman;Times;serif" w:hAnsi="Times New Roman;Times;serif"/>
                <w:sz w:val="20"/>
              </w:rPr>
            </w:pPr>
            <w:r>
              <w:rPr>
                <w:rFonts w:ascii="Times New Roman;Times;serif" w:hAnsi="Times New Roman;Times;serif"/>
                <w:sz w:val="20"/>
              </w:rPr>
              <w:t>Decrease related to prior years’ tax positions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(287</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800" w:type="dxa"/>
            <w:tcBorders/>
            <w:vAlign w:val="center"/>
          </w:tcPr>
          <w:p>
            <w:pPr>
              <w:pStyle w:val="TableContents"/>
              <w:bidi w:val="0"/>
              <w:spacing w:lineRule="auto" w:line="300" w:before="0" w:after="0"/>
              <w:ind w:left="604" w:right="0" w:hanging="0"/>
              <w:jc w:val="left"/>
              <w:rPr>
                <w:rFonts w:ascii="Times New Roman;Times;serif" w:hAnsi="Times New Roman;Times;serif"/>
                <w:sz w:val="20"/>
              </w:rPr>
            </w:pPr>
            <w:r>
              <w:rPr>
                <w:rFonts w:ascii="Times New Roman;Times;serif" w:hAnsi="Times New Roman;Times;serif"/>
                <w:sz w:val="20"/>
              </w:rPr>
              <w:t>Increases related to current years’ tax positions</w:t>
            </w:r>
          </w:p>
        </w:tc>
        <w:tc>
          <w:tcPr>
            <w:tcW w:w="60"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94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1,635</w:t>
            </w:r>
          </w:p>
        </w:tc>
        <w:tc>
          <w:tcPr>
            <w:tcW w:w="8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lineRule="auto" w:line="300" w:before="0" w:after="0"/>
              <w:ind w:left="604" w:right="0" w:hanging="425"/>
              <w:jc w:val="left"/>
              <w:rPr>
                <w:rFonts w:ascii="Times New Roman;Times;serif" w:hAnsi="Times New Roman;Times;serif"/>
                <w:sz w:val="20"/>
              </w:rPr>
            </w:pPr>
            <w:r>
              <w:rPr>
                <w:rFonts w:ascii="Times New Roman;Times;serif" w:hAnsi="Times New Roman;Times;serif"/>
                <w:sz w:val="20"/>
              </w:rPr>
              <w:t>Balance - December 31, 2022</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6,216</w:t>
            </w:r>
          </w:p>
        </w:tc>
        <w:tc>
          <w:tcPr>
            <w:tcW w:w="8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lineRule="auto" w:line="300" w:before="0" w:after="0"/>
              <w:ind w:left="604" w:right="0" w:hanging="0"/>
              <w:jc w:val="left"/>
              <w:rPr>
                <w:rFonts w:ascii="Times New Roman;Times;serif" w:hAnsi="Times New Roman;Times;serif"/>
                <w:sz w:val="20"/>
              </w:rPr>
            </w:pPr>
            <w:r>
              <w:rPr>
                <w:rFonts w:ascii="Times New Roman;Times;serif" w:hAnsi="Times New Roman;Times;serif"/>
                <w:sz w:val="20"/>
              </w:rPr>
              <w:t>Increase related to prior years’ tax positions</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w:t>
            </w:r>
          </w:p>
        </w:tc>
        <w:tc>
          <w:tcPr>
            <w:tcW w:w="8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lineRule="auto" w:line="300" w:before="0" w:after="0"/>
              <w:ind w:left="604" w:right="0" w:hanging="0"/>
              <w:jc w:val="left"/>
              <w:rPr>
                <w:rFonts w:ascii="Times New Roman;Times;serif" w:hAnsi="Times New Roman;Times;serif"/>
                <w:sz w:val="20"/>
              </w:rPr>
            </w:pPr>
            <w:r>
              <w:rPr>
                <w:rFonts w:ascii="Times New Roman;Times;serif" w:hAnsi="Times New Roman;Times;serif"/>
                <w:sz w:val="20"/>
              </w:rPr>
              <w:t>Increases related to current years’ tax positions</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317</w:t>
            </w:r>
          </w:p>
        </w:tc>
        <w:tc>
          <w:tcPr>
            <w:tcW w:w="8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lineRule="auto" w:line="300" w:before="0" w:after="0"/>
              <w:ind w:left="604" w:right="0" w:hanging="425"/>
              <w:jc w:val="left"/>
              <w:rPr>
                <w:rFonts w:ascii="Times New Roman;Times;serif" w:hAnsi="Times New Roman;Times;serif"/>
                <w:sz w:val="20"/>
              </w:rPr>
            </w:pPr>
            <w:r>
              <w:rPr>
                <w:rFonts w:ascii="Times New Roman;Times;serif" w:hAnsi="Times New Roman;Times;serif"/>
                <w:sz w:val="20"/>
              </w:rPr>
              <w:t>Balance - December 31, 2023</w:t>
            </w:r>
          </w:p>
        </w:tc>
        <w:tc>
          <w:tcPr>
            <w:tcW w:w="60" w:type="dxa"/>
            <w:tcBorders/>
            <w:vAlign w:val="center"/>
          </w:tcPr>
          <w:p>
            <w:pPr>
              <w:pStyle w:val="TableContents"/>
              <w:bidi w:val="0"/>
              <w:spacing w:before="0" w:after="283"/>
              <w:jc w:val="left"/>
              <w:rPr/>
            </w:pPr>
            <w:r>
              <w:rPr/>
              <w:t> </w:t>
            </w:r>
          </w:p>
        </w:tc>
        <w:tc>
          <w:tcPr>
            <w:tcW w:w="243"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47"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6,543</w:t>
            </w:r>
          </w:p>
        </w:tc>
        <w:tc>
          <w:tcPr>
            <w:tcW w:w="80" w:type="dxa"/>
            <w:tcBorders/>
            <w:vAlign w:val="center"/>
          </w:tcPr>
          <w:p>
            <w:pPr>
              <w:pStyle w:val="TableContents"/>
              <w:bidi w:val="0"/>
              <w:spacing w:before="0" w:after="283"/>
              <w:jc w:val="left"/>
              <w:rPr/>
            </w:pPr>
            <w:r>
              <w:rPr/>
              <w:t> </w:t>
            </w:r>
          </w:p>
        </w:tc>
      </w:tr>
    </w:tbl>
    <w:p>
      <w:pPr>
        <w:pStyle w:val="TextBody"/>
        <w:bidi w:val="0"/>
        <w:spacing w:lineRule="auto" w:line="300" w:before="0" w:after="0"/>
        <w:ind w:left="540" w:right="0" w:hanging="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As of December 31, 2023, the total amount of gross unrecognized tax benefits that would favorably impact the Company’s effective tax rate, if recognized, was $6,185. The remaining amount of $358 would be offset by the reversal of related deferred tax assets which are subject to a full valuation allowance.</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Company recognizes interest and penalties related to unrecognized tax benefits as income tax expense. As of December 31, 2023, the Company has accumulated $445 in both interest and penalties related to uncertain tax positions.</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Although the Company believes that it has adequately provided for any reasonably foreseeable outcomes related to tax audits and settlement, there is no assurance that the final tax outcome of its tax audits will not be different from that which is reflected in the Company’s income tax provisions.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12: REPORTING SEGMENTS AND GEOGRAPHIC INFORMATION</w:t>
      </w:r>
    </w:p>
    <w:p>
      <w:pPr>
        <w:pStyle w:val="TextBody"/>
        <w:bidi w:val="0"/>
        <w:spacing w:lineRule="auto" w:line="300" w:before="0" w:after="0"/>
        <w:jc w:val="left"/>
        <w:rPr/>
      </w:pPr>
      <w:r>
        <w:rPr/>
        <w:t> </w:t>
      </w:r>
    </w:p>
    <w:tbl>
      <w:tblPr>
        <w:tblW w:w="1810" w:type="dxa"/>
        <w:jc w:val="left"/>
        <w:tblInd w:w="0" w:type="dxa"/>
        <w:tblLayout w:type="fixed"/>
        <w:tblCellMar>
          <w:top w:w="0" w:type="dxa"/>
          <w:left w:w="0" w:type="dxa"/>
          <w:bottom w:w="0" w:type="dxa"/>
          <w:right w:w="0" w:type="dxa"/>
        </w:tblCellMar>
      </w:tblPr>
      <w:tblGrid>
        <w:gridCol w:w="170"/>
        <w:gridCol w:w="164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6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Operating segments</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Company operates as one operating segment. Operating segments are defined as components of an enterprise for which separate financial information is available and evaluated regularly by the chief operating decision maker, which is the Company’s chief executive officer, in deciding how to make operating decisions, allocate resources and assess performance. The Company’s chief operating decision maker allocates resources and assesses performance at the consolidated level.</w:t>
      </w:r>
    </w:p>
    <w:p>
      <w:pPr>
        <w:pStyle w:val="TextBody"/>
        <w:bidi w:val="0"/>
        <w:spacing w:lineRule="auto" w:line="300" w:before="0" w:after="0"/>
        <w:jc w:val="left"/>
        <w:rPr/>
      </w:pPr>
      <w:r>
        <w:rPr/>
        <w:t> </w:t>
      </w:r>
    </w:p>
    <w:tbl>
      <w:tblPr>
        <w:tblW w:w="2320" w:type="dxa"/>
        <w:jc w:val="left"/>
        <w:tblInd w:w="0" w:type="dxa"/>
        <w:tblLayout w:type="fixed"/>
        <w:tblCellMar>
          <w:top w:w="0" w:type="dxa"/>
          <w:left w:w="0" w:type="dxa"/>
          <w:bottom w:w="0" w:type="dxa"/>
          <w:right w:w="0" w:type="dxa"/>
        </w:tblCellMar>
      </w:tblPr>
      <w:tblGrid>
        <w:gridCol w:w="185"/>
        <w:gridCol w:w="213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1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Geographical information</w:t>
            </w:r>
          </w:p>
        </w:tc>
      </w:tr>
    </w:tbl>
    <w:p>
      <w:pPr>
        <w:pStyle w:val="TextBody"/>
        <w:bidi w:val="0"/>
        <w:spacing w:lineRule="auto" w:line="300" w:before="0" w:after="0"/>
        <w:ind w:left="426" w:right="0" w:hanging="0"/>
        <w:jc w:val="both"/>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following table summarizes revenue by region based on the shipping address of customers:</w:t>
      </w:r>
    </w:p>
    <w:p>
      <w:pPr>
        <w:pStyle w:val="TextBody"/>
        <w:bidi w:val="0"/>
        <w:spacing w:lineRule="auto" w:line="300" w:before="0" w:after="0"/>
        <w:ind w:left="426" w:right="0" w:hanging="0"/>
        <w:jc w:val="both"/>
        <w:rPr/>
      </w:pPr>
      <w:r>
        <w:rPr/>
        <w:t> </w:t>
      </w:r>
    </w:p>
    <w:tbl>
      <w:tblPr>
        <w:tblW w:w="3920" w:type="dxa"/>
        <w:jc w:val="left"/>
        <w:tblInd w:w="540" w:type="dxa"/>
        <w:tblLayout w:type="fixed"/>
        <w:tblCellMar>
          <w:top w:w="0" w:type="dxa"/>
          <w:left w:w="0" w:type="dxa"/>
          <w:bottom w:w="0" w:type="dxa"/>
          <w:right w:w="0" w:type="dxa"/>
        </w:tblCellMar>
      </w:tblPr>
      <w:tblGrid>
        <w:gridCol w:w="1100"/>
        <w:gridCol w:w="60"/>
        <w:gridCol w:w="125"/>
        <w:gridCol w:w="695"/>
        <w:gridCol w:w="60"/>
        <w:gridCol w:w="60"/>
        <w:gridCol w:w="125"/>
        <w:gridCol w:w="695"/>
        <w:gridCol w:w="60"/>
        <w:gridCol w:w="60"/>
        <w:gridCol w:w="125"/>
        <w:gridCol w:w="695"/>
        <w:gridCol w:w="60"/>
      </w:tblGrid>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6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6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186,937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172,733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135,291</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Rest of world</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79,518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71,510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56,914</w:t>
            </w:r>
          </w:p>
        </w:tc>
        <w:tc>
          <w:tcPr>
            <w:tcW w:w="6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Israel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1,098</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266,954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245,006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193,303</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F-31</w:t>
      </w:r>
    </w:p>
    <w:p>
      <w:pPr>
        <w:pStyle w:val="HorizontalLine"/>
        <w:bidi w:val="0"/>
        <w:spacing w:lineRule="auto" w:line="300" w:before="200" w:after="200"/>
        <w:jc w:val="left"/>
        <w:rPr/>
      </w:pPr>
      <w:r>
        <w:rPr/>
      </w:r>
    </w:p>
    <w:p>
      <w:pPr>
        <w:pStyle w:val="TextBody"/>
        <w:bidi w:val="0"/>
        <w:spacing w:lineRule="auto" w:line="300" w:before="0" w:after="160"/>
        <w:ind w:left="6" w:right="0" w:hanging="0"/>
        <w:jc w:val="right"/>
        <w:rPr>
          <w:rFonts w:ascii="Times New Roman;Times;serif" w:hAnsi="Times New Roman;Times;serif"/>
          <w:b/>
          <w:sz w:val="20"/>
        </w:rPr>
      </w:pPr>
      <w:r>
        <w:rPr>
          <w:rFonts w:ascii="Times New Roman;Times;serif" w:hAnsi="Times New Roman;Times;serif"/>
          <w:b/>
          <w:sz w:val="20"/>
        </w:rPr>
        <w:t>WALKME LTD. AND ITS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U.S. dollars in thousands (except share and per share data)</w:t>
      </w:r>
    </w:p>
    <w:p>
      <w:pPr>
        <w:pStyle w:val="HorizontalLine"/>
        <w:bidi w:val="0"/>
        <w:spacing w:lineRule="auto" w:line="300" w:before="0" w:after="0"/>
        <w:jc w:val="left"/>
        <w:rPr/>
      </w:pPr>
      <w:r>
        <w:rPr/>
      </w:r>
    </w:p>
    <w:p>
      <w:pPr>
        <w:pStyle w:val="TextBody"/>
        <w:bidi w:val="0"/>
        <w:spacing w:lineRule="auto" w:line="300" w:before="0" w:after="0"/>
        <w:jc w:val="left"/>
        <w:rPr>
          <w:b/>
          <w:sz w:val="20"/>
        </w:rPr>
      </w:pPr>
      <w:r>
        <w:rPr>
          <w:rFonts w:ascii="Times New Roman;Times;serif" w:hAnsi="Times New Roman;Times;serif"/>
          <w:b/>
          <w:sz w:val="20"/>
        </w:rPr>
        <w:t>NOTE 12: REPORTING SEGMENTS AND GEOGRAPHIC INFORMATION (Cont.)</w:t>
      </w:r>
      <w:r>
        <w:rPr>
          <w:b/>
          <w:sz w:val="20"/>
        </w:rPr>
        <w:t xml:space="preserve"> </w:t>
      </w:r>
    </w:p>
    <w:p>
      <w:pPr>
        <w:pStyle w:val="TextBody"/>
        <w:bidi w:val="0"/>
        <w:spacing w:lineRule="auto" w:line="300" w:before="0" w:after="0"/>
        <w:ind w:left="0" w:right="0" w:hanging="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Other than the United States, no other individual country accounted for 10% or more of total revenue for the years ended December 31, 2023, 2022 and 2021.</w:t>
      </w:r>
    </w:p>
    <w:p>
      <w:pPr>
        <w:pStyle w:val="TextBody"/>
        <w:bidi w:val="0"/>
        <w:spacing w:lineRule="auto" w:line="300" w:before="0" w:after="0"/>
        <w:jc w:val="left"/>
        <w:rPr/>
      </w:pPr>
      <w:r>
        <w:rPr/>
        <w:t> </w:t>
      </w:r>
    </w:p>
    <w:p>
      <w:pPr>
        <w:pStyle w:val="TextBody"/>
        <w:bidi w:val="0"/>
        <w:spacing w:lineRule="auto" w:line="300" w:before="0" w:after="0"/>
        <w:ind w:left="426" w:right="0" w:hanging="0"/>
        <w:jc w:val="both"/>
        <w:rPr>
          <w:rFonts w:ascii="Times New Roman;Times;serif" w:hAnsi="Times New Roman;Times;serif"/>
          <w:sz w:val="20"/>
        </w:rPr>
      </w:pPr>
      <w:r>
        <w:rPr>
          <w:rFonts w:ascii="Times New Roman;Times;serif" w:hAnsi="Times New Roman;Times;serif"/>
          <w:sz w:val="20"/>
        </w:rPr>
        <w:t>The following table summarizes long-lived assets, net by region:</w:t>
      </w:r>
    </w:p>
    <w:tbl>
      <w:tblPr>
        <w:tblW w:w="4506" w:type="dxa"/>
        <w:jc w:val="left"/>
        <w:tblInd w:w="540" w:type="dxa"/>
        <w:tblLayout w:type="fixed"/>
        <w:tblCellMar>
          <w:top w:w="0" w:type="dxa"/>
          <w:left w:w="0" w:type="dxa"/>
          <w:bottom w:w="0" w:type="dxa"/>
          <w:right w:w="0" w:type="dxa"/>
        </w:tblCellMar>
      </w:tblPr>
      <w:tblGrid>
        <w:gridCol w:w="2210"/>
        <w:gridCol w:w="60"/>
        <w:gridCol w:w="175"/>
        <w:gridCol w:w="829"/>
        <w:gridCol w:w="84"/>
        <w:gridCol w:w="84"/>
        <w:gridCol w:w="175"/>
        <w:gridCol w:w="829"/>
        <w:gridCol w:w="60"/>
      </w:tblGrid>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6"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60"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00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Israel</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20,221</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11,537</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2,642</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6,800</w:t>
            </w:r>
          </w:p>
        </w:tc>
        <w:tc>
          <w:tcPr>
            <w:tcW w:w="6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Rest of world</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1,201</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1,934</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long-lived assets, net</w:t>
            </w:r>
          </w:p>
        </w:tc>
        <w:tc>
          <w:tcPr>
            <w:tcW w:w="60" w:type="dxa"/>
            <w:tcBorders/>
            <w:vAlign w:val="center"/>
          </w:tcPr>
          <w:p>
            <w:pPr>
              <w:pStyle w:val="TableContents"/>
              <w:bidi w:val="0"/>
              <w:spacing w:before="0" w:after="283"/>
              <w:jc w:val="left"/>
              <w:rPr/>
            </w:pPr>
            <w:r>
              <w:rPr/>
              <w:t> </w:t>
            </w:r>
          </w:p>
        </w:tc>
        <w:tc>
          <w:tcPr>
            <w:tcW w:w="17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24,064</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7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20,271</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540" w:right="0" w:hanging="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13: NET LOSS PER SHARE ATTRIBUTABLE TO ORDINARY SHAREHOLDERS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following table sets forth the computation of basic and diluted net loss per share attributable to ordinary shareholders for the periods presented:</w:t>
      </w:r>
    </w:p>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6545"/>
        <w:gridCol w:w="60"/>
        <w:gridCol w:w="125"/>
        <w:gridCol w:w="950"/>
        <w:gridCol w:w="80"/>
        <w:gridCol w:w="60"/>
        <w:gridCol w:w="125"/>
        <w:gridCol w:w="950"/>
        <w:gridCol w:w="80"/>
        <w:gridCol w:w="60"/>
        <w:gridCol w:w="125"/>
        <w:gridCol w:w="950"/>
        <w:gridCol w:w="95"/>
      </w:tblGrid>
      <w:tr>
        <w:trPr/>
        <w:tc>
          <w:tcPr>
            <w:tcW w:w="6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95"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Numerator:</w:t>
            </w:r>
          </w:p>
        </w:tc>
        <w:tc>
          <w:tcPr>
            <w:tcW w:w="60" w:type="dxa"/>
            <w:tcBorders/>
            <w:shd w:fill="CCEEFF" w:val="clear"/>
            <w:vAlign w:val="center"/>
          </w:tcPr>
          <w:p>
            <w:pPr>
              <w:pStyle w:val="TableContents"/>
              <w:bidi w:val="0"/>
              <w:spacing w:before="0" w:after="283"/>
              <w:jc w:val="left"/>
              <w:rPr/>
            </w:pPr>
            <w:r>
              <w:rPr/>
              <w:t> </w:t>
            </w:r>
          </w:p>
        </w:tc>
        <w:tc>
          <w:tcPr>
            <w:tcW w:w="107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(56,753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(108,350</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(80,293</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545" w:type="dxa"/>
            <w:tcBorders/>
            <w:shd w:fill="CCEEFF" w:val="clear"/>
            <w:vAlign w:val="center"/>
          </w:tcPr>
          <w:p>
            <w:pPr>
              <w:pStyle w:val="TableContents"/>
              <w:bidi w:val="0"/>
              <w:spacing w:lineRule="auto" w:line="300" w:before="0" w:after="0"/>
              <w:ind w:left="390" w:right="0" w:hanging="150"/>
              <w:jc w:val="left"/>
              <w:rPr>
                <w:rFonts w:ascii="Times New Roman;Times;serif" w:hAnsi="Times New Roman;Times;serif"/>
                <w:sz w:val="20"/>
              </w:rPr>
            </w:pPr>
            <w:r>
              <w:rPr>
                <w:rFonts w:ascii="Times New Roman;Times;serif" w:hAnsi="Times New Roman;Times;serif"/>
                <w:sz w:val="20"/>
              </w:rPr>
              <w:t>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(266</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(743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(1,169</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545" w:type="dxa"/>
            <w:tcBorders/>
            <w:vAlign w:val="center"/>
          </w:tcPr>
          <w:p>
            <w:pPr>
              <w:pStyle w:val="TableContents"/>
              <w:bidi w:val="0"/>
              <w:spacing w:lineRule="auto" w:line="300" w:before="0" w:after="0"/>
              <w:ind w:left="227" w:right="0" w:hanging="0"/>
              <w:jc w:val="left"/>
              <w:rPr>
                <w:rFonts w:ascii="Times New Roman;Times;serif" w:hAnsi="Times New Roman;Times;serif"/>
                <w:sz w:val="20"/>
              </w:rPr>
            </w:pPr>
            <w:r>
              <w:rPr>
                <w:rFonts w:ascii="Times New Roman;Times;serif" w:hAnsi="Times New Roman;Times;serif"/>
                <w:sz w:val="20"/>
              </w:rPr>
              <w:t>Adjustment attributable to non-controlling interest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2,649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(14,979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16,689</w:t>
            </w:r>
          </w:p>
        </w:tc>
        <w:tc>
          <w:tcPr>
            <w:tcW w:w="95"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 attributable to WalkMe Ltd.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(59,136</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(92,628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(95,813</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54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Denominator:</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Weighted-average shares used in computing net loss per share attributable to ordinary shareholders,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88,912,397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85,116,424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51,763,032</w:t>
            </w:r>
          </w:p>
        </w:tc>
        <w:tc>
          <w:tcPr>
            <w:tcW w:w="95"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 per share attributable to ordinary shareholders, basic and diluted</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(0.67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(1.85</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potential shares of ordinary shares that were excluded from the computation of diluted net loss per share attributable to ordinary shareholders for the periods presented because including them would have been anti-dilutive are as follows:</w:t>
      </w:r>
    </w:p>
    <w:p>
      <w:pPr>
        <w:pStyle w:val="TextBody"/>
        <w:bidi w:val="0"/>
        <w:spacing w:lineRule="auto" w:line="300" w:before="0" w:after="0"/>
        <w:jc w:val="left"/>
        <w:rPr/>
      </w:pPr>
      <w:r>
        <w:rPr/>
        <w:t> </w:t>
      </w:r>
    </w:p>
    <w:tbl>
      <w:tblPr>
        <w:tblW w:w="8645" w:type="dxa"/>
        <w:jc w:val="left"/>
        <w:tblInd w:w="0" w:type="dxa"/>
        <w:tblLayout w:type="fixed"/>
        <w:tblCellMar>
          <w:top w:w="0" w:type="dxa"/>
          <w:left w:w="0" w:type="dxa"/>
          <w:bottom w:w="0" w:type="dxa"/>
          <w:right w:w="0" w:type="dxa"/>
        </w:tblCellMar>
      </w:tblPr>
      <w:tblGrid>
        <w:gridCol w:w="5240"/>
        <w:gridCol w:w="60"/>
        <w:gridCol w:w="60"/>
        <w:gridCol w:w="950"/>
        <w:gridCol w:w="60"/>
        <w:gridCol w:w="60"/>
        <w:gridCol w:w="60"/>
        <w:gridCol w:w="950"/>
        <w:gridCol w:w="60"/>
        <w:gridCol w:w="60"/>
        <w:gridCol w:w="60"/>
        <w:gridCol w:w="950"/>
        <w:gridCol w:w="75"/>
      </w:tblGrid>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75"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Convertible preferred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26,972,186</w:t>
            </w:r>
          </w:p>
        </w:tc>
        <w:tc>
          <w:tcPr>
            <w:tcW w:w="75"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RSU’s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7,141,801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5,759,365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732,157</w:t>
            </w:r>
          </w:p>
        </w:tc>
        <w:tc>
          <w:tcPr>
            <w:tcW w:w="75"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Outstanding share options and share purchase rights under ESPP</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11,991,061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13,676,853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14,143,816</w:t>
            </w:r>
          </w:p>
        </w:tc>
        <w:tc>
          <w:tcPr>
            <w:tcW w:w="75"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9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19,132,862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9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19,436,218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9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41,848,159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0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HorizontalLine"/>
        <w:pBdr>
          <w:bottom w:val="double" w:sz="2" w:space="0" w:color="808080"/>
        </w:pBdr>
        <w:bidi w:val="0"/>
        <w:spacing w:before="0" w:after="283"/>
        <w:jc w:val="left"/>
        <w:rPr/>
      </w:pPr>
      <w:r>
        <w:rPr/>
      </w:r>
    </w:p>
    <w:p>
      <w:pPr>
        <w:pStyle w:val="TextBody"/>
        <w:bidi w:val="0"/>
        <w:spacing w:lineRule="auto" w:line="300"/>
        <w:jc w:val="left"/>
        <w:rPr/>
      </w:pPr>
      <w:r>
        <w:rPr/>
        <w:t> </w:t>
      </w:r>
    </w:p>
    <w:p>
      <w:pPr>
        <w:pStyle w:val="HorizontalLine"/>
        <w:bidi w:val="0"/>
        <w:jc w:val="left"/>
        <w:rPr/>
      </w:pPr>
      <w:r>
        <w:rPr/>
      </w:r>
      <w:bookmarkStart w:id="358" w:name="exhibit_2-1.htm"/>
      <w:bookmarkStart w:id="359" w:name="ksexhibit_21"/>
      <w:bookmarkStart w:id="360" w:name="exhibit_2-1.htm"/>
      <w:bookmarkStart w:id="361" w:name="ksexhibit_21"/>
      <w:bookmarkEnd w:id="360"/>
      <w:bookmarkEnd w:id="361"/>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2.1</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DESCRIPTION OF THE REGISTRANT’S SECURITIES</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REGISTERED PURSUANT TO SECTION 12 OF THE</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SECURITIES EXCHANGE ACT OF 1934, AS AMENDED</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As of December 31, 2023, WalkMe Ltd. had one class of securities registered under Section 12 of the Securities Exchange Act of 1934, as amended: our ordinary shares. References herein to “we,” “us,” “our” and the “Company” refer to WalkMe Ltd. and not to any of its subsidiaries. The following description may not contain all of the information that is important to you, and we therefore refer you to our amended and restated articles of association, a copy of which is filed with the Securities and Exchange Commission (“SEC”) as an exhibit to this annual report on Form 20-F.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Share capital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Our authorized share capital consists of 900,000,000 ordinary shares, no par value.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All of our outstanding ordinary shares are validly issued, fully paid and non-assessable. Our ordinary shares are not redeemable and do not have any preemptive rights.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Our board of directors may determine the issue prices and terms for such shares or other securities, and may further determine any other provision relating to such issue of shares or securities. We may also issue and redeem redeemable securities on such terms and in such manner as our board of directors shall determine.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Transfer of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ordinary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Election of directors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Under our amended and restated articles of association, our board of directors must consist of not less than three but no more than ten directors. Pursuant to our amended and restated articles of association, each of our directors is appointed by a simple majority vote of holders of our ordinary shares, participating and voting at an annual general meeting of our shareholders provided that (i) in the event of a contested election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 In addition, our directors are divided into three classes, one class being elected each year at the annual general meeting of our shareholders, and serve on our board of directors until the third annual general meeting following such election or re-election or until they are removed by a vote of 65% of the total voting power of our shareholders at a general meeting of our shareholders or upon the occurrence of certain events in accordance with the Israeli Companies Law, 5759-1999 (the “Companies Law”) and our  amended and restated articles of association. In addition, our amended and restated articles of association provide that vacancies on our board of directors may be filled by a vote of a simple majority of the directors then in office. A director so appointed will hold office until the next annual general meeting of our shareholders for the election of the class of directors in respect of which the vacancy was created, or in the case of a vacancy due to the number of directors being less than the maximum number of directors stated in our amended and restated articles of association, until the next annual general meeting of our shareholders for the election of the class of directors to which such director was assigned by our board of directors.</w:t>
      </w:r>
    </w:p>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Dividend and liquidation rights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Pursuant to the Companies Law, the distribution amount is limited to the greater of retained earnings or earnings generated over the previous two years, according to our then last reviewed or audited financial statements (less the amount of previously distributed dividends, if not reduced from the earnings), provided that the end of the period to which the financial statements relate is not more than six months prior to the date of the distribution. If we do not meet such criteria, then we may distribute dividends only with court approval; as a company listed on an exchange outside of Israel, however, court approval is not required if the proposed distribution is in the form of an equity repurchase, provided that we notify our creditors of the proposed equity repurchase and allow such creditors an opportunity to initiate a court proceeding to review the repurchase. If within 30 days such creditors do not file an objection, then we may proceed with the repurchase without obtaining court approval. In each case, we are only permitted to distribute a dividend if our board of directors and, if applicable, the court determines that there is no reasonable concern that payment of the dividend will prevent us from satisfying our existing and foreseeable obligations as they become due.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Shareholder Meetings</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Under Israeli law, we are required to hold an annual general meeting of our shareholders once every calendar year and no later than 15 months after the date of the previous annual general meeting. All meetings other than the annual general meeting of shareholders are referred to in our amended and restated articles of association as special general meetings. Our board of directors may call special general meetings of our shareholders whenever it sees fit, at such time and place, within or outside of Israel, as it may determine. In addition, the Companies Law provides that our board of directors is required to convene a special general meeting of our shareholders upon the written request of (1) any two or more of our directors, (2) one-quarter or more of the serving members of our board of directors or (3) as a company listed on an exchange in the U.S., one or more shareholders holding, in the aggregate, either (a) 10% or more of our outstanding issued shares and 1% or more of our outstanding voting power or (b) 10% or more of our outstanding voting power.</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Under Israeli law, one or more shareholders holding at least 1% of the voting rights at the general meeting of the shareholders may request that the board of directors include a matter in the agenda of a general meeting of the shareholders to be convened in the future, provided that it is appropriate to discuss such a matter at the general meeting. Notwithstanding the foregoing, as a company listed on an exchange outside of Israel, a matter relating to the appointment or removal of a director may only be requested by one or more shareholders holding at least 5% of the voting rights at the general meeting of the shareholders. Our amended and restated articles of association contain procedural guidelines and disclosure items with respect to the submission of shareholder proposals for general meetings.</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Subject to the provisions of the Companies Law and the regulations promulgated thereunder, shareholders entitled to participate and vote at general meetings of shareholders are the shareholders of record on a date to be decided by the board of directors, which, as a company listed on an exchange outside Israel, may be between four and 60 days prior to the date of the meeting. Furthermore, the Companies Law requires that resolutions regarding the following matters must be passed at a general meeting of shareholders: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62" w:name="zc4679275eb6847588b77ee1db6115ef2"/>
      <w:bookmarkStart w:id="363" w:name="zc4679275eb6847588b77ee1db6115ef2"/>
      <w:bookmarkEnd w:id="363"/>
    </w:p>
    <w:tbl>
      <w:tblPr>
        <w:tblW w:w="4120" w:type="dxa"/>
        <w:jc w:val="left"/>
        <w:tblInd w:w="0" w:type="dxa"/>
        <w:tblLayout w:type="fixed"/>
        <w:tblCellMar>
          <w:top w:w="0" w:type="dxa"/>
          <w:left w:w="0" w:type="dxa"/>
          <w:bottom w:w="0" w:type="dxa"/>
          <w:right w:w="0" w:type="dxa"/>
        </w:tblCellMar>
      </w:tblPr>
      <w:tblGrid>
        <w:gridCol w:w="60"/>
        <w:gridCol w:w="110"/>
        <w:gridCol w:w="39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3950" w:type="dxa"/>
            <w:tcBorders/>
            <w:vAlign w:val="center"/>
          </w:tcPr>
          <w:p>
            <w:pPr>
              <w:pStyle w:val="TableContents"/>
              <w:bidi w:val="0"/>
              <w:spacing w:lineRule="auto" w:line="300" w:before="0" w:after="0"/>
              <w:jc w:val="both"/>
              <w:rPr/>
            </w:pPr>
            <w:r>
              <w:rPr/>
              <w:t>amendments to our articles of association;</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4" w:name="z03d1aca273ea48d68395c886b647f0bd"/>
      <w:bookmarkStart w:id="365" w:name="z03d1aca273ea48d68395c886b647f0bd"/>
      <w:bookmarkEnd w:id="365"/>
    </w:p>
    <w:tbl>
      <w:tblPr>
        <w:tblW w:w="7255" w:type="dxa"/>
        <w:jc w:val="left"/>
        <w:tblInd w:w="0" w:type="dxa"/>
        <w:tblLayout w:type="fixed"/>
        <w:tblCellMar>
          <w:top w:w="0" w:type="dxa"/>
          <w:left w:w="0" w:type="dxa"/>
          <w:bottom w:w="0" w:type="dxa"/>
          <w:right w:w="0" w:type="dxa"/>
        </w:tblCellMar>
      </w:tblPr>
      <w:tblGrid>
        <w:gridCol w:w="75"/>
        <w:gridCol w:w="11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7070" w:type="dxa"/>
            <w:tcBorders/>
            <w:vAlign w:val="center"/>
          </w:tcPr>
          <w:p>
            <w:pPr>
              <w:pStyle w:val="TableContents"/>
              <w:bidi w:val="0"/>
              <w:spacing w:lineRule="auto" w:line="300" w:before="0" w:after="0"/>
              <w:jc w:val="both"/>
              <w:rPr/>
            </w:pPr>
            <w:r>
              <w:rPr/>
              <w:t>appointment, terms of service or and termination of service of our auditors;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6" w:name="z9412e6d049884324baae68ce0cf983ff"/>
      <w:bookmarkStart w:id="367" w:name="z9412e6d049884324baae68ce0cf983ff"/>
      <w:bookmarkEnd w:id="367"/>
    </w:p>
    <w:tbl>
      <w:tblPr>
        <w:tblW w:w="6625" w:type="dxa"/>
        <w:jc w:val="left"/>
        <w:tblInd w:w="0" w:type="dxa"/>
        <w:tblLayout w:type="fixed"/>
        <w:tblCellMar>
          <w:top w:w="0" w:type="dxa"/>
          <w:left w:w="0" w:type="dxa"/>
          <w:bottom w:w="0" w:type="dxa"/>
          <w:right w:w="0" w:type="dxa"/>
        </w:tblCellMar>
      </w:tblPr>
      <w:tblGrid>
        <w:gridCol w:w="75"/>
        <w:gridCol w:w="110"/>
        <w:gridCol w:w="6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6440" w:type="dxa"/>
            <w:tcBorders/>
            <w:vAlign w:val="center"/>
          </w:tcPr>
          <w:p>
            <w:pPr>
              <w:pStyle w:val="TableContents"/>
              <w:bidi w:val="0"/>
              <w:spacing w:lineRule="auto" w:line="300" w:before="0" w:after="0"/>
              <w:jc w:val="both"/>
              <w:rPr/>
            </w:pPr>
            <w:r>
              <w:rPr/>
              <w:t>appointment of directors, including external directors (if applicable);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8" w:name="z65f10588b8364fe991f00e7e821cc485"/>
      <w:bookmarkStart w:id="369" w:name="z65f10588b8364fe991f00e7e821cc485"/>
      <w:bookmarkEnd w:id="369"/>
    </w:p>
    <w:tbl>
      <w:tblPr>
        <w:tblW w:w="4450" w:type="dxa"/>
        <w:jc w:val="left"/>
        <w:tblInd w:w="0" w:type="dxa"/>
        <w:tblLayout w:type="fixed"/>
        <w:tblCellMar>
          <w:top w:w="0" w:type="dxa"/>
          <w:left w:w="0" w:type="dxa"/>
          <w:bottom w:w="0" w:type="dxa"/>
          <w:right w:w="0" w:type="dxa"/>
        </w:tblCellMar>
      </w:tblPr>
      <w:tblGrid>
        <w:gridCol w:w="75"/>
        <w:gridCol w:w="11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4265" w:type="dxa"/>
            <w:tcBorders/>
            <w:vAlign w:val="center"/>
          </w:tcPr>
          <w:p>
            <w:pPr>
              <w:pStyle w:val="TableContents"/>
              <w:bidi w:val="0"/>
              <w:spacing w:lineRule="auto" w:line="300" w:before="0" w:after="0"/>
              <w:jc w:val="both"/>
              <w:rPr/>
            </w:pPr>
            <w:r>
              <w:rPr/>
              <w:t>approval of certain related party transactions;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70" w:name="z880ca9970d07432aa353c607645ef716"/>
      <w:bookmarkStart w:id="371" w:name="z880ca9970d07432aa353c607645ef716"/>
      <w:bookmarkEnd w:id="371"/>
    </w:p>
    <w:tbl>
      <w:tblPr>
        <w:tblW w:w="5335" w:type="dxa"/>
        <w:jc w:val="left"/>
        <w:tblInd w:w="0" w:type="dxa"/>
        <w:tblLayout w:type="fixed"/>
        <w:tblCellMar>
          <w:top w:w="0" w:type="dxa"/>
          <w:left w:w="0" w:type="dxa"/>
          <w:bottom w:w="0" w:type="dxa"/>
          <w:right w:w="0" w:type="dxa"/>
        </w:tblCellMar>
      </w:tblPr>
      <w:tblGrid>
        <w:gridCol w:w="75"/>
        <w:gridCol w:w="110"/>
        <w:gridCol w:w="5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5150" w:type="dxa"/>
            <w:tcBorders/>
            <w:vAlign w:val="center"/>
          </w:tcPr>
          <w:p>
            <w:pPr>
              <w:pStyle w:val="TableContents"/>
              <w:bidi w:val="0"/>
              <w:spacing w:lineRule="auto" w:line="300" w:before="0" w:after="0"/>
              <w:jc w:val="both"/>
              <w:rPr/>
            </w:pPr>
            <w:r>
              <w:rPr/>
              <w:t>increases or reductions of our authorized share capital;</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72" w:name="z16c937b193f648ca9ca57e82b5bcdacd"/>
      <w:bookmarkStart w:id="373" w:name="z16c937b193f648ca9ca57e82b5bcdacd"/>
      <w:bookmarkEnd w:id="373"/>
    </w:p>
    <w:tbl>
      <w:tblPr>
        <w:tblW w:w="1510" w:type="dxa"/>
        <w:jc w:val="left"/>
        <w:tblInd w:w="0" w:type="dxa"/>
        <w:tblLayout w:type="fixed"/>
        <w:tblCellMar>
          <w:top w:w="0" w:type="dxa"/>
          <w:left w:w="0" w:type="dxa"/>
          <w:bottom w:w="0" w:type="dxa"/>
          <w:right w:w="0" w:type="dxa"/>
        </w:tblCellMar>
      </w:tblPr>
      <w:tblGrid>
        <w:gridCol w:w="75"/>
        <w:gridCol w:w="110"/>
        <w:gridCol w:w="1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325" w:type="dxa"/>
            <w:tcBorders/>
            <w:vAlign w:val="center"/>
          </w:tcPr>
          <w:p>
            <w:pPr>
              <w:pStyle w:val="TableContents"/>
              <w:bidi w:val="0"/>
              <w:spacing w:lineRule="auto" w:line="300" w:before="0" w:after="0"/>
              <w:jc w:val="both"/>
              <w:rPr/>
            </w:pPr>
            <w:r>
              <w:rPr/>
              <w:t>a merger;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74" w:name="zde5b396900d345199e1bd58750faf2a2"/>
      <w:bookmarkStart w:id="375" w:name="zde5b396900d345199e1bd58750faf2a2"/>
      <w:bookmarkEnd w:id="375"/>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pPr>
            <w:r>
              <w:rPr/>
              <w:t>the exercise of our board of directors’ powers by a general meeting, if our board of directors is unable to exercise its powers and the exercise of any of its powers is required for our proper management.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or an approval of a merger, notice must be provided at least 35 days prior to the meeting. Under the Companies Law and our amended and restated articles of association, shareholders are not permitted to take action by way of written consent in lieu of a meeting. </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- 2 -</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Voting rights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All ordinary shares have identical voting and other rights in all respects.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Quorum</w:t>
      </w:r>
    </w:p>
    <w:p>
      <w:pPr>
        <w:pStyle w:val="TextBody"/>
        <w:bidi w:val="0"/>
        <w:spacing w:lineRule="auto" w:line="300" w:before="0" w:after="0"/>
        <w:jc w:val="left"/>
        <w:rPr>
          <w:color w:val="000000"/>
        </w:rPr>
      </w:pPr>
      <w:r>
        <w:rPr>
          <w:color w:val="000000"/>
        </w:rPr>
        <w:t> </w:t>
      </w:r>
    </w:p>
    <w:p>
      <w:pPr>
        <w:pStyle w:val="TextBody"/>
        <w:bidi w:val="0"/>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Pursuant to our amended and restated articles of association, holders of our ordinary shares have one vote for each ordinary share held on all matters submitted to a vote before the shareholders at a general meeting of shareholders. The quorum required for our general meetings of shareholders consists of at least two shareholders present in person or by proxy in accordance with the Companies Law who hold or represent at least 331⁄3% of the total outstanding voting power of our shares, except that if (i) any such general meeting was initiated by and convened pursuant to a resolution adopted by the board of directors and (ii) at the time of such general meeting we qualify as to use the forms and rules of a “foreign private issuer,” the requisite quorum will consist of two or more shareholders present in person or by proxy who hold or represent at least 25% of the total outstanding voting power of our shares. The requisite quorum shall be present within half an hour of the time fixed for the commencement of the general meeting. A general meeting adjourned for lack of a quorum shall be adjourned either to the same day in the next week, at the same time and place, to such day and at such time and place as indicated in the notice to such meeting, or to such day and at such time and place as the chairperson of the meeting shall determine.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above.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Vote requirements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Our amended and restated articles of association provide that all resolutions of our shareholders require a simple majority vote, unless otherwise required by the Companies Law or by our amended and restated articles of association. Under the Companies Law, certain actions require the approval of a special majority, including: (i) an extraordinary transaction with a controlling shareholder or in which the controlling shareholder has a personal interest, (ii) the terms of employment or other engagement of a controlling shareholder of the company or a controlling shareholder’s relative (even if such terms are not extraordinary) and (iii) certain compensation-related matters. Under our amended and restated articles of association, the alteration of the rights, privileges, preferences or obligations of any class of our shares (to the extent there are classes other than ordinary shares) requires the approval of a simple majority of the class so affected (or such other percentage of the relevant class that may be set forth in the governing documents relevant to such class), in addition to a majority of all classes of shares voting together as a single class at a shareholder meeting.</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Under our amended and restated articles of association, the approval of the holders of at least 65% of the total voting power of our shareholders is generally required to remove any of our directors from office, to amend the provision requiring the approval of at least 65% of the total voting power of our shareholders to remove any of our directors from office, or certain other provisions regarding our staggered board, shareholder proposals, special approval requirements, the size of our board and plurality voting in contested elections. Another exception to the simple majority vote requirement is a resolution for the voluntary winding up, or an approval of a scheme of arrangement or reorganization, of the company pursuant to Section 350 of the Companies Law, which requires the approval of holders holding at least 75% of the voting rights represented at the meeting and voting on the resolution.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Access to corporate records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Under the Companies Law, all shareholders generally have the right to review minutes of our general meetings, our shareholder register (including with respect to material shareholders), our articles of association, our financial statements, other documents as provided in the Companies Law, and any document we are required by law to file publicly with the Israeli Registrar of Companies or the Israel Securities Authority. Any shareholder who specifies the purpose of its request may request to review any document in our possession that relates to any action or transaction with a related party which requires shareholder approval under the Companies Law. We may deny a request to review a document if we determine that the request was not made in good faith, that the document contains a trade secret or a patent or that the document’s disclosure may otherwise impair our interests.</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- 3 -</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Acquisitions under Israeli law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i/>
          <w:color w:val="000000"/>
          <w:sz w:val="20"/>
        </w:rPr>
        <w:t>Full tender offer.</w:t>
      </w:r>
      <w:r>
        <w:rPr>
          <w:rFonts w:ascii="Times New Roman;Times;serif" w:hAnsi="Times New Roman;Times;serif"/>
          <w:color w:val="000000"/>
          <w:sz w:val="20"/>
        </w:rPr>
        <w:t> A person wishing to acquire shares of a public Israeli company who would, as a result, hold over 90% of the target company’s voting rights or the target company’s issued and outstanding share capital (or of a class thereof), is required by the Companies Law to make a tender offer to all of the company’s shareholders for the purchase of all of the issued and outstanding shares of the company (or the applicable class). If (a) the shareholders who do not accept the offer hold less than 5% of the issued and outstanding share capital of the company (or the applicable class) and the shareholders who accept the offer constitute a majority of the offerees that do not have a personal interest in the acceptance of the tender offer or (b) the shareholders who did not accept the tender offer hold less than 2% of the issued and outstanding share capital of the company (or of the applicable class), all of the shares that the acquirer offered to purchase will be transferred to the acquirer by operation of law. A shareholder who had its shares so transferred may petition an Israeli court within six months from the date of acceptance of the full tender offer, regardless of whether such shareholder agreed to the offer, to determine whether the tender offer was for less than fair value and whether the fair value should be paid as determined by the court. However, an offeror may provide in the offer that a shareholder who accepted the offer will not be entitled to petition the court for appraisal rights as described in the preceding sentence, as long as the offeror and the company disclosed the information required by law in connection with the full tender offer. If the full tender offer was not accepted in accordance with any of the above alternatives, the acquirer may not acquire shares of the company that will increase its holdings to more than 90% of the company’s voting rights or the company’s issued and outstanding share capital (or of the applicable class) from shareholders who accepted the tender offer. Shares purchased in contradiction to the full tender offer rules under the Companies Law will have no rights and will become dormant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i/>
          <w:color w:val="000000"/>
          <w:sz w:val="20"/>
        </w:rPr>
        <w:t>Special tender offer.</w:t>
      </w:r>
      <w:r>
        <w:rPr>
          <w:rFonts w:ascii="Times New Roman;Times;serif" w:hAnsi="Times New Roman;Times;serif"/>
          <w:color w:val="000000"/>
          <w:sz w:val="20"/>
        </w:rPr>
        <w:t> 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25% or more of the voting rights in the company. Similarly, the Companies Law provides that an acquisition of shares of an Israeli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These requirements do not apply if (i) the acquisition occurs in the context of a private placement by the company that received shareholders’ approval as a private placement whose purpose is to give the purchaser 25% or more of the voting rights in the company, if there is no person who holds 25% or more of the voting rights in the company or as a private placement whose purpose is to give the purchaser 45% of the voting rights in the company, if there is no person who holds 45% of the voting rights in the company, (ii) the acquisition was from a shareholder holding 25% or more of the voting rights in the company and resulted in the purchaser becoming a holder of 25% or more of the voting rights in the company, or (iii) the acquisition was from a shareholder holding more than 45% of the voting rights in the company and resulted in the purchaser becoming a holder of more than 45% of the voting rights in the company. A special tender offer must be extended to all shareholders of a company.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its controlling shareholders, holders of 25% or more of the voting rights in the company and any person having a personal interest in the acceptance of the tender offer, or anyone on their behalf, including any such person’s relatives and entities under their control).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 the event that a special tender offer is made, a company’s board of directors is required to express its opinion on the advisability of the offer, or shall abstain from expressing any opinion if it is unable to do so, provided that it gives the reasons for its abstention. The board of directors shall also disclose any personal interest that any of the directors has with respect to the special tender offer or in connection therewith. An office holder in a target company who, in his or her capacity as an office holder, performs an action the purpose of which is to cause the failure of an existing or foreseeable special tender offer or is to impair the chances of its acceptance, is liable to the potential purchaser and shareholders for damages,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- 4 -</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 special tender offer is accepted, then shareholders who did not respond to or that had objected the offer may accept the offer within four days of the last day set for the acceptance of the offer and they will be considered to have accepted the offer from the first day it was made.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 the event that a special tender offer is accepted, then the purchaser or any person or entity controlling it or under common control with the purchaser or such controlling person or entity at the time of the offer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special tender offer rules under the Companies Law will have no rights and will become dormant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i/>
          <w:color w:val="000000"/>
          <w:sz w:val="20"/>
        </w:rPr>
        <w:t>Merger.</w:t>
      </w:r>
      <w:r>
        <w:rPr>
          <w:rFonts w:ascii="Times New Roman;Times;serif" w:hAnsi="Times New Roman;Times;serif"/>
          <w:color w:val="000000"/>
          <w:sz w:val="20"/>
        </w:rPr>
        <w:t> The Companies Law permits merger transactions if approved by each party’s board of directors and, unless certain conditions described under the Companies Law are met, a simple majority of the outstanding shares of each party to the merger that are represented and voting on the merger.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status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For purposes of the shareholder vote of a merging company whose shares are held by the other merging company, or by a person or entity holding 25% or more of the voting rights at the general meeting of shareholders of the other merging company, or by a person or entity holding the right to appoint 25% or more of the directors of the other merging company, unless a court rules otherwise, the merger will not be deemed approved if a majority of the shares voted on the matter at the general meeting of shareholders (excluding abstentions) that are held by shareholders other than the other party to the merger, or by any person or entity who holds 25% or more of the voting rights of the other party or the right to appoint 25% or more of the directors of the other party, or any one on their behalf including their relatives or corporations controlled by any of them, vote against the merger. In addition, if the non-surviving entity of the merger has more than one class of shares, the merger must be approved by each class of shareholders. If the transaction would have 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Under the Companies Law, each merging company must deliver to its secured creditors the merger proposal and inform its unsecured creditors of the merger proposal and its content. Upon the request of a creditor of either party to the proposed merger, the court may delay or prevent the merger if it concludes that there exists a reasonable concern that, as a result of the merger, the surviving company will be unable to satisfy the obligations of the merging company, and may further give instructions to secure the rights of creditors.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 addition, a merger may not be completed unless at least 50 days have passed from the date that a proposal for approval of the merger is filed with the Israeli Registrar of Companies and 30 days from the date that shareholder approval of both merging companies is obtained.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Anti-takeover measures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attached to our issued and outstanding shares at a general meeting of shareholders. The convening of the meeting, the shareholders entitled to participate and the vote required to be obtained at such a meeting will be subject to the requirements set forth in the Companies Law and our amended and restated articles of association. In addition, as disclosed under “—Election of Directors,” we have a classified board structure, which effectively limits the ability of any investor or potential investor or group of investors or potential investors to gain control of our board of directors.</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- 5 -</w:t>
      </w:r>
    </w:p>
    <w:p>
      <w:pPr>
        <w:pStyle w:val="HorizontalLine"/>
        <w:pBdr>
          <w:bottom w:val="single" w:sz="12" w:space="0" w:color="808080"/>
        </w:pBdr>
        <w:bidi w:val="0"/>
        <w:spacing w:lineRule="auto" w:line="300" w:before="200" w:after="20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Borrowing Powers</w:t>
      </w:r>
      <w:r>
        <w:rPr>
          <w:rFonts w:ascii="Times New Roman;Times;serif" w:hAnsi="Times New Roman;Times;serif"/>
          <w:color w:val="000000"/>
          <w:sz w:val="20"/>
        </w:rPr>
        <w:t xml:space="preserve">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Pursuant to the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Changes in capital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Our amended and restated articles of association enable us to increase or reduce our share capital. Any such changes are subject to Israeli law and must be approved by a resolution duly passed by our shareholders at a general meeting of shareholders. In addition, transactions that have the effect of reducing capital, such as the declaration and payment of dividends in the absence of sufficient retained earnings or profits, require the approval of both our board of directors and an Israeli court.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Transfer agent and registrar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The transfer agent and registrar for our ordinary shares is American Stock Transfer &amp; Trust Company, LLC. Its address is 6201 15th Avenue, Brooklyn, New York, 11219, and its telephone number is (800) 937-5449.</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Listing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Our ordinary shares have been approved for listing on the Nasdaq Global Select Market under the symbol “WKME.”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 xml:space="preserve">- 6 - </w:t>
      </w:r>
    </w:p>
    <w:p>
      <w:pPr>
        <w:pStyle w:val="HorizontalLine"/>
        <w:bidi w:val="0"/>
        <w:spacing w:lineRule="auto" w:line="300"/>
        <w:jc w:val="center"/>
        <w:rPr/>
      </w:pPr>
      <w:r>
        <w:rPr/>
      </w:r>
    </w:p>
    <w:p>
      <w:pPr>
        <w:pStyle w:val="HorizontalLine"/>
        <w:bidi w:val="0"/>
        <w:jc w:val="left"/>
        <w:rPr/>
      </w:pPr>
      <w:r>
        <w:rPr/>
      </w:r>
      <w:bookmarkStart w:id="376" w:name="exhibit_12-1.htm"/>
      <w:bookmarkStart w:id="377" w:name="ksexhibit_121"/>
      <w:bookmarkStart w:id="378" w:name="exhibit_12-1.htm"/>
      <w:bookmarkStart w:id="379" w:name="ksexhibit_121"/>
      <w:bookmarkEnd w:id="378"/>
      <w:bookmarkEnd w:id="379"/>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12.1</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w:t>
      </w:r>
    </w:p>
    <w:p>
      <w:pPr>
        <w:pStyle w:val="TextBody"/>
        <w:bidi w:val="0"/>
        <w:spacing w:lineRule="auto" w:line="300" w:before="0" w:after="0"/>
        <w:jc w:val="center"/>
        <w:rPr>
          <w:b/>
        </w:rPr>
      </w:pPr>
      <w:r>
        <w:rPr>
          <w:b/>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 Dan Adika, Chief Executive Officer, certify that:</w:t>
      </w:r>
    </w:p>
    <w:p>
      <w:pPr>
        <w:pStyle w:val="Normal"/>
        <w:bidi w:val="0"/>
        <w:spacing w:before="0" w:after="0"/>
        <w:jc w:val="left"/>
        <w:rPr>
          <w:sz w:val="4"/>
          <w:szCs w:val="4"/>
        </w:rPr>
      </w:pPr>
      <w:r>
        <w:rPr>
          <w:sz w:val="4"/>
          <w:szCs w:val="4"/>
        </w:rPr>
      </w:r>
      <w:bookmarkStart w:id="380" w:name="zc41faa1247784b84962880b1e17e2d68"/>
      <w:bookmarkStart w:id="381" w:name="zc41faa1247784b84962880b1e17e2d68"/>
      <w:bookmarkEnd w:id="381"/>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lineRule="auto" w:line="300" w:before="0" w:after="0"/>
              <w:jc w:val="left"/>
              <w:rPr/>
            </w:pPr>
            <w:r>
              <w:rPr/>
              <w:t>1.</w:t>
            </w:r>
          </w:p>
        </w:tc>
        <w:tc>
          <w:tcPr>
            <w:tcW w:w="10048" w:type="dxa"/>
            <w:tcBorders/>
            <w:vAlign w:val="center"/>
          </w:tcPr>
          <w:p>
            <w:pPr>
              <w:pStyle w:val="TableContents"/>
              <w:bidi w:val="0"/>
              <w:spacing w:lineRule="auto" w:line="300" w:before="0" w:after="0"/>
              <w:jc w:val="left"/>
              <w:rPr/>
            </w:pPr>
            <w:r>
              <w:rPr/>
              <w:t>I have reviewed this Annual Report on Form 20-F of WalkMe Ltd.;</w:t>
            </w:r>
          </w:p>
        </w:tc>
      </w:tr>
      <w:tr>
        <w:trPr/>
        <w:tc>
          <w:tcPr>
            <w:tcW w:w="157" w:type="dxa"/>
            <w:tcBorders/>
            <w:vAlign w:val="center"/>
          </w:tcPr>
          <w:p>
            <w:pPr>
              <w:pStyle w:val="TableContents"/>
              <w:bidi w:val="0"/>
              <w:spacing w:lineRule="auto" w:line="300" w:before="0" w:after="0"/>
              <w:jc w:val="left"/>
              <w:rPr/>
            </w:pPr>
            <w:r>
              <w:rPr/>
              <w:t>2.</w:t>
            </w:r>
          </w:p>
        </w:tc>
        <w:tc>
          <w:tcPr>
            <w:tcW w:w="10048" w:type="dxa"/>
            <w:tcBorders/>
            <w:vAlign w:val="center"/>
          </w:tcPr>
          <w:p>
            <w:pPr>
              <w:pStyle w:val="TableContents"/>
              <w:bidi w:val="0"/>
              <w:spacing w:lineRule="auto" w:line="300"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7" w:type="dxa"/>
            <w:tcBorders/>
            <w:vAlign w:val="center"/>
          </w:tcPr>
          <w:p>
            <w:pPr>
              <w:pStyle w:val="TableContents"/>
              <w:bidi w:val="0"/>
              <w:spacing w:lineRule="auto" w:line="300" w:before="0" w:after="0"/>
              <w:jc w:val="left"/>
              <w:rPr/>
            </w:pPr>
            <w:r>
              <w:rPr/>
              <w:t>3.</w:t>
            </w:r>
          </w:p>
        </w:tc>
        <w:tc>
          <w:tcPr>
            <w:tcW w:w="10048" w:type="dxa"/>
            <w:tcBorders/>
            <w:vAlign w:val="center"/>
          </w:tcPr>
          <w:p>
            <w:pPr>
              <w:pStyle w:val="TableContents"/>
              <w:bidi w:val="0"/>
              <w:spacing w:lineRule="auto" w:line="300" w:before="0" w:after="0"/>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r>
        <w:trPr/>
        <w:tc>
          <w:tcPr>
            <w:tcW w:w="157" w:type="dxa"/>
            <w:tcBorders/>
            <w:vAlign w:val="center"/>
          </w:tcPr>
          <w:p>
            <w:pPr>
              <w:pStyle w:val="TableContents"/>
              <w:bidi w:val="0"/>
              <w:spacing w:lineRule="auto" w:line="300" w:before="0" w:after="0"/>
              <w:jc w:val="left"/>
              <w:rPr/>
            </w:pPr>
            <w:r>
              <w:rPr/>
              <w:t>4.</w:t>
            </w:r>
          </w:p>
        </w:tc>
        <w:tc>
          <w:tcPr>
            <w:tcW w:w="10048" w:type="dxa"/>
            <w:tcBorders/>
            <w:vAlign w:val="center"/>
          </w:tcPr>
          <w:p>
            <w:pPr>
              <w:pStyle w:val="TableContents"/>
              <w:bidi w:val="0"/>
              <w:spacing w:lineRule="auto" w:line="300" w:before="0" w:after="0"/>
              <w:jc w:val="both"/>
              <w:rPr/>
            </w:pPr>
            <w:r>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82" w:name="z07aa1d6355d74b47b862e6d3d28c350d"/>
      <w:bookmarkStart w:id="383" w:name="z07aa1d6355d74b47b862e6d3d28c350d"/>
      <w:bookmarkEnd w:id="383"/>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lineRule="auto" w:line="300" w:before="0" w:after="0"/>
              <w:jc w:val="left"/>
              <w:rPr/>
            </w:pPr>
            <w:r>
              <w:rPr/>
              <w:t>(a)</w:t>
            </w:r>
          </w:p>
        </w:tc>
        <w:tc>
          <w:tcPr>
            <w:tcW w:w="9911" w:type="dxa"/>
            <w:tcBorders/>
            <w:vAlign w:val="center"/>
          </w:tcPr>
          <w:p>
            <w:pPr>
              <w:pStyle w:val="TableContents"/>
              <w:bidi w:val="0"/>
              <w:spacing w:lineRule="auto" w:line="300" w:before="0" w:after="0"/>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lineRule="auto" w:line="300" w:before="0" w:after="0"/>
              <w:jc w:val="left"/>
              <w:rPr/>
            </w:pPr>
            <w:r>
              <w:rPr/>
              <w:t>(b)</w:t>
            </w:r>
          </w:p>
        </w:tc>
        <w:tc>
          <w:tcPr>
            <w:tcW w:w="9911" w:type="dxa"/>
            <w:tcBorders/>
            <w:vAlign w:val="center"/>
          </w:tcPr>
          <w:p>
            <w:pPr>
              <w:pStyle w:val="TableContents"/>
              <w:bidi w:val="0"/>
              <w:spacing w:lineRule="auto" w:line="300"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lineRule="auto" w:line="300" w:before="0" w:after="0"/>
              <w:jc w:val="left"/>
              <w:rPr/>
            </w:pPr>
            <w:r>
              <w:rPr/>
              <w:t>(c)</w:t>
            </w:r>
          </w:p>
        </w:tc>
        <w:tc>
          <w:tcPr>
            <w:tcW w:w="9911" w:type="dxa"/>
            <w:tcBorders/>
            <w:vAlign w:val="center"/>
          </w:tcPr>
          <w:p>
            <w:pPr>
              <w:pStyle w:val="TableContents"/>
              <w:bidi w:val="0"/>
              <w:spacing w:lineRule="auto" w:line="300" w:before="0" w:after="0"/>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lineRule="auto" w:line="300" w:before="0" w:after="0"/>
              <w:jc w:val="left"/>
              <w:rPr/>
            </w:pPr>
            <w:r>
              <w:rPr/>
              <w:t>(d)</w:t>
            </w:r>
          </w:p>
        </w:tc>
        <w:tc>
          <w:tcPr>
            <w:tcW w:w="9911" w:type="dxa"/>
            <w:tcBorders/>
            <w:vAlign w:val="center"/>
          </w:tcPr>
          <w:p>
            <w:pPr>
              <w:pStyle w:val="TableContents"/>
              <w:bidi w:val="0"/>
              <w:spacing w:lineRule="auto" w:line="300" w:before="0" w:after="0"/>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lineRule="auto" w:line="300" w:before="0" w:after="0"/>
              <w:jc w:val="left"/>
              <w:rPr/>
            </w:pPr>
            <w:r>
              <w:rPr/>
              <w:t>5.</w:t>
            </w:r>
          </w:p>
        </w:tc>
        <w:tc>
          <w:tcPr>
            <w:tcW w:w="10029" w:type="dxa"/>
            <w:tcBorders/>
            <w:vAlign w:val="center"/>
          </w:tcPr>
          <w:p>
            <w:pPr>
              <w:pStyle w:val="TableContents"/>
              <w:bidi w:val="0"/>
              <w:spacing w:lineRule="auto" w:line="300" w:before="0" w:after="0"/>
              <w:jc w:val="both"/>
              <w:rPr/>
            </w:pPr>
            <w:r>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lineRule="auto" w:line="300" w:before="0" w:after="0"/>
              <w:jc w:val="left"/>
              <w:rPr/>
            </w:pPr>
            <w:r>
              <w:rPr/>
              <w:t>(a)</w:t>
            </w:r>
          </w:p>
        </w:tc>
        <w:tc>
          <w:tcPr>
            <w:tcW w:w="9887" w:type="dxa"/>
            <w:tcBorders/>
            <w:vAlign w:val="center"/>
          </w:tcPr>
          <w:p>
            <w:pPr>
              <w:pStyle w:val="TableContents"/>
              <w:bidi w:val="0"/>
              <w:spacing w:lineRule="auto" w:line="300" w:before="0" w:after="0"/>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lineRule="auto" w:line="300" w:before="0" w:after="0"/>
              <w:jc w:val="left"/>
              <w:rPr/>
            </w:pPr>
            <w:r>
              <w:rPr/>
              <w:t>(b)</w:t>
            </w:r>
          </w:p>
        </w:tc>
        <w:tc>
          <w:tcPr>
            <w:tcW w:w="9887" w:type="dxa"/>
            <w:tcBorders/>
            <w:vAlign w:val="center"/>
          </w:tcPr>
          <w:p>
            <w:pPr>
              <w:pStyle w:val="TableContents"/>
              <w:bidi w:val="0"/>
              <w:spacing w:lineRule="auto" w:line="300" w:before="0" w:after="0"/>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Date: March 18, 2024</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84" w:name="zeb10334a1df04dffb1897ef56b4895cc"/>
      <w:bookmarkStart w:id="385" w:name="zeb10334a1df04dffb1897ef56b4895cc"/>
      <w:bookmarkEnd w:id="385"/>
    </w:p>
    <w:tbl>
      <w:tblPr>
        <w:tblW w:w="2840" w:type="dxa"/>
        <w:jc w:val="left"/>
        <w:tblInd w:w="0" w:type="dxa"/>
        <w:tblLayout w:type="fixed"/>
        <w:tblCellMar>
          <w:top w:w="0" w:type="dxa"/>
          <w:left w:w="0" w:type="dxa"/>
          <w:bottom w:w="0" w:type="dxa"/>
          <w:right w:w="0" w:type="dxa"/>
        </w:tblCellMar>
      </w:tblPr>
      <w:tblGrid>
        <w:gridCol w:w="75"/>
        <w:gridCol w:w="2765"/>
      </w:tblGrid>
      <w:tr>
        <w:trPr/>
        <w:tc>
          <w:tcPr>
            <w:tcW w:w="7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lineRule="auto" w:line="300" w:before="0" w:after="0"/>
              <w:jc w:val="left"/>
              <w:rPr/>
            </w:pPr>
            <w:r>
              <w:rPr/>
              <w:t xml:space="preserve">By: </w:t>
            </w:r>
            <w:r>
              <w:rPr>
                <w:u w:val="single"/>
              </w:rPr>
              <w:t>/s/ Dan Adika</w:t>
            </w:r>
          </w:p>
          <w:p>
            <w:pPr>
              <w:pStyle w:val="TableContents"/>
              <w:bidi w:val="0"/>
              <w:spacing w:lineRule="auto" w:line="300" w:before="0" w:after="0"/>
              <w:ind w:left="360" w:right="0" w:hanging="0"/>
              <w:jc w:val="left"/>
              <w:rPr/>
            </w:pPr>
            <w:r>
              <w:rPr/>
              <w:t>Dan Adika</w:t>
            </w:r>
          </w:p>
          <w:p>
            <w:pPr>
              <w:pStyle w:val="TableContents"/>
              <w:bidi w:val="0"/>
              <w:spacing w:lineRule="auto" w:line="300" w:before="0" w:after="0"/>
              <w:jc w:val="left"/>
              <w:rPr/>
            </w:pPr>
            <w:r>
              <w:rPr/>
              <w:t>Chief Executive Officer</w:t>
            </w:r>
          </w:p>
          <w:p>
            <w:pPr>
              <w:pStyle w:val="TableContents"/>
              <w:bidi w:val="0"/>
              <w:spacing w:lineRule="auto" w:line="300" w:before="0" w:after="0"/>
              <w:jc w:val="left"/>
              <w:rPr/>
            </w:pPr>
            <w:r>
              <w:rPr/>
              <w:t>(Principal Executive Officer)</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HorizontalLine"/>
        <w:bidi w:val="0"/>
        <w:jc w:val="left"/>
        <w:rPr/>
      </w:pPr>
      <w:r>
        <w:rPr/>
      </w:r>
      <w:bookmarkStart w:id="386" w:name="exhibit_12-2.htm"/>
      <w:bookmarkStart w:id="387" w:name="ksexhibit_122"/>
      <w:bookmarkStart w:id="388" w:name="exhibit_12-2.htm"/>
      <w:bookmarkStart w:id="389" w:name="ksexhibit_122"/>
      <w:bookmarkEnd w:id="388"/>
      <w:bookmarkEnd w:id="389"/>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12.2</w:t>
      </w:r>
    </w:p>
    <w:p>
      <w:pPr>
        <w:pStyle w:val="TextBody"/>
        <w:bidi w:val="0"/>
        <w:spacing w:lineRule="auto" w:line="300" w:before="0" w:after="0"/>
        <w:jc w:val="center"/>
        <w:rPr>
          <w:b/>
        </w:rPr>
      </w:pPr>
      <w:r>
        <w:rPr>
          <w:b/>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w:t>
      </w:r>
    </w:p>
    <w:p>
      <w:pPr>
        <w:pStyle w:val="TextBody"/>
        <w:bidi w:val="0"/>
        <w:spacing w:lineRule="auto" w:line="300" w:before="0" w:after="0"/>
        <w:jc w:val="center"/>
        <w:rPr>
          <w:b/>
        </w:rPr>
      </w:pPr>
      <w:r>
        <w:rPr>
          <w:b/>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 Hagit Ynon, Chief Financial Officer, certify that:</w:t>
      </w:r>
    </w:p>
    <w:p>
      <w:pPr>
        <w:pStyle w:val="Normal"/>
        <w:bidi w:val="0"/>
        <w:spacing w:before="0" w:after="0"/>
        <w:jc w:val="left"/>
        <w:rPr>
          <w:sz w:val="4"/>
          <w:szCs w:val="4"/>
        </w:rPr>
      </w:pPr>
      <w:r>
        <w:rPr>
          <w:sz w:val="4"/>
          <w:szCs w:val="4"/>
        </w:rPr>
      </w:r>
      <w:bookmarkStart w:id="390" w:name="z06f99cad39094bf08297cfa9ea28cf0c"/>
      <w:bookmarkStart w:id="391" w:name="z06f99cad39094bf08297cfa9ea28cf0c"/>
      <w:bookmarkEnd w:id="391"/>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lineRule="auto" w:line="300" w:before="0" w:after="0"/>
              <w:jc w:val="left"/>
              <w:rPr/>
            </w:pPr>
            <w:r>
              <w:rPr/>
              <w:t>1.</w:t>
            </w:r>
          </w:p>
        </w:tc>
        <w:tc>
          <w:tcPr>
            <w:tcW w:w="10048" w:type="dxa"/>
            <w:tcBorders/>
            <w:vAlign w:val="center"/>
          </w:tcPr>
          <w:p>
            <w:pPr>
              <w:pStyle w:val="TableContents"/>
              <w:bidi w:val="0"/>
              <w:spacing w:lineRule="auto" w:line="300" w:before="0" w:after="0"/>
              <w:jc w:val="both"/>
              <w:rPr/>
            </w:pPr>
            <w:r>
              <w:rPr/>
              <w:t>I have reviewed this Annual Report on Form 20-F of WalkMe Ltd.;</w:t>
            </w:r>
          </w:p>
        </w:tc>
      </w:tr>
      <w:tr>
        <w:trPr/>
        <w:tc>
          <w:tcPr>
            <w:tcW w:w="157" w:type="dxa"/>
            <w:tcBorders/>
            <w:vAlign w:val="center"/>
          </w:tcPr>
          <w:p>
            <w:pPr>
              <w:pStyle w:val="TableContents"/>
              <w:bidi w:val="0"/>
              <w:spacing w:lineRule="auto" w:line="300" w:before="0" w:after="0"/>
              <w:jc w:val="left"/>
              <w:rPr/>
            </w:pPr>
            <w:r>
              <w:rPr/>
              <w:t>2.</w:t>
            </w:r>
          </w:p>
        </w:tc>
        <w:tc>
          <w:tcPr>
            <w:tcW w:w="10048" w:type="dxa"/>
            <w:tcBorders/>
            <w:vAlign w:val="center"/>
          </w:tcPr>
          <w:p>
            <w:pPr>
              <w:pStyle w:val="TableContents"/>
              <w:bidi w:val="0"/>
              <w:spacing w:lineRule="auto" w:line="300"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7" w:type="dxa"/>
            <w:tcBorders/>
            <w:vAlign w:val="center"/>
          </w:tcPr>
          <w:p>
            <w:pPr>
              <w:pStyle w:val="TableContents"/>
              <w:bidi w:val="0"/>
              <w:spacing w:lineRule="auto" w:line="300" w:before="0" w:after="0"/>
              <w:jc w:val="left"/>
              <w:rPr/>
            </w:pPr>
            <w:r>
              <w:rPr/>
              <w:t>3.</w:t>
            </w:r>
          </w:p>
        </w:tc>
        <w:tc>
          <w:tcPr>
            <w:tcW w:w="10048" w:type="dxa"/>
            <w:tcBorders/>
            <w:vAlign w:val="center"/>
          </w:tcPr>
          <w:p>
            <w:pPr>
              <w:pStyle w:val="TableContents"/>
              <w:bidi w:val="0"/>
              <w:spacing w:lineRule="auto" w:line="300" w:before="0" w:after="0"/>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r>
        <w:trPr/>
        <w:tc>
          <w:tcPr>
            <w:tcW w:w="157" w:type="dxa"/>
            <w:tcBorders/>
            <w:vAlign w:val="center"/>
          </w:tcPr>
          <w:p>
            <w:pPr>
              <w:pStyle w:val="TableContents"/>
              <w:bidi w:val="0"/>
              <w:spacing w:lineRule="auto" w:line="300" w:before="0" w:after="0"/>
              <w:jc w:val="left"/>
              <w:rPr/>
            </w:pPr>
            <w:r>
              <w:rPr/>
              <w:t>4.</w:t>
            </w:r>
          </w:p>
        </w:tc>
        <w:tc>
          <w:tcPr>
            <w:tcW w:w="10048" w:type="dxa"/>
            <w:tcBorders/>
            <w:vAlign w:val="center"/>
          </w:tcPr>
          <w:p>
            <w:pPr>
              <w:pStyle w:val="TableContents"/>
              <w:bidi w:val="0"/>
              <w:spacing w:lineRule="auto" w:line="300" w:before="0" w:after="0"/>
              <w:jc w:val="both"/>
              <w:rPr/>
            </w:pPr>
            <w:r>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92" w:name="z5f46dde747254c8187d9bc6ce01447a7"/>
      <w:bookmarkStart w:id="393" w:name="z5f46dde747254c8187d9bc6ce01447a7"/>
      <w:bookmarkEnd w:id="393"/>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lineRule="auto" w:line="300" w:before="0" w:after="0"/>
              <w:jc w:val="left"/>
              <w:rPr/>
            </w:pPr>
            <w:r>
              <w:rPr/>
              <w:t>(a)</w:t>
            </w:r>
          </w:p>
        </w:tc>
        <w:tc>
          <w:tcPr>
            <w:tcW w:w="9911" w:type="dxa"/>
            <w:tcBorders/>
            <w:vAlign w:val="center"/>
          </w:tcPr>
          <w:p>
            <w:pPr>
              <w:pStyle w:val="TableContents"/>
              <w:bidi w:val="0"/>
              <w:spacing w:lineRule="auto" w:line="300" w:before="0" w:after="0"/>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lineRule="auto" w:line="300" w:before="0" w:after="0"/>
              <w:jc w:val="left"/>
              <w:rPr/>
            </w:pPr>
            <w:r>
              <w:rPr/>
              <w:t>(b)</w:t>
            </w:r>
          </w:p>
        </w:tc>
        <w:tc>
          <w:tcPr>
            <w:tcW w:w="9911" w:type="dxa"/>
            <w:tcBorders/>
            <w:vAlign w:val="center"/>
          </w:tcPr>
          <w:p>
            <w:pPr>
              <w:pStyle w:val="TableContents"/>
              <w:bidi w:val="0"/>
              <w:spacing w:lineRule="auto" w:line="300"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lineRule="auto" w:line="300" w:before="0" w:after="0"/>
              <w:jc w:val="left"/>
              <w:rPr/>
            </w:pPr>
            <w:r>
              <w:rPr/>
              <w:t>(c)</w:t>
            </w:r>
          </w:p>
        </w:tc>
        <w:tc>
          <w:tcPr>
            <w:tcW w:w="9911" w:type="dxa"/>
            <w:tcBorders/>
            <w:vAlign w:val="center"/>
          </w:tcPr>
          <w:p>
            <w:pPr>
              <w:pStyle w:val="TableContents"/>
              <w:bidi w:val="0"/>
              <w:spacing w:lineRule="auto" w:line="300" w:before="0" w:after="0"/>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lineRule="auto" w:line="300" w:before="0" w:after="0"/>
              <w:jc w:val="left"/>
              <w:rPr/>
            </w:pPr>
            <w:r>
              <w:rPr/>
              <w:t>(d)</w:t>
            </w:r>
          </w:p>
        </w:tc>
        <w:tc>
          <w:tcPr>
            <w:tcW w:w="9911" w:type="dxa"/>
            <w:tcBorders/>
            <w:vAlign w:val="center"/>
          </w:tcPr>
          <w:p>
            <w:pPr>
              <w:pStyle w:val="TableContents"/>
              <w:bidi w:val="0"/>
              <w:spacing w:lineRule="auto" w:line="300" w:before="0" w:after="0"/>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lineRule="auto" w:line="300" w:before="0" w:after="0"/>
              <w:jc w:val="left"/>
              <w:rPr/>
            </w:pPr>
            <w:r>
              <w:rPr/>
              <w:t>5.</w:t>
            </w:r>
          </w:p>
        </w:tc>
        <w:tc>
          <w:tcPr>
            <w:tcW w:w="10029" w:type="dxa"/>
            <w:tcBorders/>
            <w:vAlign w:val="center"/>
          </w:tcPr>
          <w:p>
            <w:pPr>
              <w:pStyle w:val="TableContents"/>
              <w:bidi w:val="0"/>
              <w:spacing w:lineRule="auto" w:line="300" w:before="0" w:after="0"/>
              <w:jc w:val="both"/>
              <w:rPr/>
            </w:pPr>
            <w:r>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94" w:name="zfb593f0ff5f74ca486feccf1c0f80175"/>
      <w:bookmarkStart w:id="395" w:name="zfb593f0ff5f74ca486feccf1c0f80175"/>
      <w:bookmarkEnd w:id="395"/>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lineRule="auto" w:line="300" w:before="0" w:after="0"/>
              <w:jc w:val="left"/>
              <w:rPr/>
            </w:pPr>
            <w:r>
              <w:rPr/>
              <w:t>(a)</w:t>
            </w:r>
          </w:p>
        </w:tc>
        <w:tc>
          <w:tcPr>
            <w:tcW w:w="9887" w:type="dxa"/>
            <w:tcBorders/>
            <w:vAlign w:val="center"/>
          </w:tcPr>
          <w:p>
            <w:pPr>
              <w:pStyle w:val="TableContents"/>
              <w:bidi w:val="0"/>
              <w:spacing w:lineRule="auto" w:line="300" w:before="0" w:after="0"/>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lineRule="auto" w:line="300" w:before="0" w:after="0"/>
              <w:jc w:val="left"/>
              <w:rPr/>
            </w:pPr>
            <w:r>
              <w:rPr/>
              <w:t>(b)</w:t>
            </w:r>
          </w:p>
        </w:tc>
        <w:tc>
          <w:tcPr>
            <w:tcW w:w="9887" w:type="dxa"/>
            <w:tcBorders/>
            <w:vAlign w:val="center"/>
          </w:tcPr>
          <w:p>
            <w:pPr>
              <w:pStyle w:val="TableContents"/>
              <w:bidi w:val="0"/>
              <w:spacing w:lineRule="auto" w:line="300" w:before="0" w:after="0"/>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Date: March 18, 2024</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96" w:name="z82e29318356d4e2f9091d1823c6d9f2c"/>
      <w:bookmarkStart w:id="397" w:name="z82e29318356d4e2f9091d1823c6d9f2c"/>
      <w:bookmarkEnd w:id="397"/>
    </w:p>
    <w:tbl>
      <w:tblPr>
        <w:tblW w:w="2765" w:type="dxa"/>
        <w:jc w:val="left"/>
        <w:tblInd w:w="0" w:type="dxa"/>
        <w:tblLayout w:type="fixed"/>
        <w:tblCellMar>
          <w:top w:w="0" w:type="dxa"/>
          <w:left w:w="0" w:type="dxa"/>
          <w:bottom w:w="0" w:type="dxa"/>
          <w:right w:w="0" w:type="dxa"/>
        </w:tblCellMar>
      </w:tblPr>
      <w:tblGrid>
        <w:gridCol w:w="75"/>
        <w:gridCol w:w="2690"/>
      </w:tblGrid>
      <w:tr>
        <w:trPr/>
        <w:tc>
          <w:tcPr>
            <w:tcW w:w="75"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lineRule="auto" w:line="300" w:before="0" w:after="0"/>
              <w:jc w:val="left"/>
              <w:rPr/>
            </w:pPr>
            <w:r>
              <w:rPr/>
              <w:t xml:space="preserve">By: </w:t>
            </w:r>
            <w:r>
              <w:rPr>
                <w:u w:val="single"/>
              </w:rPr>
              <w:t>/s/ Hagit Ynon</w:t>
            </w:r>
          </w:p>
          <w:p>
            <w:pPr>
              <w:pStyle w:val="TableContents"/>
              <w:bidi w:val="0"/>
              <w:spacing w:lineRule="auto" w:line="300" w:before="0" w:after="0"/>
              <w:ind w:left="360" w:right="0" w:hanging="0"/>
              <w:jc w:val="left"/>
              <w:rPr/>
            </w:pPr>
            <w:r>
              <w:rPr/>
              <w:t>Hagit Ynon</w:t>
            </w:r>
          </w:p>
          <w:p>
            <w:pPr>
              <w:pStyle w:val="TableContents"/>
              <w:bidi w:val="0"/>
              <w:spacing w:lineRule="auto" w:line="300" w:before="0" w:after="0"/>
              <w:jc w:val="left"/>
              <w:rPr/>
            </w:pPr>
            <w:r>
              <w:rPr/>
              <w:t>Chief Financial Officer</w:t>
            </w:r>
          </w:p>
          <w:p>
            <w:pPr>
              <w:pStyle w:val="TableContents"/>
              <w:bidi w:val="0"/>
              <w:spacing w:lineRule="auto" w:line="300" w:before="0" w:after="0"/>
              <w:jc w:val="left"/>
              <w:rPr/>
            </w:pPr>
            <w:r>
              <w:rPr/>
              <w:t>(Principal Financial Officer)</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HorizontalLine"/>
        <w:bidi w:val="0"/>
        <w:spacing w:lineRule="auto" w:line="300"/>
        <w:jc w:val="right"/>
        <w:rPr/>
      </w:pPr>
      <w:r>
        <w:rPr/>
      </w:r>
      <w:bookmarkStart w:id="398" w:name="exhibit_13-1.htm"/>
      <w:bookmarkStart w:id="399" w:name="ksexhibit_131"/>
      <w:bookmarkStart w:id="400" w:name="exhibit_13-1.htm"/>
      <w:bookmarkStart w:id="401" w:name="ksexhibit_131"/>
      <w:bookmarkEnd w:id="400"/>
      <w:bookmarkEnd w:id="401"/>
      <w:r>
        <w:br w:type="page"/>
      </w:r>
    </w:p>
    <w:p>
      <w:pPr>
        <w:pStyle w:val="TextBody"/>
        <w:bidi w:val="0"/>
        <w:spacing w:lineRule="auto" w:line="300" w:before="0" w:after="0"/>
        <w:jc w:val="right"/>
        <w:rPr>
          <w:b/>
          <w:u w:val="single"/>
        </w:rPr>
      </w:pPr>
      <w:r>
        <w:rPr>
          <w:b/>
          <w:u w:val="single"/>
        </w:rPr>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13.1</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 PURSUANT TO</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18 U.S.C. SECTION 1350, AS ADOPTED PURSUANT TO</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SECTION 906 OF THE SARBANES-OXLEY ACT OF 2002</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 connection with the Annual Report on Form 20-F of WalkMe Ltd. (the “Company”) for the year ended December 31, 2023 as filed with the Securities and Exchange Commission on the date hereof (the “Report”), I certify, pursuant to 18 U.S.C. Section 1350, as adopted pursuant to Section 906 of the Sarbanes-Oxley Act of 2002, that to the best of my knowledge: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02" w:name="z44c31f09abd946fba5efeab0688c822f"/>
      <w:bookmarkStart w:id="403" w:name="z44c31f09abd946fba5efeab0688c822f"/>
      <w:bookmarkEnd w:id="403"/>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lineRule="auto" w:line="300" w:before="0" w:after="0"/>
              <w:jc w:val="left"/>
              <w:rPr/>
            </w:pPr>
            <w:r>
              <w:rPr/>
              <w:t>(1)</w:t>
            </w:r>
          </w:p>
        </w:tc>
        <w:tc>
          <w:tcPr>
            <w:tcW w:w="9900" w:type="dxa"/>
            <w:tcBorders/>
            <w:vAlign w:val="center"/>
          </w:tcPr>
          <w:p>
            <w:pPr>
              <w:pStyle w:val="TableContents"/>
              <w:bidi w:val="0"/>
              <w:spacing w:lineRule="auto" w:line="300" w:before="0" w:after="0"/>
              <w:jc w:val="left"/>
              <w:rPr/>
            </w:pPr>
            <w:r>
              <w:rPr/>
              <w:t>The Report fully complies with the requirements of Section 13(a) or 15(d) of the Securities Exchange Act of 1934, as amended; and</w:t>
            </w:r>
          </w:p>
        </w:tc>
      </w:tr>
      <w:tr>
        <w:trPr/>
        <w:tc>
          <w:tcPr>
            <w:tcW w:w="305" w:type="dxa"/>
            <w:tcBorders/>
            <w:vAlign w:val="center"/>
          </w:tcPr>
          <w:p>
            <w:pPr>
              <w:pStyle w:val="TableContents"/>
              <w:bidi w:val="0"/>
              <w:spacing w:lineRule="auto" w:line="300" w:before="0" w:after="0"/>
              <w:jc w:val="left"/>
              <w:rPr/>
            </w:pPr>
            <w:r>
              <w:rPr/>
              <w:t>(2)</w:t>
            </w:r>
          </w:p>
        </w:tc>
        <w:tc>
          <w:tcPr>
            <w:tcW w:w="9900" w:type="dxa"/>
            <w:tcBorders/>
            <w:vAlign w:val="center"/>
          </w:tcPr>
          <w:p>
            <w:pPr>
              <w:pStyle w:val="TableContents"/>
              <w:bidi w:val="0"/>
              <w:spacing w:lineRule="auto" w:line="300" w:before="0" w:after="0"/>
              <w:jc w:val="left"/>
              <w:rPr/>
            </w:pPr>
            <w:r>
              <w:rPr/>
              <w:t>The information contained in the Report fairly presents, in all material respects, the financial condition and results of operations of the Company.</w:t>
            </w:r>
          </w:p>
        </w:tc>
      </w:tr>
    </w:tbl>
    <w:p>
      <w:pPr>
        <w:pStyle w:val="TextBody"/>
        <w:bidi w:val="0"/>
        <w:spacing w:lineRule="auto" w:line="300" w:before="0" w:after="0"/>
        <w:jc w:val="both"/>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Date: March 18, 2024</w:t>
      </w:r>
    </w:p>
    <w:p>
      <w:pPr>
        <w:pStyle w:val="TextBody"/>
        <w:bidi w:val="0"/>
        <w:spacing w:lineRule="auto" w:line="300" w:before="0" w:after="0"/>
        <w:jc w:val="left"/>
        <w:rPr/>
      </w:pPr>
      <w:r>
        <w:rPr/>
      </w:r>
    </w:p>
    <w:p>
      <w:pPr>
        <w:pStyle w:val="TextBody"/>
        <w:bidi w:val="0"/>
        <w:spacing w:lineRule="auto" w:line="300" w:before="0" w:after="0"/>
        <w:jc w:val="left"/>
        <w:rPr/>
      </w:pPr>
      <w:r>
        <w:rPr/>
      </w:r>
      <w:r>
        <mc:AlternateContent>
          <mc:Choice Requires="wps">
            <w:drawing>
              <wp:anchor behindDoc="0" distT="0" distB="0" distL="0" distR="0" simplePos="0" locked="0" layoutInCell="1" allowOverlap="1" relativeHeight="23">
                <wp:simplePos x="0" y="0"/>
                <wp:positionH relativeFrom="column">
                  <wp:align>right</wp:align>
                </wp:positionH>
                <wp:positionV relativeFrom="line">
                  <wp:posOffset>635</wp:posOffset>
                </wp:positionV>
                <wp:extent cx="1978025" cy="1229995"/>
                <wp:effectExtent l="0" t="0" r="0" b="0"/>
                <wp:wrapSquare wrapText="left"/>
                <wp:docPr id="22" name="Frame1"/>
                <a:graphic xmlns:a="http://schemas.openxmlformats.org/drawingml/2006/main">
                  <a:graphicData uri="http://schemas.microsoft.com/office/word/2010/wordprocessingShape">
                    <wps:wsp>
                      <wps:cNvSpPr txBox="1"/>
                      <wps:spPr>
                        <a:xfrm>
                          <a:off x="0" y="0"/>
                          <a:ext cx="1978025" cy="1229995"/>
                        </a:xfrm>
                        <a:prstGeom prst="rect"/>
                        <a:solidFill>
                          <a:srgbClr val="FFFFFF"/>
                        </a:solidFill>
                      </wps:spPr>
                      <wps:txbx>
                        <w:txbxContent>
                          <w:tbl>
                            <w:tblPr>
                              <w:tblW w:w="3115" w:type="dxa"/>
                              <w:jc w:val="left"/>
                              <w:tblInd w:w="0" w:type="dxa"/>
                              <w:tblLayout w:type="fixed"/>
                              <w:tblCellMar>
                                <w:top w:w="0" w:type="dxa"/>
                                <w:left w:w="0" w:type="dxa"/>
                                <w:bottom w:w="0" w:type="dxa"/>
                                <w:right w:w="0" w:type="dxa"/>
                              </w:tblCellMar>
                            </w:tblPr>
                            <w:tblGrid>
                              <w:gridCol w:w="365"/>
                              <w:gridCol w:w="2750"/>
                            </w:tblGrid>
                            <w:tr>
                              <w:trPr/>
                              <w:tc>
                                <w:tcPr>
                                  <w:tcW w:w="365" w:type="dxa"/>
                                  <w:tcBorders/>
                                  <w:vAlign w:val="center"/>
                                </w:tcPr>
                                <w:p>
                                  <w:pPr>
                                    <w:pStyle w:val="TableContents"/>
                                    <w:bidi w:val="0"/>
                                    <w:spacing w:lineRule="auto" w:line="300" w:before="0" w:after="0"/>
                                    <w:jc w:val="both"/>
                                    <w:rPr/>
                                  </w:pPr>
                                  <w:r>
                                    <w:rPr/>
                                    <w:t>By:</w:t>
                                  </w:r>
                                </w:p>
                              </w:tc>
                              <w:tc>
                                <w:tcPr>
                                  <w:tcW w:w="2750" w:type="dxa"/>
                                  <w:tcBorders/>
                                  <w:vAlign w:val="center"/>
                                </w:tcPr>
                                <w:p>
                                  <w:pPr>
                                    <w:pStyle w:val="TableContents"/>
                                    <w:bidi w:val="0"/>
                                    <w:spacing w:lineRule="auto" w:line="300" w:before="0" w:after="0"/>
                                    <w:jc w:val="left"/>
                                    <w:rPr>
                                      <w:u w:val="single"/>
                                    </w:rPr>
                                  </w:pPr>
                                  <w:r>
                                    <w:rPr>
                                      <w:u w:val="single"/>
                                    </w:rPr>
                                    <w:t>/s/ Dan Adika</w:t>
                                  </w:r>
                                </w:p>
                              </w:tc>
                            </w:tr>
                            <w:tr>
                              <w:trPr/>
                              <w:tc>
                                <w:tcPr>
                                  <w:tcW w:w="36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lineRule="auto" w:line="300" w:before="0" w:after="0"/>
                                    <w:jc w:val="both"/>
                                    <w:rPr/>
                                  </w:pPr>
                                  <w:r>
                                    <w:rPr/>
                                    <w:t>Dan Adika</w:t>
                                  </w:r>
                                </w:p>
                              </w:tc>
                            </w:tr>
                            <w:tr>
                              <w:trPr/>
                              <w:tc>
                                <w:tcPr>
                                  <w:tcW w:w="36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lineRule="auto" w:line="300" w:before="0" w:after="0"/>
                                    <w:jc w:val="both"/>
                                    <w:rPr/>
                                  </w:pPr>
                                  <w:r>
                                    <w:rPr/>
                                    <w:t>Chief Executive Officer</w:t>
                                  </w:r>
                                </w:p>
                                <w:p>
                                  <w:pPr>
                                    <w:pStyle w:val="TableContents"/>
                                    <w:bidi w:val="0"/>
                                    <w:spacing w:lineRule="auto" w:line="300" w:before="0" w:after="0"/>
                                    <w:jc w:val="both"/>
                                    <w:rPr/>
                                  </w:pPr>
                                  <w:r>
                                    <w:rPr/>
                                    <w:t>(Principal Executive Officer)</w:t>
                                  </w:r>
                                </w:p>
                              </w:tc>
                            </w:tr>
                          </w:tbl>
                        </w:txbxContent>
                      </wps:txbx>
                      <wps:bodyPr anchor="t" lIns="0" tIns="0" rIns="0" bIns="0">
                        <a:noAutofit/>
                      </wps:bodyPr>
                    </wps:wsp>
                  </a:graphicData>
                </a:graphic>
              </wp:anchor>
            </w:drawing>
          </mc:Choice>
          <mc:Fallback>
            <w:pict>
              <v:rect style="position:absolute;rotation:-0;width:155.75pt;height:96.85pt;mso-wrap-distance-left:0pt;mso-wrap-distance-right:0pt;mso-wrap-distance-top:0pt;mso-wrap-distance-bottom:0pt;margin-top:0pt;mso-position-vertical:top;mso-position-vertical-relative:text;margin-left:354.5pt;mso-position-horizontal:right;mso-position-horizontal-relative:text">
                <v:textbox>
                  <w:txbxContent>
                    <w:tbl>
                      <w:tblPr>
                        <w:tblW w:w="3115" w:type="dxa"/>
                        <w:jc w:val="left"/>
                        <w:tblInd w:w="0" w:type="dxa"/>
                        <w:tblLayout w:type="fixed"/>
                        <w:tblCellMar>
                          <w:top w:w="0" w:type="dxa"/>
                          <w:left w:w="0" w:type="dxa"/>
                          <w:bottom w:w="0" w:type="dxa"/>
                          <w:right w:w="0" w:type="dxa"/>
                        </w:tblCellMar>
                      </w:tblPr>
                      <w:tblGrid>
                        <w:gridCol w:w="365"/>
                        <w:gridCol w:w="2750"/>
                      </w:tblGrid>
                      <w:tr>
                        <w:trPr/>
                        <w:tc>
                          <w:tcPr>
                            <w:tcW w:w="365" w:type="dxa"/>
                            <w:tcBorders/>
                            <w:vAlign w:val="center"/>
                          </w:tcPr>
                          <w:p>
                            <w:pPr>
                              <w:pStyle w:val="TableContents"/>
                              <w:bidi w:val="0"/>
                              <w:spacing w:lineRule="auto" w:line="300" w:before="0" w:after="0"/>
                              <w:jc w:val="both"/>
                              <w:rPr/>
                            </w:pPr>
                            <w:r>
                              <w:rPr/>
                              <w:t>By:</w:t>
                            </w:r>
                          </w:p>
                        </w:tc>
                        <w:tc>
                          <w:tcPr>
                            <w:tcW w:w="2750" w:type="dxa"/>
                            <w:tcBorders/>
                            <w:vAlign w:val="center"/>
                          </w:tcPr>
                          <w:p>
                            <w:pPr>
                              <w:pStyle w:val="TableContents"/>
                              <w:bidi w:val="0"/>
                              <w:spacing w:lineRule="auto" w:line="300" w:before="0" w:after="0"/>
                              <w:jc w:val="left"/>
                              <w:rPr>
                                <w:u w:val="single"/>
                              </w:rPr>
                            </w:pPr>
                            <w:r>
                              <w:rPr>
                                <w:u w:val="single"/>
                              </w:rPr>
                              <w:t>/s/ Dan Adika</w:t>
                            </w:r>
                          </w:p>
                        </w:tc>
                      </w:tr>
                      <w:tr>
                        <w:trPr/>
                        <w:tc>
                          <w:tcPr>
                            <w:tcW w:w="36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lineRule="auto" w:line="300" w:before="0" w:after="0"/>
                              <w:jc w:val="both"/>
                              <w:rPr/>
                            </w:pPr>
                            <w:r>
                              <w:rPr/>
                              <w:t>Dan Adika</w:t>
                            </w:r>
                          </w:p>
                        </w:tc>
                      </w:tr>
                      <w:tr>
                        <w:trPr/>
                        <w:tc>
                          <w:tcPr>
                            <w:tcW w:w="36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lineRule="auto" w:line="300" w:before="0" w:after="0"/>
                              <w:jc w:val="both"/>
                              <w:rPr/>
                            </w:pPr>
                            <w:r>
                              <w:rPr/>
                              <w:t>Chief Executive Officer</w:t>
                            </w:r>
                          </w:p>
                          <w:p>
                            <w:pPr>
                              <w:pStyle w:val="TableContents"/>
                              <w:bidi w:val="0"/>
                              <w:spacing w:lineRule="auto" w:line="300" w:before="0" w:after="0"/>
                              <w:jc w:val="both"/>
                              <w:rPr/>
                            </w:pPr>
                            <w:r>
                              <w:rPr/>
                              <w:t>(Principal Executive Officer)</w:t>
                            </w:r>
                          </w:p>
                        </w:tc>
                      </w:tr>
                    </w:tbl>
                  </w:txbxContent>
                </v:textbox>
                <w10:wrap type="square" side="left"/>
              </v:rect>
            </w:pict>
          </mc:Fallback>
        </mc:AlternateContent>
      </w:r>
    </w:p>
    <w:p>
      <w:pPr>
        <w:pStyle w:val="HorizontalLine"/>
        <w:bidi w:val="0"/>
        <w:spacing w:lineRule="auto" w:line="300"/>
        <w:jc w:val="left"/>
        <w:rPr/>
      </w:pPr>
      <w:r>
        <w:rPr/>
      </w:r>
    </w:p>
    <w:p>
      <w:pPr>
        <w:pStyle w:val="HorizontalLine"/>
        <w:bidi w:val="0"/>
        <w:spacing w:lineRule="auto" w:line="300"/>
        <w:jc w:val="left"/>
        <w:rPr/>
      </w:pPr>
      <w:r>
        <w:rPr/>
      </w:r>
      <w:bookmarkStart w:id="404" w:name="exhibit_13-2.htm"/>
      <w:bookmarkStart w:id="405" w:name="ksexhibit_132"/>
      <w:bookmarkStart w:id="406" w:name="exhibit_13-2.htm"/>
      <w:bookmarkStart w:id="407" w:name="ksexhibit_132"/>
      <w:bookmarkEnd w:id="406"/>
      <w:bookmarkEnd w:id="407"/>
      <w:r>
        <w:br w:type="page"/>
      </w:r>
    </w:p>
    <w:p>
      <w:pPr>
        <w:pStyle w:val="TextBody"/>
        <w:bidi w:val="0"/>
        <w:spacing w:lineRule="auto" w:line="300" w:before="0" w:after="0"/>
        <w:jc w:val="left"/>
        <w:rPr/>
      </w:pPr>
      <w:r>
        <w:rPr/>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13.2</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 PURSUANT TO</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18 U.S.C. SECTION 1350, AS ADOPTED PURSUANT TO</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SECTION 906 OF THE SARBANES-OXLEY ACT OF 2002</w:t>
      </w:r>
    </w:p>
    <w:p>
      <w:pPr>
        <w:pStyle w:val="TextBody"/>
        <w:bidi w:val="0"/>
        <w:spacing w:lineRule="auto" w:line="300" w:before="0" w:after="0"/>
        <w:jc w:val="center"/>
        <w:rPr>
          <w:b/>
        </w:rPr>
      </w:pPr>
      <w:r>
        <w:rPr>
          <w:b/>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 connection with the Annual Report on Form 20-F of WalkMe Ltd. (the “Company”) for the year ended December 31, 2023 as filed with the Securities and Exchange Commission on the date hereof (the “Report”), I certify, pursuant to 18 U.S.C. Section 1350, as adopted pursuant to Section 906 of the Sarbanes-Oxley Act of 2002, that to the best of my knowledge: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08" w:name="ze8882451e6894e20b510dc799f205a5c"/>
      <w:bookmarkStart w:id="409" w:name="ze8882451e6894e20b510dc799f205a5c"/>
      <w:bookmarkEnd w:id="409"/>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lineRule="auto" w:line="300" w:before="0" w:after="0"/>
              <w:jc w:val="left"/>
              <w:rPr/>
            </w:pPr>
            <w:r>
              <w:rPr/>
              <w:t>(1)</w:t>
            </w:r>
          </w:p>
        </w:tc>
        <w:tc>
          <w:tcPr>
            <w:tcW w:w="9900" w:type="dxa"/>
            <w:tcBorders/>
            <w:vAlign w:val="center"/>
          </w:tcPr>
          <w:p>
            <w:pPr>
              <w:pStyle w:val="TableContents"/>
              <w:bidi w:val="0"/>
              <w:spacing w:lineRule="auto" w:line="300" w:before="0" w:after="0"/>
              <w:jc w:val="left"/>
              <w:rPr/>
            </w:pPr>
            <w:r>
              <w:rPr/>
              <w:t>The Report fully complies with the requirements of Section 13(a) or 15(d) of the Securities Exchange Act of 1934, as amended; and</w:t>
            </w:r>
          </w:p>
        </w:tc>
      </w:tr>
      <w:tr>
        <w:trPr/>
        <w:tc>
          <w:tcPr>
            <w:tcW w:w="305" w:type="dxa"/>
            <w:tcBorders/>
            <w:vAlign w:val="center"/>
          </w:tcPr>
          <w:p>
            <w:pPr>
              <w:pStyle w:val="TableContents"/>
              <w:bidi w:val="0"/>
              <w:spacing w:lineRule="auto" w:line="300" w:before="0" w:after="0"/>
              <w:jc w:val="left"/>
              <w:rPr/>
            </w:pPr>
            <w:r>
              <w:rPr/>
              <w:t>(2)</w:t>
            </w:r>
          </w:p>
        </w:tc>
        <w:tc>
          <w:tcPr>
            <w:tcW w:w="9900" w:type="dxa"/>
            <w:tcBorders/>
            <w:vAlign w:val="center"/>
          </w:tcPr>
          <w:p>
            <w:pPr>
              <w:pStyle w:val="TableContents"/>
              <w:bidi w:val="0"/>
              <w:spacing w:lineRule="auto" w:line="300" w:before="0" w:after="0"/>
              <w:jc w:val="left"/>
              <w:rPr/>
            </w:pPr>
            <w:r>
              <w:rPr/>
              <w:t>The information contained in the Report fairly presents, in all material respects, the financial condition and results of operations of the Company.</w:t>
            </w:r>
          </w:p>
        </w:tc>
      </w:tr>
    </w:tbl>
    <w:p>
      <w:pPr>
        <w:pStyle w:val="TextBody"/>
        <w:bidi w:val="0"/>
        <w:spacing w:lineRule="auto" w:line="300" w:before="0" w:after="0"/>
        <w:jc w:val="both"/>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Date: March 18, 2024</w:t>
      </w:r>
    </w:p>
    <w:p>
      <w:pPr>
        <w:pStyle w:val="TextBody"/>
        <w:bidi w:val="0"/>
        <w:spacing w:lineRule="auto" w:line="300" w:before="0" w:after="0"/>
        <w:jc w:val="left"/>
        <w:rPr/>
      </w:pPr>
      <w:r>
        <w:rPr/>
      </w:r>
    </w:p>
    <w:p>
      <w:pPr>
        <w:pStyle w:val="TextBody"/>
        <w:bidi w:val="0"/>
        <w:spacing w:lineRule="auto" w:line="300" w:before="0" w:after="0"/>
        <w:jc w:val="left"/>
        <w:rPr/>
      </w:pPr>
      <w:r>
        <w:rPr/>
      </w:r>
      <w:r>
        <mc:AlternateContent>
          <mc:Choice Requires="wps">
            <w:drawing>
              <wp:anchor behindDoc="0" distT="0" distB="0" distL="0" distR="0" simplePos="0" locked="0" layoutInCell="1" allowOverlap="1" relativeHeight="24">
                <wp:simplePos x="0" y="0"/>
                <wp:positionH relativeFrom="column">
                  <wp:align>right</wp:align>
                </wp:positionH>
                <wp:positionV relativeFrom="line">
                  <wp:posOffset>635</wp:posOffset>
                </wp:positionV>
                <wp:extent cx="1930400" cy="1229995"/>
                <wp:effectExtent l="0" t="0" r="0" b="0"/>
                <wp:wrapSquare wrapText="left"/>
                <wp:docPr id="23" name="Frame2"/>
                <a:graphic xmlns:a="http://schemas.openxmlformats.org/drawingml/2006/main">
                  <a:graphicData uri="http://schemas.microsoft.com/office/word/2010/wordprocessingShape">
                    <wps:wsp>
                      <wps:cNvSpPr txBox="1"/>
                      <wps:spPr>
                        <a:xfrm>
                          <a:off x="0" y="0"/>
                          <a:ext cx="1930400" cy="1229995"/>
                        </a:xfrm>
                        <a:prstGeom prst="rect"/>
                        <a:solidFill>
                          <a:srgbClr val="FFFFFF"/>
                        </a:solidFill>
                      </wps:spPr>
                      <wps:txbx>
                        <w:txbxContent>
                          <w:tbl>
                            <w:tblPr>
                              <w:tblW w:w="3040" w:type="dxa"/>
                              <w:jc w:val="left"/>
                              <w:tblInd w:w="0" w:type="dxa"/>
                              <w:tblLayout w:type="fixed"/>
                              <w:tblCellMar>
                                <w:top w:w="0" w:type="dxa"/>
                                <w:left w:w="0" w:type="dxa"/>
                                <w:bottom w:w="0" w:type="dxa"/>
                                <w:right w:w="0" w:type="dxa"/>
                              </w:tblCellMar>
                            </w:tblPr>
                            <w:tblGrid>
                              <w:gridCol w:w="365"/>
                              <w:gridCol w:w="2675"/>
                            </w:tblGrid>
                            <w:tr>
                              <w:trPr/>
                              <w:tc>
                                <w:tcPr>
                                  <w:tcW w:w="365" w:type="dxa"/>
                                  <w:tcBorders/>
                                  <w:vAlign w:val="center"/>
                                </w:tcPr>
                                <w:p>
                                  <w:pPr>
                                    <w:pStyle w:val="TableContents"/>
                                    <w:bidi w:val="0"/>
                                    <w:spacing w:lineRule="auto" w:line="300" w:before="0" w:after="0"/>
                                    <w:jc w:val="both"/>
                                    <w:rPr/>
                                  </w:pPr>
                                  <w:r>
                                    <w:rPr/>
                                    <w:t>By:</w:t>
                                  </w:r>
                                </w:p>
                              </w:tc>
                              <w:tc>
                                <w:tcPr>
                                  <w:tcW w:w="2675" w:type="dxa"/>
                                  <w:tcBorders/>
                                  <w:vAlign w:val="center"/>
                                </w:tcPr>
                                <w:p>
                                  <w:pPr>
                                    <w:pStyle w:val="TableContents"/>
                                    <w:bidi w:val="0"/>
                                    <w:spacing w:lineRule="auto" w:line="300" w:before="0" w:after="0"/>
                                    <w:jc w:val="left"/>
                                    <w:rPr>
                                      <w:u w:val="single"/>
                                    </w:rPr>
                                  </w:pPr>
                                  <w:r>
                                    <w:rPr>
                                      <w:u w:val="single"/>
                                    </w:rPr>
                                    <w:t>/s/ Hagit Ynon</w:t>
                                  </w:r>
                                </w:p>
                              </w:tc>
                            </w:tr>
                            <w:tr>
                              <w:trPr/>
                              <w:tc>
                                <w:tcPr>
                                  <w:tcW w:w="365"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lineRule="auto" w:line="300" w:before="0" w:after="0"/>
                                    <w:jc w:val="both"/>
                                    <w:rPr/>
                                  </w:pPr>
                                  <w:r>
                                    <w:rPr/>
                                    <w:t>Hagit Ynon</w:t>
                                  </w:r>
                                </w:p>
                              </w:tc>
                            </w:tr>
                            <w:tr>
                              <w:trPr/>
                              <w:tc>
                                <w:tcPr>
                                  <w:tcW w:w="365"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lineRule="auto" w:line="300" w:before="0" w:after="0"/>
                                    <w:jc w:val="both"/>
                                    <w:rPr/>
                                  </w:pPr>
                                  <w:r>
                                    <w:rPr/>
                                    <w:t>Chief Financial Officer</w:t>
                                  </w:r>
                                </w:p>
                                <w:p>
                                  <w:pPr>
                                    <w:pStyle w:val="TableContents"/>
                                    <w:bidi w:val="0"/>
                                    <w:spacing w:lineRule="auto" w:line="300" w:before="0" w:after="0"/>
                                    <w:jc w:val="both"/>
                                    <w:rPr/>
                                  </w:pPr>
                                  <w:r>
                                    <w:rPr/>
                                    <w:t>(Principal Financial Officer)</w:t>
                                  </w:r>
                                </w:p>
                              </w:tc>
                            </w:tr>
                          </w:tbl>
                        </w:txbxContent>
                      </wps:txbx>
                      <wps:bodyPr anchor="t" lIns="0" tIns="0" rIns="0" bIns="0">
                        <a:noAutofit/>
                      </wps:bodyPr>
                    </wps:wsp>
                  </a:graphicData>
                </a:graphic>
              </wp:anchor>
            </w:drawing>
          </mc:Choice>
          <mc:Fallback>
            <w:pict>
              <v:rect style="position:absolute;rotation:-0;width:152pt;height:96.85pt;mso-wrap-distance-left:0pt;mso-wrap-distance-right:0pt;mso-wrap-distance-top:0pt;mso-wrap-distance-bottom:0pt;margin-top:0pt;mso-position-vertical:top;mso-position-vertical-relative:text;margin-left:358.25pt;mso-position-horizontal:right;mso-position-horizontal-relative:text">
                <v:textbox>
                  <w:txbxContent>
                    <w:tbl>
                      <w:tblPr>
                        <w:tblW w:w="3040" w:type="dxa"/>
                        <w:jc w:val="left"/>
                        <w:tblInd w:w="0" w:type="dxa"/>
                        <w:tblLayout w:type="fixed"/>
                        <w:tblCellMar>
                          <w:top w:w="0" w:type="dxa"/>
                          <w:left w:w="0" w:type="dxa"/>
                          <w:bottom w:w="0" w:type="dxa"/>
                          <w:right w:w="0" w:type="dxa"/>
                        </w:tblCellMar>
                      </w:tblPr>
                      <w:tblGrid>
                        <w:gridCol w:w="365"/>
                        <w:gridCol w:w="2675"/>
                      </w:tblGrid>
                      <w:tr>
                        <w:trPr/>
                        <w:tc>
                          <w:tcPr>
                            <w:tcW w:w="365" w:type="dxa"/>
                            <w:tcBorders/>
                            <w:vAlign w:val="center"/>
                          </w:tcPr>
                          <w:p>
                            <w:pPr>
                              <w:pStyle w:val="TableContents"/>
                              <w:bidi w:val="0"/>
                              <w:spacing w:lineRule="auto" w:line="300" w:before="0" w:after="0"/>
                              <w:jc w:val="both"/>
                              <w:rPr/>
                            </w:pPr>
                            <w:r>
                              <w:rPr/>
                              <w:t>By:</w:t>
                            </w:r>
                          </w:p>
                        </w:tc>
                        <w:tc>
                          <w:tcPr>
                            <w:tcW w:w="2675" w:type="dxa"/>
                            <w:tcBorders/>
                            <w:vAlign w:val="center"/>
                          </w:tcPr>
                          <w:p>
                            <w:pPr>
                              <w:pStyle w:val="TableContents"/>
                              <w:bidi w:val="0"/>
                              <w:spacing w:lineRule="auto" w:line="300" w:before="0" w:after="0"/>
                              <w:jc w:val="left"/>
                              <w:rPr>
                                <w:u w:val="single"/>
                              </w:rPr>
                            </w:pPr>
                            <w:r>
                              <w:rPr>
                                <w:u w:val="single"/>
                              </w:rPr>
                              <w:t>/s/ Hagit Ynon</w:t>
                            </w:r>
                          </w:p>
                        </w:tc>
                      </w:tr>
                      <w:tr>
                        <w:trPr/>
                        <w:tc>
                          <w:tcPr>
                            <w:tcW w:w="365"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lineRule="auto" w:line="300" w:before="0" w:after="0"/>
                              <w:jc w:val="both"/>
                              <w:rPr/>
                            </w:pPr>
                            <w:r>
                              <w:rPr/>
                              <w:t>Hagit Ynon</w:t>
                            </w:r>
                          </w:p>
                        </w:tc>
                      </w:tr>
                      <w:tr>
                        <w:trPr/>
                        <w:tc>
                          <w:tcPr>
                            <w:tcW w:w="365"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lineRule="auto" w:line="300" w:before="0" w:after="0"/>
                              <w:jc w:val="both"/>
                              <w:rPr/>
                            </w:pPr>
                            <w:r>
                              <w:rPr/>
                              <w:t>Chief Financial Officer</w:t>
                            </w:r>
                          </w:p>
                          <w:p>
                            <w:pPr>
                              <w:pStyle w:val="TableContents"/>
                              <w:bidi w:val="0"/>
                              <w:spacing w:lineRule="auto" w:line="300" w:before="0" w:after="0"/>
                              <w:jc w:val="both"/>
                              <w:rPr/>
                            </w:pPr>
                            <w:r>
                              <w:rPr/>
                              <w:t>(Principal Financial Officer)</w:t>
                            </w:r>
                          </w:p>
                        </w:tc>
                      </w:tr>
                    </w:tbl>
                  </w:txbxContent>
                </v:textbox>
                <w10:wrap type="square" side="left"/>
              </v:rect>
            </w:pict>
          </mc:Fallback>
        </mc:AlternateContent>
      </w:r>
    </w:p>
    <w:p>
      <w:pPr>
        <w:pStyle w:val="TextBody"/>
        <w:bidi w:val="0"/>
        <w:spacing w:lineRule="auto" w:line="300" w:before="0" w:after="0"/>
        <w:jc w:val="left"/>
        <w:rPr/>
      </w:pPr>
      <w:r>
        <w:rPr/>
      </w:r>
    </w:p>
    <w:p>
      <w:pPr>
        <w:pStyle w:val="HorizontalLine"/>
        <w:bidi w:val="0"/>
        <w:spacing w:lineRule="auto" w:line="300"/>
        <w:jc w:val="left"/>
        <w:rPr/>
      </w:pPr>
      <w:r>
        <w:rPr/>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jc w:val="left"/>
        <w:rPr/>
      </w:pPr>
      <w:r>
        <w:rPr/>
      </w:r>
    </w:p>
    <w:p>
      <w:pPr>
        <w:pStyle w:val="HorizontalLine"/>
        <w:bidi w:val="0"/>
        <w:jc w:val="left"/>
        <w:rPr/>
      </w:pPr>
      <w:r>
        <w:rPr/>
      </w:r>
      <w:bookmarkStart w:id="410" w:name="exhibit_15-1.htm"/>
      <w:bookmarkStart w:id="411" w:name="ksexhibit_151"/>
      <w:bookmarkStart w:id="412" w:name="exhibit_15-1.htm"/>
      <w:bookmarkStart w:id="413" w:name="ksexhibit_151"/>
      <w:bookmarkEnd w:id="412"/>
      <w:bookmarkEnd w:id="413"/>
      <w:r>
        <w:br w:type="page"/>
      </w:r>
    </w:p>
    <w:p>
      <w:pPr>
        <w:pStyle w:val="TextBody"/>
        <w:bidi w:val="0"/>
        <w:spacing w:lineRule="auto" w:line="300" w:before="0" w:after="0"/>
        <w:ind w:left="0" w:right="0" w:firstLine="72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15.1</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CONSENT OF INDEPENDENT REGISTERED PUBLIC ACCOUNTING FIRM</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We consent to the incorporation by reference in the Registration Statement (Form S-8 Nos. 333-257354, 333- 263823 and 333-270537) pertaining to the Restated 2012 Share Option Plan, 2021 Share Incentive Plan and the 2021 Employee Share Purchase Plan of WalkMe Ltd., of our report dated March 18, 2024, with respect to the consolidated financial statements of WalkMe Ltd. and its subsidiaries, included in this annual report (Form 20-F) for the year ended December 31, 2023.</w:t>
      </w:r>
    </w:p>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414" w:name="z85683749a71c4626bd9dc1d2f456b8fc"/>
      <w:bookmarkStart w:id="415" w:name="z85683749a71c4626bd9dc1d2f456b8fc"/>
      <w:bookmarkEnd w:id="415"/>
    </w:p>
    <w:tbl>
      <w:tblPr>
        <w:tblW w:w="4780" w:type="dxa"/>
        <w:jc w:val="left"/>
        <w:tblInd w:w="0" w:type="dxa"/>
        <w:tblLayout w:type="fixed"/>
        <w:tblCellMar>
          <w:top w:w="0" w:type="dxa"/>
          <w:left w:w="0" w:type="dxa"/>
          <w:bottom w:w="0" w:type="dxa"/>
          <w:right w:w="0" w:type="dxa"/>
        </w:tblCellMar>
      </w:tblPr>
      <w:tblGrid>
        <w:gridCol w:w="1550"/>
        <w:gridCol w:w="3230"/>
      </w:tblGrid>
      <w:tr>
        <w:trPr/>
        <w:tc>
          <w:tcPr>
            <w:tcW w:w="1550" w:type="dxa"/>
            <w:tcBorders/>
            <w:vAlign w:val="center"/>
          </w:tcPr>
          <w:p>
            <w:pPr>
              <w:pStyle w:val="TableContents"/>
              <w:bidi w:val="0"/>
              <w:spacing w:lineRule="auto" w:line="300" w:before="0" w:after="0"/>
              <w:jc w:val="left"/>
              <w:rPr/>
            </w:pPr>
            <w:r>
              <w:rPr/>
              <w:t>Tel Aviv, Israel</w:t>
            </w:r>
          </w:p>
        </w:tc>
        <w:tc>
          <w:tcPr>
            <w:tcW w:w="3230" w:type="dxa"/>
            <w:tcBorders/>
            <w:vAlign w:val="center"/>
          </w:tcPr>
          <w:p>
            <w:pPr>
              <w:pStyle w:val="TableContents"/>
              <w:bidi w:val="0"/>
              <w:spacing w:lineRule="auto" w:line="300" w:before="0" w:after="0"/>
              <w:jc w:val="left"/>
              <w:rPr/>
            </w:pPr>
            <w:r>
              <w:rPr/>
              <w:t>/s/ Kost Forer Gabbay &amp; Kasierer</w:t>
            </w:r>
          </w:p>
        </w:tc>
      </w:tr>
      <w:tr>
        <w:trPr/>
        <w:tc>
          <w:tcPr>
            <w:tcW w:w="1550" w:type="dxa"/>
            <w:tcBorders/>
            <w:vAlign w:val="center"/>
          </w:tcPr>
          <w:p>
            <w:pPr>
              <w:pStyle w:val="TableContents"/>
              <w:bidi w:val="0"/>
              <w:spacing w:lineRule="auto" w:line="300" w:before="0" w:after="0"/>
              <w:jc w:val="left"/>
              <w:rPr/>
            </w:pPr>
            <w:r>
              <w:rPr/>
              <w:t>March 18, 2024</w:t>
            </w:r>
          </w:p>
        </w:tc>
        <w:tc>
          <w:tcPr>
            <w:tcW w:w="3230" w:type="dxa"/>
            <w:tcBorders/>
            <w:vAlign w:val="center"/>
          </w:tcPr>
          <w:p>
            <w:pPr>
              <w:pStyle w:val="TableContents"/>
              <w:bidi w:val="0"/>
              <w:spacing w:lineRule="auto" w:line="300" w:before="0" w:after="0"/>
              <w:jc w:val="left"/>
              <w:rPr/>
            </w:pPr>
            <w:r>
              <w:rPr/>
              <w:t>A Member of EY Global</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TextBody"/>
        <w:bidi w:val="0"/>
        <w:spacing w:lineRule="auto" w:line="300" w:before="0" w:after="0"/>
        <w:jc w:val="left"/>
        <w:rPr/>
      </w:pPr>
      <w:r>
        <w:rPr/>
      </w:r>
    </w:p>
    <w:p>
      <w:pPr>
        <w:pStyle w:val="TextBody"/>
        <w:bidi w:val="0"/>
        <w:spacing w:lineRule="auto" w:line="300"/>
        <w:jc w:val="left"/>
        <w:rPr/>
      </w:pPr>
      <w:r>
        <w:rPr/>
      </w:r>
    </w:p>
    <w:p>
      <w:pPr>
        <w:pStyle w:val="HorizontalLine"/>
        <w:bidi w:val="0"/>
        <w:jc w:val="left"/>
        <w:rPr/>
      </w:pPr>
      <w:r>
        <w:rPr/>
      </w:r>
      <w:bookmarkStart w:id="416" w:name="exhibit_97-1.htm"/>
      <w:bookmarkStart w:id="417" w:name="ksexhibit_971"/>
      <w:bookmarkStart w:id="418" w:name="exhibit_97-1.htm"/>
      <w:bookmarkStart w:id="419" w:name="ksexhibit_971"/>
      <w:bookmarkEnd w:id="418"/>
      <w:bookmarkEnd w:id="419"/>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97.1</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WALKME LTD.</w:t>
        <w:br/>
        <w:t>POLICY FOR RECOVERY OF ERRONEOUSLY AWARDED COMPENSATION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WalkMe Ltd. (the “</w:t>
      </w:r>
      <w:r>
        <w:rPr>
          <w:rFonts w:ascii="Times New Roman;Times;serif" w:hAnsi="Times New Roman;Times;serif"/>
          <w:b/>
          <w:i/>
          <w:color w:val="000000"/>
          <w:sz w:val="20"/>
        </w:rPr>
        <w:t>Company</w:t>
      </w:r>
      <w:r>
        <w:rPr>
          <w:rFonts w:ascii="Times New Roman;Times;serif" w:hAnsi="Times New Roman;Times;serif"/>
          <w:color w:val="000000"/>
          <w:sz w:val="20"/>
        </w:rPr>
        <w:t>”) has adopted this Policy for Recovery of Erroneously Awarded Compensation (the “</w:t>
      </w:r>
      <w:r>
        <w:rPr>
          <w:rFonts w:ascii="Times New Roman;Times;serif" w:hAnsi="Times New Roman;Times;serif"/>
          <w:b/>
          <w:i/>
          <w:color w:val="000000"/>
          <w:sz w:val="20"/>
        </w:rPr>
        <w:t>Policy</w:t>
      </w:r>
      <w:r>
        <w:rPr>
          <w:rFonts w:ascii="Times New Roman;Times;serif" w:hAnsi="Times New Roman;Times;serif"/>
          <w:color w:val="000000"/>
          <w:sz w:val="20"/>
        </w:rPr>
        <w:t>”), effective as of October 2, 2023 (the “</w:t>
      </w:r>
      <w:r>
        <w:rPr>
          <w:rFonts w:ascii="Times New Roman;Times;serif" w:hAnsi="Times New Roman;Times;serif"/>
          <w:b/>
          <w:i/>
          <w:color w:val="000000"/>
          <w:sz w:val="20"/>
        </w:rPr>
        <w:t>Effective Date</w:t>
      </w:r>
      <w:r>
        <w:rPr>
          <w:rFonts w:ascii="Times New Roman;Times;serif" w:hAnsi="Times New Roman;Times;serif"/>
          <w:color w:val="000000"/>
          <w:sz w:val="20"/>
        </w:rPr>
        <w:t>”).  Capitalized terms used in this Policy but not otherwise defined herein are defined in Section 11.</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0" w:name="ze849fd2f465d4bdb85b71baa5f0712a3"/>
      <w:bookmarkStart w:id="421" w:name="ze849fd2f465d4bdb85b71baa5f0712a3"/>
      <w:bookmarkEnd w:id="421"/>
    </w:p>
    <w:tbl>
      <w:tblPr>
        <w:tblW w:w="2800" w:type="dxa"/>
        <w:jc w:val="left"/>
        <w:tblInd w:w="0" w:type="dxa"/>
        <w:tblLayout w:type="fixed"/>
        <w:tblCellMar>
          <w:top w:w="0" w:type="dxa"/>
          <w:left w:w="0" w:type="dxa"/>
          <w:bottom w:w="0" w:type="dxa"/>
          <w:right w:w="0" w:type="dxa"/>
        </w:tblCellMar>
      </w:tblPr>
      <w:tblGrid>
        <w:gridCol w:w="215"/>
        <w:gridCol w:w="2585"/>
      </w:tblGrid>
      <w:tr>
        <w:trPr/>
        <w:tc>
          <w:tcPr>
            <w:tcW w:w="215" w:type="dxa"/>
            <w:tcBorders/>
            <w:vAlign w:val="center"/>
          </w:tcPr>
          <w:p>
            <w:pPr>
              <w:pStyle w:val="TableContents"/>
              <w:bidi w:val="0"/>
              <w:spacing w:before="0" w:after="283"/>
              <w:jc w:val="left"/>
              <w:rPr>
                <w:b/>
              </w:rPr>
            </w:pPr>
            <w:r>
              <w:rPr>
                <w:b/>
              </w:rPr>
              <w:t>1.</w:t>
            </w:r>
          </w:p>
        </w:tc>
        <w:tc>
          <w:tcPr>
            <w:tcW w:w="2585" w:type="dxa"/>
            <w:tcBorders/>
            <w:vAlign w:val="center"/>
          </w:tcPr>
          <w:p>
            <w:pPr>
              <w:pStyle w:val="TableContents"/>
              <w:bidi w:val="0"/>
              <w:spacing w:before="0" w:after="0"/>
              <w:jc w:val="left"/>
              <w:rPr>
                <w:b/>
                <w:u w:val="single"/>
              </w:rPr>
            </w:pPr>
            <w:r>
              <w:rPr>
                <w:b/>
                <w:u w:val="single"/>
              </w:rPr>
              <w:t>Persons Subject to Policy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Policy shall apply to and be binding and enforceable on current and former Officers. In addition, the Committee and the Board may apply this Policy to persons who are not Officers, and such application shall apply in the manner determined by the Committee and the Board in their sole discretion.</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2" w:name="z6909f239441645ea9d04870f5e17ddf3"/>
      <w:bookmarkStart w:id="423" w:name="z6909f239441645ea9d04870f5e17ddf3"/>
      <w:bookmarkEnd w:id="423"/>
    </w:p>
    <w:tbl>
      <w:tblPr>
        <w:tblW w:w="3475" w:type="dxa"/>
        <w:jc w:val="left"/>
        <w:tblInd w:w="0" w:type="dxa"/>
        <w:tblLayout w:type="fixed"/>
        <w:tblCellMar>
          <w:top w:w="0" w:type="dxa"/>
          <w:left w:w="0" w:type="dxa"/>
          <w:bottom w:w="0" w:type="dxa"/>
          <w:right w:w="0" w:type="dxa"/>
        </w:tblCellMar>
      </w:tblPr>
      <w:tblGrid>
        <w:gridCol w:w="215"/>
        <w:gridCol w:w="3260"/>
      </w:tblGrid>
      <w:tr>
        <w:trPr/>
        <w:tc>
          <w:tcPr>
            <w:tcW w:w="215" w:type="dxa"/>
            <w:tcBorders/>
            <w:vAlign w:val="center"/>
          </w:tcPr>
          <w:p>
            <w:pPr>
              <w:pStyle w:val="TableContents"/>
              <w:bidi w:val="0"/>
              <w:spacing w:before="0" w:after="283"/>
              <w:jc w:val="left"/>
              <w:rPr>
                <w:b/>
              </w:rPr>
            </w:pPr>
            <w:r>
              <w:rPr>
                <w:b/>
              </w:rPr>
              <w:t>2.</w:t>
            </w:r>
          </w:p>
        </w:tc>
        <w:tc>
          <w:tcPr>
            <w:tcW w:w="3260" w:type="dxa"/>
            <w:tcBorders/>
            <w:vAlign w:val="center"/>
          </w:tcPr>
          <w:p>
            <w:pPr>
              <w:pStyle w:val="TableContents"/>
              <w:bidi w:val="0"/>
              <w:spacing w:before="0" w:after="0"/>
              <w:jc w:val="left"/>
              <w:rPr>
                <w:b/>
                <w:u w:val="single"/>
              </w:rPr>
            </w:pPr>
            <w:r>
              <w:rPr>
                <w:b/>
                <w:u w:val="single"/>
              </w:rPr>
              <w:t>Compensation Subject to Policy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4" w:name="z16e0431bd88844428e5d28b2084d0a64"/>
      <w:bookmarkStart w:id="425" w:name="z16e0431bd88844428e5d28b2084d0a64"/>
      <w:bookmarkEnd w:id="425"/>
    </w:p>
    <w:tbl>
      <w:tblPr>
        <w:tblW w:w="2995" w:type="dxa"/>
        <w:jc w:val="left"/>
        <w:tblInd w:w="0" w:type="dxa"/>
        <w:tblLayout w:type="fixed"/>
        <w:tblCellMar>
          <w:top w:w="0" w:type="dxa"/>
          <w:left w:w="0" w:type="dxa"/>
          <w:bottom w:w="0" w:type="dxa"/>
          <w:right w:w="0" w:type="dxa"/>
        </w:tblCellMar>
      </w:tblPr>
      <w:tblGrid>
        <w:gridCol w:w="215"/>
        <w:gridCol w:w="2780"/>
      </w:tblGrid>
      <w:tr>
        <w:trPr/>
        <w:tc>
          <w:tcPr>
            <w:tcW w:w="215" w:type="dxa"/>
            <w:tcBorders/>
            <w:vAlign w:val="center"/>
          </w:tcPr>
          <w:p>
            <w:pPr>
              <w:pStyle w:val="TableContents"/>
              <w:bidi w:val="0"/>
              <w:spacing w:before="0" w:after="283"/>
              <w:jc w:val="left"/>
              <w:rPr>
                <w:b/>
              </w:rPr>
            </w:pPr>
            <w:r>
              <w:rPr>
                <w:b/>
              </w:rPr>
              <w:t>3.</w:t>
            </w:r>
          </w:p>
        </w:tc>
        <w:tc>
          <w:tcPr>
            <w:tcW w:w="2780" w:type="dxa"/>
            <w:tcBorders/>
            <w:vAlign w:val="center"/>
          </w:tcPr>
          <w:p>
            <w:pPr>
              <w:pStyle w:val="TableContents"/>
              <w:bidi w:val="0"/>
              <w:spacing w:before="0" w:after="0"/>
              <w:jc w:val="left"/>
              <w:rPr>
                <w:b/>
                <w:u w:val="single"/>
              </w:rPr>
            </w:pPr>
            <w:r>
              <w:rPr>
                <w:b/>
                <w:u w:val="single"/>
              </w:rPr>
              <w:t>Recovery of Compensation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the event that the Company is required to prepare a Restatement, the Company shall recover, reasonably promptly and in accordance with Section 4 below, the portion of any Incentive-Based Compensation that is Erroneously Awarded Compensation, unless the Committee and the Board have determined that recovery from the relevant current or former Officer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Officer’s right to voluntarily terminate employment for “good reason” or due to a “constructive termination” (or any similar term of like effect) under any plan, program or policy of or agreement with the Company or any of its affiliates.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6" w:name="zab77904349974cbf8ae8dccc63436ae4"/>
      <w:bookmarkStart w:id="427" w:name="zab77904349974cbf8ae8dccc63436ae4"/>
      <w:bookmarkEnd w:id="427"/>
    </w:p>
    <w:tbl>
      <w:tblPr>
        <w:tblW w:w="6100" w:type="dxa"/>
        <w:jc w:val="left"/>
        <w:tblInd w:w="0" w:type="dxa"/>
        <w:tblLayout w:type="fixed"/>
        <w:tblCellMar>
          <w:top w:w="0" w:type="dxa"/>
          <w:left w:w="0" w:type="dxa"/>
          <w:bottom w:w="0" w:type="dxa"/>
          <w:right w:w="0" w:type="dxa"/>
        </w:tblCellMar>
      </w:tblPr>
      <w:tblGrid>
        <w:gridCol w:w="215"/>
        <w:gridCol w:w="5885"/>
      </w:tblGrid>
      <w:tr>
        <w:trPr/>
        <w:tc>
          <w:tcPr>
            <w:tcW w:w="215" w:type="dxa"/>
            <w:tcBorders/>
            <w:vAlign w:val="center"/>
          </w:tcPr>
          <w:p>
            <w:pPr>
              <w:pStyle w:val="TableContents"/>
              <w:bidi w:val="0"/>
              <w:spacing w:before="0" w:after="283"/>
              <w:jc w:val="left"/>
              <w:rPr>
                <w:b/>
              </w:rPr>
            </w:pPr>
            <w:r>
              <w:rPr>
                <w:b/>
              </w:rPr>
              <w:t>4.</w:t>
            </w:r>
          </w:p>
        </w:tc>
        <w:tc>
          <w:tcPr>
            <w:tcW w:w="5885" w:type="dxa"/>
            <w:tcBorders/>
            <w:vAlign w:val="center"/>
          </w:tcPr>
          <w:p>
            <w:pPr>
              <w:pStyle w:val="TableContents"/>
              <w:bidi w:val="0"/>
              <w:spacing w:before="0" w:after="0"/>
              <w:jc w:val="left"/>
              <w:rPr>
                <w:b/>
                <w:u w:val="single"/>
              </w:rPr>
            </w:pPr>
            <w:r>
              <w:rPr>
                <w:b/>
                <w:u w:val="single"/>
              </w:rPr>
              <w:t>Manner of Recovery; Limitation on Duplicative Recovery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Committee and the Board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28" w:name="z8b170a02994049b68f850d2d54083a5e"/>
      <w:bookmarkStart w:id="429" w:name="z8b170a02994049b68f850d2d54083a5e"/>
      <w:bookmarkEnd w:id="429"/>
    </w:p>
    <w:tbl>
      <w:tblPr>
        <w:tblW w:w="1795" w:type="dxa"/>
        <w:jc w:val="left"/>
        <w:tblInd w:w="0" w:type="dxa"/>
        <w:tblLayout w:type="fixed"/>
        <w:tblCellMar>
          <w:top w:w="0" w:type="dxa"/>
          <w:left w:w="0" w:type="dxa"/>
          <w:bottom w:w="0" w:type="dxa"/>
          <w:right w:w="0" w:type="dxa"/>
        </w:tblCellMar>
      </w:tblPr>
      <w:tblGrid>
        <w:gridCol w:w="215"/>
        <w:gridCol w:w="1580"/>
      </w:tblGrid>
      <w:tr>
        <w:trPr/>
        <w:tc>
          <w:tcPr>
            <w:tcW w:w="215" w:type="dxa"/>
            <w:tcBorders/>
            <w:vAlign w:val="center"/>
          </w:tcPr>
          <w:p>
            <w:pPr>
              <w:pStyle w:val="TableContents"/>
              <w:bidi w:val="0"/>
              <w:spacing w:before="0" w:after="283"/>
              <w:jc w:val="left"/>
              <w:rPr>
                <w:b/>
              </w:rPr>
            </w:pPr>
            <w:r>
              <w:rPr>
                <w:b/>
              </w:rPr>
              <w:t>5.</w:t>
            </w:r>
          </w:p>
        </w:tc>
        <w:tc>
          <w:tcPr>
            <w:tcW w:w="1580" w:type="dxa"/>
            <w:tcBorders/>
            <w:vAlign w:val="center"/>
          </w:tcPr>
          <w:p>
            <w:pPr>
              <w:pStyle w:val="TableContents"/>
              <w:bidi w:val="0"/>
              <w:spacing w:before="0" w:after="0"/>
              <w:jc w:val="left"/>
              <w:rPr>
                <w:b/>
                <w:u w:val="single"/>
              </w:rPr>
            </w:pPr>
            <w:r>
              <w:rPr>
                <w:b/>
                <w:u w:val="single"/>
              </w:rPr>
              <w:t>Administration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Policy shall be administered, interpreted and construed by the Committee, which is authorized to make all determinations necessary, appropriate or advisable for such purpose. The Board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shareholders and employees. The Committee may delegate administrative duties with respect to this Policy to one or more directors or employees of the Company, as permitted under applicable law, including any Applicable Rules.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30" w:name="z2451e01a235d4ddeacd6223a3b8b3e3a"/>
      <w:bookmarkStart w:id="431" w:name="z2451e01a235d4ddeacd6223a3b8b3e3a"/>
      <w:bookmarkEnd w:id="431"/>
    </w:p>
    <w:tbl>
      <w:tblPr>
        <w:tblW w:w="1690" w:type="dxa"/>
        <w:jc w:val="left"/>
        <w:tblInd w:w="0" w:type="dxa"/>
        <w:tblLayout w:type="fixed"/>
        <w:tblCellMar>
          <w:top w:w="0" w:type="dxa"/>
          <w:left w:w="0" w:type="dxa"/>
          <w:bottom w:w="0" w:type="dxa"/>
          <w:right w:w="0" w:type="dxa"/>
        </w:tblCellMar>
      </w:tblPr>
      <w:tblGrid>
        <w:gridCol w:w="215"/>
        <w:gridCol w:w="1475"/>
      </w:tblGrid>
      <w:tr>
        <w:trPr/>
        <w:tc>
          <w:tcPr>
            <w:tcW w:w="215" w:type="dxa"/>
            <w:tcBorders/>
            <w:vAlign w:val="center"/>
          </w:tcPr>
          <w:p>
            <w:pPr>
              <w:pStyle w:val="TableContents"/>
              <w:bidi w:val="0"/>
              <w:spacing w:before="0" w:after="283"/>
              <w:jc w:val="left"/>
              <w:rPr>
                <w:b/>
              </w:rPr>
            </w:pPr>
            <w:r>
              <w:rPr>
                <w:b/>
              </w:rPr>
              <w:t>6.</w:t>
            </w:r>
          </w:p>
        </w:tc>
        <w:tc>
          <w:tcPr>
            <w:tcW w:w="1475" w:type="dxa"/>
            <w:tcBorders/>
            <w:vAlign w:val="center"/>
          </w:tcPr>
          <w:p>
            <w:pPr>
              <w:pStyle w:val="TableContents"/>
              <w:bidi w:val="0"/>
              <w:spacing w:before="0" w:after="0"/>
              <w:jc w:val="left"/>
              <w:rPr>
                <w:b/>
                <w:u w:val="single"/>
              </w:rPr>
            </w:pPr>
            <w:r>
              <w:rPr>
                <w:b/>
                <w:u w:val="single"/>
              </w:rPr>
              <w:t>Interpretation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Policy shall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32" w:name="z351ea4c3c947499d954ab7ee30c657a8"/>
      <w:bookmarkStart w:id="433" w:name="z351ea4c3c947499d954ab7ee30c657a8"/>
      <w:bookmarkEnd w:id="433"/>
    </w:p>
    <w:tbl>
      <w:tblPr>
        <w:tblW w:w="3565" w:type="dxa"/>
        <w:jc w:val="left"/>
        <w:tblInd w:w="0" w:type="dxa"/>
        <w:tblLayout w:type="fixed"/>
        <w:tblCellMar>
          <w:top w:w="0" w:type="dxa"/>
          <w:left w:w="0" w:type="dxa"/>
          <w:bottom w:w="0" w:type="dxa"/>
          <w:right w:w="0" w:type="dxa"/>
        </w:tblCellMar>
      </w:tblPr>
      <w:tblGrid>
        <w:gridCol w:w="215"/>
        <w:gridCol w:w="3350"/>
      </w:tblGrid>
      <w:tr>
        <w:trPr/>
        <w:tc>
          <w:tcPr>
            <w:tcW w:w="215" w:type="dxa"/>
            <w:tcBorders/>
            <w:vAlign w:val="center"/>
          </w:tcPr>
          <w:p>
            <w:pPr>
              <w:pStyle w:val="TableContents"/>
              <w:bidi w:val="0"/>
              <w:spacing w:before="0" w:after="283"/>
              <w:jc w:val="left"/>
              <w:rPr>
                <w:b/>
              </w:rPr>
            </w:pPr>
            <w:r>
              <w:rPr>
                <w:b/>
              </w:rPr>
              <w:t>7.</w:t>
            </w:r>
          </w:p>
        </w:tc>
        <w:tc>
          <w:tcPr>
            <w:tcW w:w="3350" w:type="dxa"/>
            <w:tcBorders/>
            <w:vAlign w:val="center"/>
          </w:tcPr>
          <w:p>
            <w:pPr>
              <w:pStyle w:val="TableContents"/>
              <w:bidi w:val="0"/>
              <w:spacing w:before="0" w:after="0"/>
              <w:jc w:val="left"/>
              <w:rPr>
                <w:b/>
                <w:u w:val="single"/>
              </w:rPr>
            </w:pPr>
            <w:r>
              <w:rPr>
                <w:b/>
                <w:u w:val="single"/>
              </w:rPr>
              <w:t>No Indemnification; No Liability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34" w:name="z63f6e8b64da644679bec155913555a64"/>
      <w:bookmarkStart w:id="435" w:name="z63f6e8b64da644679bec155913555a64"/>
      <w:bookmarkEnd w:id="435"/>
    </w:p>
    <w:tbl>
      <w:tblPr>
        <w:tblW w:w="3010" w:type="dxa"/>
        <w:jc w:val="left"/>
        <w:tblInd w:w="0" w:type="dxa"/>
        <w:tblLayout w:type="fixed"/>
        <w:tblCellMar>
          <w:top w:w="0" w:type="dxa"/>
          <w:left w:w="0" w:type="dxa"/>
          <w:bottom w:w="0" w:type="dxa"/>
          <w:right w:w="0" w:type="dxa"/>
        </w:tblCellMar>
      </w:tblPr>
      <w:tblGrid>
        <w:gridCol w:w="215"/>
        <w:gridCol w:w="2795"/>
      </w:tblGrid>
      <w:tr>
        <w:trPr/>
        <w:tc>
          <w:tcPr>
            <w:tcW w:w="215" w:type="dxa"/>
            <w:tcBorders/>
            <w:vAlign w:val="center"/>
          </w:tcPr>
          <w:p>
            <w:pPr>
              <w:pStyle w:val="TableContents"/>
              <w:bidi w:val="0"/>
              <w:spacing w:before="0" w:after="283"/>
              <w:jc w:val="left"/>
              <w:rPr>
                <w:b/>
              </w:rPr>
            </w:pPr>
            <w:r>
              <w:rPr>
                <w:b/>
              </w:rPr>
              <w:t>8.</w:t>
            </w:r>
          </w:p>
        </w:tc>
        <w:tc>
          <w:tcPr>
            <w:tcW w:w="2795" w:type="dxa"/>
            <w:tcBorders/>
            <w:vAlign w:val="center"/>
          </w:tcPr>
          <w:p>
            <w:pPr>
              <w:pStyle w:val="TableContents"/>
              <w:bidi w:val="0"/>
              <w:spacing w:before="0" w:after="0"/>
              <w:jc w:val="left"/>
              <w:rPr>
                <w:b/>
                <w:u w:val="single"/>
              </w:rPr>
            </w:pPr>
            <w:r>
              <w:rPr>
                <w:b/>
                <w:u w:val="single"/>
              </w:rPr>
              <w:t>Application; Enforceability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Except as otherwise determined by the Committee or the Board, the adoption of this Policy does not limit, and is intended to apply in addition to, any Other Recovery Arrangements. Without limiting the foregoing, in the event of a conflict between this Policy and the Compensation Policy, the latter shall prevail, except with respect to the recovery of any portion of Incentive-Based Compensation that is Erroneously Awarded Compensation that would not be recoverable under the Compensation Policy, in which case this Policy shall prevail.  Subject to Section 4, the remedy specified in this Policy shall not be exclusive and shall be in addition to every other right or remedy at law or in equity that may be available to the Company or an affiliate of the Company or is otherwise required by applicable law and regulations.</w:t>
      </w:r>
    </w:p>
    <w:p>
      <w:pPr>
        <w:pStyle w:val="TextBody"/>
        <w:bidi w:val="0"/>
        <w:spacing w:lineRule="auto" w:line="300" w:before="0" w:after="0"/>
        <w:jc w:val="left"/>
        <w:rPr>
          <w:color w:val="000000"/>
        </w:rPr>
      </w:pPr>
      <w:r>
        <w:rPr>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36" w:name="z39466fa3eb4a4c8ab30debd88b5d752b"/>
      <w:bookmarkStart w:id="437" w:name="z39466fa3eb4a4c8ab30debd88b5d752b"/>
      <w:bookmarkEnd w:id="437"/>
    </w:p>
    <w:tbl>
      <w:tblPr>
        <w:tblW w:w="1450" w:type="dxa"/>
        <w:jc w:val="left"/>
        <w:tblInd w:w="0" w:type="dxa"/>
        <w:tblLayout w:type="fixed"/>
        <w:tblCellMar>
          <w:top w:w="0" w:type="dxa"/>
          <w:left w:w="0" w:type="dxa"/>
          <w:bottom w:w="0" w:type="dxa"/>
          <w:right w:w="0" w:type="dxa"/>
        </w:tblCellMar>
      </w:tblPr>
      <w:tblGrid>
        <w:gridCol w:w="215"/>
        <w:gridCol w:w="1235"/>
      </w:tblGrid>
      <w:tr>
        <w:trPr/>
        <w:tc>
          <w:tcPr>
            <w:tcW w:w="215" w:type="dxa"/>
            <w:tcBorders/>
            <w:vAlign w:val="center"/>
          </w:tcPr>
          <w:p>
            <w:pPr>
              <w:pStyle w:val="TableContents"/>
              <w:bidi w:val="0"/>
              <w:spacing w:before="0" w:after="283"/>
              <w:jc w:val="left"/>
              <w:rPr>
                <w:b/>
              </w:rPr>
            </w:pPr>
            <w:r>
              <w:rPr>
                <w:b/>
              </w:rPr>
              <w:t>9.</w:t>
            </w:r>
          </w:p>
        </w:tc>
        <w:tc>
          <w:tcPr>
            <w:tcW w:w="1235" w:type="dxa"/>
            <w:tcBorders/>
            <w:vAlign w:val="center"/>
          </w:tcPr>
          <w:p>
            <w:pPr>
              <w:pStyle w:val="TableContents"/>
              <w:bidi w:val="0"/>
              <w:spacing w:before="0" w:after="0"/>
              <w:jc w:val="left"/>
              <w:rPr>
                <w:b/>
                <w:u w:val="single"/>
              </w:rPr>
            </w:pPr>
            <w:r>
              <w:rPr>
                <w:b/>
                <w:u w:val="single"/>
              </w:rPr>
              <w:t>Severability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38" w:name="zac5a097330ba4e5abf51e3bceecbe155"/>
      <w:bookmarkStart w:id="439" w:name="zac5a097330ba4e5abf51e3bceecbe155"/>
      <w:bookmarkEnd w:id="439"/>
    </w:p>
    <w:tbl>
      <w:tblPr>
        <w:tblW w:w="3415" w:type="dxa"/>
        <w:jc w:val="left"/>
        <w:tblInd w:w="0" w:type="dxa"/>
        <w:tblLayout w:type="fixed"/>
        <w:tblCellMar>
          <w:top w:w="0" w:type="dxa"/>
          <w:left w:w="0" w:type="dxa"/>
          <w:bottom w:w="0" w:type="dxa"/>
          <w:right w:w="0" w:type="dxa"/>
        </w:tblCellMar>
      </w:tblPr>
      <w:tblGrid>
        <w:gridCol w:w="335"/>
        <w:gridCol w:w="3080"/>
      </w:tblGrid>
      <w:tr>
        <w:trPr/>
        <w:tc>
          <w:tcPr>
            <w:tcW w:w="335" w:type="dxa"/>
            <w:tcBorders/>
            <w:vAlign w:val="center"/>
          </w:tcPr>
          <w:p>
            <w:pPr>
              <w:pStyle w:val="TableContents"/>
              <w:bidi w:val="0"/>
              <w:spacing w:before="0" w:after="283"/>
              <w:jc w:val="left"/>
              <w:rPr>
                <w:b/>
              </w:rPr>
            </w:pPr>
            <w:r>
              <w:rPr>
                <w:b/>
              </w:rPr>
              <w:t>10.</w:t>
            </w:r>
          </w:p>
        </w:tc>
        <w:tc>
          <w:tcPr>
            <w:tcW w:w="3080" w:type="dxa"/>
            <w:tcBorders/>
            <w:vAlign w:val="center"/>
          </w:tcPr>
          <w:p>
            <w:pPr>
              <w:pStyle w:val="TableContents"/>
              <w:bidi w:val="0"/>
              <w:spacing w:before="0" w:after="0"/>
              <w:jc w:val="left"/>
              <w:rPr>
                <w:b/>
                <w:u w:val="single"/>
              </w:rPr>
            </w:pPr>
            <w:r>
              <w:rPr>
                <w:b/>
                <w:u w:val="single"/>
              </w:rPr>
              <w:t>Amendment and Termination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 in the U.S.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0" w:name="zb07088d8965242aaa26fad8ccd10f3c6"/>
      <w:bookmarkStart w:id="441" w:name="zb07088d8965242aaa26fad8ccd10f3c6"/>
      <w:bookmarkEnd w:id="441"/>
    </w:p>
    <w:tbl>
      <w:tblPr>
        <w:tblW w:w="1465" w:type="dxa"/>
        <w:jc w:val="left"/>
        <w:tblInd w:w="0" w:type="dxa"/>
        <w:tblLayout w:type="fixed"/>
        <w:tblCellMar>
          <w:top w:w="0" w:type="dxa"/>
          <w:left w:w="0" w:type="dxa"/>
          <w:bottom w:w="0" w:type="dxa"/>
          <w:right w:w="0" w:type="dxa"/>
        </w:tblCellMar>
      </w:tblPr>
      <w:tblGrid>
        <w:gridCol w:w="335"/>
        <w:gridCol w:w="1130"/>
      </w:tblGrid>
      <w:tr>
        <w:trPr/>
        <w:tc>
          <w:tcPr>
            <w:tcW w:w="335" w:type="dxa"/>
            <w:tcBorders/>
            <w:vAlign w:val="center"/>
          </w:tcPr>
          <w:p>
            <w:pPr>
              <w:pStyle w:val="TableContents"/>
              <w:bidi w:val="0"/>
              <w:spacing w:before="0" w:after="283"/>
              <w:jc w:val="left"/>
              <w:rPr>
                <w:b/>
              </w:rPr>
            </w:pPr>
            <w:r>
              <w:rPr>
                <w:b/>
              </w:rPr>
              <w:t>11.</w:t>
            </w:r>
          </w:p>
        </w:tc>
        <w:tc>
          <w:tcPr>
            <w:tcW w:w="1130" w:type="dxa"/>
            <w:tcBorders/>
            <w:vAlign w:val="center"/>
          </w:tcPr>
          <w:p>
            <w:pPr>
              <w:pStyle w:val="TableContents"/>
              <w:bidi w:val="0"/>
              <w:spacing w:before="0" w:after="0"/>
              <w:jc w:val="left"/>
              <w:rPr>
                <w:b/>
                <w:u w:val="single"/>
              </w:rPr>
            </w:pPr>
            <w:r>
              <w:rPr>
                <w:b/>
                <w:u w:val="single"/>
              </w:rPr>
              <w:t>Definitions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Applicable Rules</w:t>
      </w:r>
      <w:r>
        <w:rPr>
          <w:rFonts w:ascii="Times New Roman;Times;serif" w:hAnsi="Times New Roman;Times;serif"/>
          <w:color w:val="000000"/>
          <w:sz w:val="20"/>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pStyle w:val="TextBody"/>
        <w:bidi w:val="0"/>
        <w:spacing w:lineRule="auto" w:line="300" w:before="0" w:after="0"/>
        <w:jc w:val="left"/>
        <w:rPr/>
      </w:pPr>
      <w:r>
        <w:rPr/>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Board</w:t>
      </w:r>
      <w:r>
        <w:rPr>
          <w:rFonts w:ascii="Times New Roman;Times;serif" w:hAnsi="Times New Roman;Times;serif"/>
          <w:color w:val="000000"/>
          <w:sz w:val="20"/>
        </w:rPr>
        <w:t>” means the Board of Directors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Compensation Policy</w:t>
      </w:r>
      <w:r>
        <w:rPr>
          <w:rFonts w:ascii="Times New Roman;Times;serif" w:hAnsi="Times New Roman;Times;serif"/>
          <w:color w:val="000000"/>
          <w:sz w:val="20"/>
        </w:rPr>
        <w:t>” means the Company’s compensation policy for officers and directors, as adopted in accordance with the Israeli Companies Law 5759-1999 and as in effect from time to time.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Committee</w:t>
      </w:r>
      <w:r>
        <w:rPr>
          <w:rFonts w:ascii="Times New Roman;Times;serif" w:hAnsi="Times New Roman;Times;serif"/>
          <w:color w:val="000000"/>
          <w:sz w:val="20"/>
        </w:rPr>
        <w:t>” means the Compensation Committee of the Board or, in the absence of such a committee, a majority of the independent directors serving on the Board.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Erroneously Awarded Compensation</w:t>
      </w:r>
      <w:r>
        <w:rPr>
          <w:rFonts w:ascii="Times New Roman;Times;serif" w:hAnsi="Times New Roman;Times;serif"/>
          <w:color w:val="000000"/>
          <w:sz w:val="20"/>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Exchange Act</w:t>
      </w:r>
      <w:r>
        <w:rPr>
          <w:rFonts w:ascii="Times New Roman;Times;serif" w:hAnsi="Times New Roman;Times;serif"/>
          <w:color w:val="000000"/>
          <w:sz w:val="20"/>
        </w:rPr>
        <w:t>” means the Securities Exchange Act of 1934, as amended.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Financial Reporting Measure</w:t>
      </w:r>
      <w:r>
        <w:rPr>
          <w:rFonts w:ascii="Times New Roman;Times;serif" w:hAnsi="Times New Roman;Times;serif"/>
          <w:color w:val="000000"/>
          <w:sz w:val="20"/>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price and total shareholder return.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GAAP</w:t>
      </w:r>
      <w:r>
        <w:rPr>
          <w:rFonts w:ascii="Times New Roman;Times;serif" w:hAnsi="Times New Roman;Times;serif"/>
          <w:color w:val="000000"/>
          <w:sz w:val="20"/>
        </w:rPr>
        <w:t>” means United States generally accepted accounting principles.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IFRS</w:t>
      </w:r>
      <w:r>
        <w:rPr>
          <w:rFonts w:ascii="Times New Roman;Times;serif" w:hAnsi="Times New Roman;Times;serif"/>
          <w:color w:val="000000"/>
          <w:sz w:val="20"/>
        </w:rPr>
        <w:t>” means international financial reporting standards as adopted by the International Accounting Standards Board.</w:t>
      </w:r>
    </w:p>
    <w:p>
      <w:pPr>
        <w:pStyle w:val="TextBody"/>
        <w:bidi w:val="0"/>
        <w:spacing w:lineRule="auto" w:line="300" w:before="0" w:after="0"/>
        <w:jc w:val="left"/>
        <w:rPr>
          <w:color w:val="000000"/>
        </w:rPr>
      </w:pPr>
      <w:r>
        <w:rPr>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Impracticable</w:t>
      </w:r>
      <w:r>
        <w:rPr>
          <w:rFonts w:ascii="Times New Roman;Times;serif" w:hAnsi="Times New Roman;Times;serif"/>
          <w:color w:val="000000"/>
          <w:sz w:val="20"/>
        </w:rPr>
        <w:t>” means (a) the direct expense paid to third parties to assist in enforcing recovery would exceed the Erroneously Awarded Compensation; provided that the Company has (i) made reasonable attempt(s) to recover the Erroneously Awarded Compensation, (ii) documented such reasonable attempt(s) and (iii) provided such documentation to the relevant listing exchange or association, (b) the recovery would violate the Company’s home country laws adopted prior to November 28, 2022 pursuant to an opinion of home country counsel; provided that the Company has (i) obtained an opinion of home country counsel, acceptable to the relevant listing exchange or association, that recovery would result in such a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Incentive-Based Compensation</w:t>
      </w:r>
      <w:r>
        <w:rPr>
          <w:rFonts w:ascii="Times New Roman;Times;serif" w:hAnsi="Times New Roman;Times;serif"/>
          <w:color w:val="000000"/>
          <w:sz w:val="20"/>
        </w:rPr>
        <w:t>” means, with respect to a Restatement, any compensation that is granted, earned, or vested based wholly or in part upon the attainment of one or more Financial Reporting Measures and received by a person: (a) after such person began service as an Officer; (b) who served as an Officer at any time during the performance period for that compensation; (c) while the Company has a class of securities listed on a national securities exchange or association; and (d) during the applicable Three-Year Period.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Officer</w:t>
      </w:r>
      <w:r>
        <w:rPr>
          <w:rFonts w:ascii="Times New Roman;Times;serif" w:hAnsi="Times New Roman;Times;serif"/>
          <w:color w:val="000000"/>
          <w:sz w:val="20"/>
        </w:rPr>
        <w:t>” means each person who the Company determines serves as a Company officer, as defined in Section 16 of the Securities Exchange Act of 1934, as amended.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Other Recovery Arrangements</w:t>
      </w:r>
      <w:r>
        <w:rPr>
          <w:rFonts w:ascii="Times New Roman;Times;serif" w:hAnsi="Times New Roman;Times;serif"/>
          <w:color w:val="000000"/>
          <w:sz w:val="20"/>
        </w:rPr>
        <w:t>” means any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(including, without limitation, the Compensation Policy).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Restatement</w:t>
      </w:r>
      <w:r>
        <w:rPr>
          <w:rFonts w:ascii="Times New Roman;Times;serif" w:hAnsi="Times New Roman;Times;serif"/>
          <w:color w:val="000000"/>
          <w:sz w:val="20"/>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r>
        <w:rPr>
          <w:rFonts w:ascii="Times New Roman;Times;serif" w:hAnsi="Times New Roman;Times;serif"/>
          <w:i/>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Three-Year Period</w:t>
      </w:r>
      <w:r>
        <w:rPr>
          <w:rFonts w:ascii="Times New Roman;Times;serif" w:hAnsi="Times New Roman;Times;serif"/>
          <w:color w:val="000000"/>
          <w:sz w:val="20"/>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pStyle w:val="TextBody"/>
        <w:bidi w:val="0"/>
        <w:spacing w:lineRule="auto" w:line="300" w:before="0" w:after="0"/>
        <w:jc w:val="left"/>
        <w:rPr>
          <w:color w:val="000000"/>
        </w:rPr>
      </w:pPr>
      <w:r>
        <w:rPr>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b/>
          <w:color w:val="000000"/>
          <w:sz w:val="20"/>
        </w:rPr>
        <w:t>ACKNOWLEDGMENT AND CONSENT TO</w:t>
      </w:r>
      <w:r>
        <w:rPr>
          <w:rFonts w:ascii="Times New Roman;Times;serif" w:hAnsi="Times New Roman;Times;serif"/>
          <w:color w:val="000000"/>
          <w:sz w:val="20"/>
        </w:rPr>
        <w:br/>
      </w:r>
      <w:r>
        <w:rPr>
          <w:rFonts w:ascii="Times New Roman;Times;serif" w:hAnsi="Times New Roman;Times;serif"/>
          <w:b/>
          <w:color w:val="000000"/>
          <w:sz w:val="20"/>
        </w:rPr>
        <w:t>POLICY FOR RECOVERY OF ERRONEOUSLY AWARDED COMPENSATION</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undersigned has received a copy of the Policy for Recovery of Erroneously Awarded Compensation (the “Policy”) adopted by WalkMe Ltd. (the “Company”), and has read and understands the Policy. Capitalized terms used but not defined herein shall have the meanings ascribed to such terms in the Policy.</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As a condition of receiving Incentive-Based Compensation from the Company, the undersigned agrees that any Incentive-Based Compensation received on or after the Effective Date is subject to recovery pursuant to the terms of the Policy. To the extent the Company’s recovery right conflicts with any other contractual rights the undersigned may have with the Company, the undersigned understands that the terms of the Policy shall supersede any such contractual rights. The terms of the Policy shall apply in addition to any right of recoupment against the undersigned under the Compensation Policy or applicable law and regulations.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2" w:name="z1b786fb45363437d8e89b17c890f57a9"/>
      <w:bookmarkStart w:id="443" w:name="z1b786fb45363437d8e89b17c890f57a9"/>
      <w:bookmarkEnd w:id="443"/>
    </w:p>
    <w:tbl>
      <w:tblPr>
        <w:tblW w:w="7150" w:type="dxa"/>
        <w:jc w:val="left"/>
        <w:tblInd w:w="0" w:type="dxa"/>
        <w:tblLayout w:type="fixed"/>
        <w:tblCellMar>
          <w:top w:w="0" w:type="dxa"/>
          <w:left w:w="0" w:type="dxa"/>
          <w:bottom w:w="0" w:type="dxa"/>
          <w:right w:w="0" w:type="dxa"/>
        </w:tblCellMar>
      </w:tblPr>
      <w:tblGrid>
        <w:gridCol w:w="2315"/>
        <w:gridCol w:w="4835"/>
      </w:tblGrid>
      <w:tr>
        <w:trPr/>
        <w:tc>
          <w:tcPr>
            <w:tcW w:w="2315" w:type="dxa"/>
            <w:tcBorders/>
            <w:vAlign w:val="center"/>
          </w:tcPr>
          <w:p>
            <w:pPr>
              <w:pStyle w:val="TableContents"/>
              <w:bidi w:val="0"/>
              <w:spacing w:lineRule="auto" w:line="300" w:before="0" w:after="0"/>
              <w:jc w:val="both"/>
              <w:rPr/>
            </w:pPr>
            <w:r>
              <w:rPr/>
              <w:t>___________________</w:t>
            </w:r>
          </w:p>
          <w:p>
            <w:pPr>
              <w:pStyle w:val="TableContents"/>
              <w:bidi w:val="0"/>
              <w:spacing w:lineRule="auto" w:line="300" w:before="0" w:after="0"/>
              <w:jc w:val="both"/>
              <w:rPr/>
            </w:pPr>
            <w:r>
              <w:rPr/>
              <w:t>Date</w:t>
            </w:r>
          </w:p>
        </w:tc>
        <w:tc>
          <w:tcPr>
            <w:tcW w:w="4835" w:type="dxa"/>
            <w:tcBorders/>
            <w:vAlign w:val="center"/>
          </w:tcPr>
          <w:p>
            <w:pPr>
              <w:pStyle w:val="TableContents"/>
              <w:bidi w:val="0"/>
              <w:spacing w:lineRule="auto" w:line="300" w:before="0" w:after="0"/>
              <w:jc w:val="both"/>
              <w:rPr/>
            </w:pPr>
            <w:r>
              <w:rPr/>
              <w:t>________________________________________</w:t>
            </w:r>
          </w:p>
          <w:p>
            <w:pPr>
              <w:pStyle w:val="TableContents"/>
              <w:bidi w:val="0"/>
              <w:spacing w:lineRule="auto" w:line="300" w:before="0" w:after="0"/>
              <w:jc w:val="both"/>
              <w:rPr/>
            </w:pPr>
            <w:r>
              <w:rPr/>
              <w:t>Signature</w:t>
            </w:r>
          </w:p>
          <w:p>
            <w:pPr>
              <w:pStyle w:val="TableContents"/>
              <w:bidi w:val="0"/>
              <w:spacing w:lineRule="auto" w:line="300" w:before="0" w:after="0"/>
              <w:jc w:val="left"/>
              <w:rPr/>
            </w:pPr>
            <w:r>
              <w:rPr/>
              <w:t> </w:t>
            </w:r>
          </w:p>
        </w:tc>
      </w:tr>
      <w:tr>
        <w:trPr/>
        <w:tc>
          <w:tcPr>
            <w:tcW w:w="2315"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lineRule="auto" w:line="300" w:before="0" w:after="0"/>
              <w:jc w:val="both"/>
              <w:rPr/>
            </w:pPr>
            <w:r>
              <w:rPr/>
              <w:t>________________________________________</w:t>
            </w:r>
          </w:p>
          <w:p>
            <w:pPr>
              <w:pStyle w:val="TableContents"/>
              <w:bidi w:val="0"/>
              <w:spacing w:lineRule="auto" w:line="300" w:before="0" w:after="0"/>
              <w:jc w:val="both"/>
              <w:rPr/>
            </w:pPr>
            <w:r>
              <w:rPr/>
              <w:t>Name</w:t>
            </w:r>
          </w:p>
          <w:p>
            <w:pPr>
              <w:pStyle w:val="TableContents"/>
              <w:bidi w:val="0"/>
              <w:spacing w:lineRule="auto" w:line="300" w:before="0" w:after="0"/>
              <w:jc w:val="left"/>
              <w:rPr/>
            </w:pPr>
            <w:r>
              <w:rPr/>
              <w:t> </w:t>
            </w:r>
          </w:p>
        </w:tc>
      </w:tr>
      <w:tr>
        <w:trPr/>
        <w:tc>
          <w:tcPr>
            <w:tcW w:w="2315"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lineRule="auto" w:line="300" w:before="0" w:after="0"/>
              <w:jc w:val="both"/>
              <w:rPr/>
            </w:pPr>
            <w:r>
              <w:rPr/>
              <w:t>________________________________________</w:t>
            </w:r>
          </w:p>
          <w:p>
            <w:pPr>
              <w:pStyle w:val="TableContents"/>
              <w:bidi w:val="0"/>
              <w:spacing w:lineRule="auto" w:line="300" w:before="0" w:after="0"/>
              <w:jc w:val="both"/>
              <w:rPr/>
            </w:pPr>
            <w:r>
              <w:rPr/>
              <w:t>Title</w:t>
            </w:r>
          </w:p>
        </w:tc>
      </w:tr>
    </w:tbl>
    <w:p>
      <w:pPr>
        <w:pStyle w:val="TextBody"/>
        <w:bidi w:val="0"/>
        <w:spacing w:lineRule="auto" w:line="300"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b w:val="false"/>
          <w:i w:val="false"/>
          <w:caps w:val="false"/>
          <w:smallCaps w:val="false"/>
          <w:color w:val="000000"/>
          <w:sz w:val="20"/>
        </w:rPr>
        <w:t>5</w:t>
      </w:r>
      <w:r>
        <w:rPr>
          <w:rFonts w:ascii="Times New Roman;Times;serif" w:hAnsi="Times New Roman;Times;serif"/>
          <w:color w:val="000000"/>
          <w:sz w:val="20"/>
        </w:rPr>
        <w:t xml:space="preserve"> </w:t>
      </w:r>
    </w:p>
    <w:p>
      <w:pPr>
        <w:pStyle w:val="HorizontalLine"/>
        <w:bidi w:val="0"/>
        <w:spacing w:before="0" w:after="283"/>
        <w:jc w:val="center"/>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hyperlink" Target="https://www.sec.gov/Archives/edgar/data/1847584/000117891323000983/0001178913-23-000983-index.htm" TargetMode="External"/><Relationship Id="rId23" Type="http://schemas.openxmlformats.org/officeDocument/2006/relationships/hyperlink" Target="https://www.sec.gov/Archives/edgar/data/1847584/000119312521183894/d143770dex105.htm" TargetMode="External"/><Relationship Id="rId24" Type="http://schemas.openxmlformats.org/officeDocument/2006/relationships/hyperlink" Target="https://www.sec.gov/Archives/edgar/data/1847584/000119312521183894/d143770dex101.htm" TargetMode="External"/><Relationship Id="rId25" Type="http://schemas.openxmlformats.org/officeDocument/2006/relationships/hyperlink" Target="https://www.sec.gov/Archives/edgar/data/1847584/000119312521183894/d143770dex102.htm" TargetMode="External"/><Relationship Id="rId26" Type="http://schemas.openxmlformats.org/officeDocument/2006/relationships/hyperlink" Target="https://www.sec.gov/Archives/edgar/data/1847584/000119312521183894/d143770dex103.htm" TargetMode="External"/><Relationship Id="rId27" Type="http://schemas.openxmlformats.org/officeDocument/2006/relationships/hyperlink" Target="https://www.sec.gov/Archives/edgar/data/1847584/000119312521183894/d143770dex104.htm" TargetMode="External"/><Relationship Id="rId28" Type="http://schemas.openxmlformats.org/officeDocument/2006/relationships/hyperlink" Target="https://www.sec.gov/Archives/edgar/data/1847584/000119312521189389/d143770dex42.htm" TargetMode="External"/><Relationship Id="rId29" Type="http://schemas.openxmlformats.org/officeDocument/2006/relationships/hyperlink" Target="https://www.sec.gov/Archives/edgar/data/1847584/000117891322001250/exhibit_1-1.htm" TargetMode="External"/><Relationship Id="rId30" Type="http://schemas.openxmlformats.org/officeDocument/2006/relationships/hyperlink" Target="https://www.sec.gov/Archives/edgar/data/1847584/000117891322001250/exhibit_1-1.htm" TargetMode="External"/><Relationship Id="rId31" Type="http://schemas.openxmlformats.org/officeDocument/2006/relationships/hyperlink" Target="https://www.sec.gov/Archives/edgar/data/1847584/000119312521183894/d143770dex41.htm" TargetMode="External"/><Relationship Id="rId32" Type="http://schemas.openxmlformats.org/officeDocument/2006/relationships/hyperlink" Target="https://www.sec.gov/Archives/edgar/data/1847584/000119312521183894/d143770dex41.htm" TargetMode="External"/><Relationship Id="rId33" Type="http://schemas.openxmlformats.org/officeDocument/2006/relationships/hyperlink" Target="https://www.sec.gov/Archives/edgar/data/1847584/000119312521183894/d143770dex41.htm" TargetMode="External"/><Relationship Id="rId34" Type="http://schemas.openxmlformats.org/officeDocument/2006/relationships/hyperlink" Target="https://www.sec.gov/Archives/edgar/data/1847584/000119312521183894/d143770dex105.htm" TargetMode="External"/><Relationship Id="rId35" Type="http://schemas.openxmlformats.org/officeDocument/2006/relationships/hyperlink" Target="https://www.sec.gov/Archives/edgar/data/1847584/000119312521183894/d143770dex105.htm" TargetMode="External"/><Relationship Id="rId36" Type="http://schemas.openxmlformats.org/officeDocument/2006/relationships/hyperlink" Target="https://www.sec.gov/Archives/edgar/data/1847584/000119312521183894/d143770dex101.htm" TargetMode="External"/><Relationship Id="rId37" Type="http://schemas.openxmlformats.org/officeDocument/2006/relationships/hyperlink" Target="https://www.sec.gov/Archives/edgar/data/1847584/000119312521183894/d143770dex101.htm" TargetMode="External"/><Relationship Id="rId38" Type="http://schemas.openxmlformats.org/officeDocument/2006/relationships/hyperlink" Target="https://www.sec.gov/Archives/edgar/data/1847584/000119312521183894/d143770dex102.htm" TargetMode="External"/><Relationship Id="rId39" Type="http://schemas.openxmlformats.org/officeDocument/2006/relationships/hyperlink" Target="https://www.sec.gov/Archives/edgar/data/1847584/000119312521183894/d143770dex102.htm" TargetMode="External"/><Relationship Id="rId40" Type="http://schemas.openxmlformats.org/officeDocument/2006/relationships/hyperlink" Target="https://www.sec.gov/Archives/edgar/data/1847584/000119312521183894/d143770dex103.htm" TargetMode="External"/><Relationship Id="rId41" Type="http://schemas.openxmlformats.org/officeDocument/2006/relationships/hyperlink" Target="https://www.sec.gov/Archives/edgar/data/1847584/000119312521183894/d143770dex103.htm" TargetMode="External"/><Relationship Id="rId42" Type="http://schemas.openxmlformats.org/officeDocument/2006/relationships/hyperlink" Target="https://www.sec.gov/Archives/edgar/data/1847584/000119312521183894/d143770dex104.htm" TargetMode="External"/><Relationship Id="rId43" Type="http://schemas.openxmlformats.org/officeDocument/2006/relationships/hyperlink" Target="https://www.sec.gov/Archives/edgar/data/1847584/000119312521183894/d143770dex104.htm" TargetMode="External"/><Relationship Id="rId44" Type="http://schemas.openxmlformats.org/officeDocument/2006/relationships/hyperlink" Target="https://www.sec.gov/Archives/edgar/data/1847584/000119312521189389/d143770dex42.htm" TargetMode="External"/><Relationship Id="rId45" Type="http://schemas.openxmlformats.org/officeDocument/2006/relationships/hyperlink" Target="https://www.sec.gov/Archives/edgar/data/1847584/000119312521189389/d143770dex42.htm" TargetMode="External"/><Relationship Id="rId46" Type="http://schemas.openxmlformats.org/officeDocument/2006/relationships/hyperlink" Target="https://www.sec.gov/Archives/edgar/data/1847584/000117891323000983/exhibit_8-1.htm" TargetMode="External"/><Relationship Id="rId47" Type="http://schemas.openxmlformats.org/officeDocument/2006/relationships/hyperlink" Target="https://www.sec.gov/Archives/edgar/data/1847584/000117891323000983/exhibit_8-1.htm" TargetMode="External"/><Relationship Id="rId48" Type="http://schemas.openxmlformats.org/officeDocument/2006/relationships/hyperlink" Target="https://www.sec.gov/Archives/edgar/data/1847584/000117891323000983/exhibit_8-1.htm" TargetMode="External"/><Relationship Id="rId49" Type="http://schemas.openxmlformats.org/officeDocument/2006/relationships/image" Target="media/image21.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102398</Words>
  <Characters>561215</Characters>
  <CharactersWithSpaces>664775</CharactersWithSpaces>
  <Paragraphs>11347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