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42187.10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06/18/2021 Founder Stock</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3046</w:t>
      </w:r>
      <w:r>
        <w:rPr>
          <w:sz w:val="20"/>
          <w:szCs w:val="20"/>
          <w:color w:val="auto"/>
        </w:rPr>
        <w:tab/>
      </w:r>
      <w:r>
        <w:rPr>
          <w:rFonts w:ascii="Times New Roman" w:cs="Times New Roman" w:eastAsia="Times New Roman" w:hAnsi="Times New Roman"/>
          <w:sz w:val="21"/>
          <w:szCs w:val="21"/>
          <w:color w:val="auto"/>
        </w:rPr>
        <w:t>06/18/2021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9"/>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08/26/2024 3540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49029.00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08/23/2024 56740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785866.02</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08/16/2024 128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1772.80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08/15/2024 9487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131396.85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08/14/2024 10017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138735.45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187191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2595328.34</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41588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576763.18</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1863046.20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1014614.11</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08/27/2024</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ectPr>
          <w:pgSz w:w="11900" w:h="16843" w:orient="portrait"/>
          <w:cols w:equalWidth="0" w:num="1">
            <w:col w:w="11240"/>
          </w:cols>
          <w:pgMar w:left="320" w:top="10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43"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2024-08-27T15:24:33Z</dcterms:created>
  <dcterms:modified xsi:type="dcterms:W3CDTF">2024-08-27T15:24:33Z</dcterms:modified>
</cp:coreProperties>
</file>