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left"/>
        <w:rPr/>
      </w:pPr>
      <w:r>
        <w:rPr/>
      </w:r>
      <w:bookmarkStart w:id="0" w:name="zk2431753.htm"/>
      <w:bookmarkStart w:id="1" w:name="kszk2431753"/>
      <w:bookmarkStart w:id="2" w:name="zk2431753.htm"/>
      <w:bookmarkStart w:id="3" w:name="kszk2431753"/>
      <w:bookmarkEnd w:id="2"/>
      <w:bookmarkEnd w:id="3"/>
    </w:p>
    <w:p>
      <w:pPr>
        <w:pStyle w:val="TextBody"/>
        <w:bidi w:val="0"/>
        <w:spacing w:lineRule="auto" w:line="300" w:before="0" w:after="0"/>
        <w:jc w:val="left"/>
        <w:rPr/>
      </w:pPr>
      <w:r>
        <w:rPr/>
      </w:r>
    </w:p>
    <w:p>
      <w:pPr>
        <w:pStyle w:val="TextBody"/>
        <w:bidi w:val="0"/>
        <w:spacing w:lineRule="auto" w:line="30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300"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PURSUANT TO SECTION 13A-16 OR 15D-16</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For the month of August 2024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Commission File Number: 001-40490</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32"/>
        </w:rPr>
      </w:pPr>
      <w:r>
        <w:rPr>
          <w:rFonts w:ascii="Times New Roman;serif" w:hAnsi="Times New Roman;serif"/>
          <w:b/>
          <w:color w:val="000000"/>
          <w:sz w:val="32"/>
        </w:rPr>
        <w:t>WalkMe Ltd.</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 Walter Moses St.</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Tel Aviv 6789903, Israel</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+972 (3) 763-0333</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Indicate by check mark whether the registrant files or will file annual reports under cover of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color w:val="000000"/>
          <w:sz w:val="20"/>
        </w:rPr>
      </w:pPr>
      <w:r>
        <w:rPr>
          <w:rFonts w:ascii="Times New Roman;serif" w:hAnsi="Times New Roman;serif"/>
          <w:color w:val="000000"/>
          <w:sz w:val="20"/>
        </w:rPr>
        <w:t>Form 20-F ☒     Form 40-F ☐</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b/>
          <w:color w:val="000000"/>
          <w:sz w:val="20"/>
        </w:rPr>
      </w:pPr>
      <w:r>
        <w:rPr>
          <w:rFonts w:ascii="Times New Roman;serif" w:hAnsi="Times New Roman;serif"/>
          <w:b/>
          <w:color w:val="000000"/>
          <w:sz w:val="20"/>
        </w:rPr>
        <w:t>Earnings Results</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rPr>
      </w:pPr>
      <w:r>
        <w:rPr>
          <w:rFonts w:ascii="Times New Roman;serif" w:hAnsi="Times New Roman;serif"/>
          <w:color w:val="000000"/>
          <w:sz w:val="20"/>
        </w:rPr>
        <w:t>On August 1, 2024, WalkMe Ltd. (the “Company”) issued a press release titled “WalkMe Ltd. Announces Second Quarter 2024 Financial Results.” A copy of the press release is furnished as Exhibit 99.1 herewith.</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rPr>
      </w:pPr>
      <w:r>
        <w:rPr>
          <w:rFonts w:ascii="Times New Roman;serif" w:hAnsi="Times New Roman;serif"/>
          <w:color w:val="000000"/>
          <w:sz w:val="20"/>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pStyle w:val="TextBody"/>
        <w:bidi w:val="0"/>
        <w:spacing w:lineRule="auto" w:line="300" w:before="0" w:after="0"/>
        <w:jc w:val="left"/>
        <w:rPr/>
      </w:pPr>
      <w:r>
        <w:rPr/>
      </w:r>
    </w:p>
    <w:p>
      <w:pPr>
        <w:pStyle w:val="TextBody"/>
        <w:bidi w:val="0"/>
        <w:spacing w:lineRule="auto" w:line="300" w:before="0" w:after="0"/>
        <w:jc w:val="both"/>
        <w:rPr>
          <w:rFonts w:ascii="Times New Roman;serif" w:hAnsi="Times New Roman;serif"/>
          <w:color w:val="000000"/>
          <w:sz w:val="20"/>
        </w:rPr>
      </w:pPr>
      <w:r>
        <w:rPr>
          <w:rFonts w:ascii="Times New Roman;serif" w:hAnsi="Times New Roman;serif"/>
          <w:color w:val="000000"/>
          <w:sz w:val="20"/>
        </w:rPr>
        <w:t>The U.S. GAAP financial information contained in the (i) condensed consolidated statements of operations, (ii) condensed consolidated balance sheets and (iii) condensed consolidated statements of cash flow included in the press release attached as Exhibit 99.1 to this Report on Form 6-K is hereby incorporated by reference into the Company’s Registration Statements on Form S-8 (File Nos. 333-257354, 333-263823, 333-270537 and 333-278034).</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serif" w:hAnsi="Times New Roman;serif"/>
          <w:color w:val="000000"/>
          <w:sz w:val="16"/>
        </w:rPr>
      </w:pPr>
      <w:r>
        <w:rPr>
          <w:rFonts w:ascii="Times New Roman;serif" w:hAnsi="Times New Roman;serif"/>
          <w:color w:val="000000"/>
          <w:sz w:val="16"/>
        </w:rPr>
      </w:r>
    </w:p>
    <w:p>
      <w:pPr>
        <w:pStyle w:val="TextBody"/>
        <w:bidi w:val="0"/>
        <w:spacing w:lineRule="auto" w:line="300" w:before="0" w:after="0"/>
        <w:jc w:val="left"/>
        <w:rPr/>
      </w:pPr>
      <w:r>
        <w:rPr/>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300" w:before="0" w:after="0"/>
        <w:jc w:val="left"/>
        <w:rPr/>
      </w:pPr>
      <w:r>
        <w:rPr/>
      </w:r>
    </w:p>
    <w:p>
      <w:pPr>
        <w:pStyle w:val="TextBody"/>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The following exhibit is furnished as part of this Form 6-K:</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ed84cc9ee7914b56950e49b5ea25a940"/>
      <w:bookmarkStart w:id="5" w:name="zed84cc9ee7914b56950e49b5ea25a940"/>
      <w:bookmarkEnd w:id="5"/>
    </w:p>
    <w:tbl>
      <w:tblPr>
        <w:tblW w:w="10205" w:type="dxa"/>
        <w:jc w:val="left"/>
        <w:tblInd w:w="0" w:type="dxa"/>
        <w:tblLayout w:type="fixed"/>
        <w:tblCellMar>
          <w:top w:w="0" w:type="dxa"/>
          <w:left w:w="0" w:type="dxa"/>
          <w:bottom w:w="0" w:type="dxa"/>
          <w:right w:w="0" w:type="dxa"/>
        </w:tblCellMar>
      </w:tblPr>
      <w:tblGrid>
        <w:gridCol w:w="785"/>
        <w:gridCol w:w="9420"/>
      </w:tblGrid>
      <w:tr>
        <w:trPr/>
        <w:tc>
          <w:tcPr>
            <w:tcW w:w="785" w:type="dxa"/>
            <w:tcBorders/>
            <w:vAlign w:val="center"/>
          </w:tcPr>
          <w:p>
            <w:pPr>
              <w:pStyle w:val="TableContents"/>
              <w:bidi w:val="0"/>
              <w:spacing w:lineRule="auto" w:line="300" w:before="0" w:after="0"/>
              <w:jc w:val="left"/>
              <w:rPr>
                <w:rFonts w:ascii="Times New Roman;serif" w:hAnsi="Times New Roman;serif"/>
                <w:b/>
                <w:color w:val="000000"/>
              </w:rPr>
            </w:pPr>
            <w:r>
              <w:rPr>
                <w:rFonts w:ascii="Times New Roman;serif" w:hAnsi="Times New Roman;serif"/>
                <w:b/>
                <w:color w:val="000000"/>
              </w:rPr>
              <w:t>Exhibit</w:t>
              <w:br/>
              <w:t>No.</w:t>
            </w:r>
          </w:p>
        </w:tc>
        <w:tc>
          <w:tcPr>
            <w:tcW w:w="9420" w:type="dxa"/>
            <w:tcBorders/>
            <w:vAlign w:val="center"/>
          </w:tcPr>
          <w:p>
            <w:pPr>
              <w:pStyle w:val="TableContents"/>
              <w:bidi w:val="0"/>
              <w:spacing w:lineRule="auto" w:line="300" w:before="0" w:after="0"/>
              <w:jc w:val="left"/>
              <w:rPr>
                <w:rFonts w:ascii="Times New Roman;serif" w:hAnsi="Times New Roman;serif"/>
                <w:b/>
                <w:color w:val="000000"/>
              </w:rPr>
            </w:pPr>
            <w:r>
              <w:rPr>
                <w:rFonts w:ascii="Times New Roman;serif" w:hAnsi="Times New Roman;serif"/>
                <w:b/>
                <w:color w:val="000000"/>
              </w:rPr>
              <w:t>Description</w:t>
            </w:r>
          </w:p>
        </w:tc>
      </w:tr>
      <w:tr>
        <w:trPr/>
        <w:tc>
          <w:tcPr>
            <w:tcW w:w="785" w:type="dxa"/>
            <w:tcBorders/>
            <w:vAlign w:val="center"/>
          </w:tcPr>
          <w:p>
            <w:pPr>
              <w:pStyle w:val="TableContents"/>
              <w:bidi w:val="0"/>
              <w:spacing w:lineRule="auto" w:line="300" w:before="0" w:after="0"/>
              <w:jc w:val="left"/>
              <w:rPr>
                <w:color w:val="000000"/>
              </w:rPr>
            </w:pPr>
            <w:r>
              <w:rPr>
                <w:color w:val="000000"/>
              </w:rPr>
              <w:t> </w:t>
            </w:r>
          </w:p>
        </w:tc>
        <w:tc>
          <w:tcPr>
            <w:tcW w:w="9420" w:type="dxa"/>
            <w:tcBorders/>
            <w:vAlign w:val="center"/>
          </w:tcPr>
          <w:p>
            <w:pPr>
              <w:pStyle w:val="TableContents"/>
              <w:bidi w:val="0"/>
              <w:spacing w:lineRule="auto" w:line="300" w:before="0" w:after="0"/>
              <w:jc w:val="left"/>
              <w:rPr>
                <w:color w:val="000000"/>
              </w:rPr>
            </w:pPr>
            <w:r>
              <w:rPr>
                <w:color w:val="000000"/>
              </w:rPr>
              <w:t> </w:t>
            </w:r>
          </w:p>
        </w:tc>
      </w:tr>
      <w:tr>
        <w:trPr/>
        <w:tc>
          <w:tcPr>
            <w:tcW w:w="785" w:type="dxa"/>
            <w:tcBorders/>
            <w:vAlign w:val="center"/>
          </w:tcPr>
          <w:p>
            <w:pPr>
              <w:pStyle w:val="TableContents"/>
              <w:bidi w:val="0"/>
              <w:spacing w:lineRule="auto" w:line="300" w:before="0" w:after="0"/>
              <w:jc w:val="left"/>
              <w:rPr/>
            </w:pPr>
            <w:hyperlink w:anchor="exhibit_99-1.htm">
              <w:r>
                <w:rPr>
                  <w:rStyle w:val="InternetLink"/>
                  <w:rFonts w:ascii="Times New Roman;serif" w:hAnsi="Times New Roman;serif"/>
                </w:rPr>
                <w:t>99.1</w:t>
              </w:r>
            </w:hyperlink>
          </w:p>
        </w:tc>
        <w:tc>
          <w:tcPr>
            <w:tcW w:w="9420" w:type="dxa"/>
            <w:tcBorders/>
            <w:vAlign w:val="center"/>
          </w:tcPr>
          <w:p>
            <w:pPr>
              <w:pStyle w:val="TableContents"/>
              <w:bidi w:val="0"/>
              <w:spacing w:lineRule="auto" w:line="300" w:before="0" w:after="0"/>
              <w:jc w:val="left"/>
              <w:rPr/>
            </w:pPr>
            <w:hyperlink w:anchor="exhibit_99-1.htm">
              <w:r>
                <w:rPr>
                  <w:rStyle w:val="InternetLink"/>
                  <w:rFonts w:ascii="Times New Roman;serif" w:hAnsi="Times New Roman;serif"/>
                </w:rPr>
                <w:t>Press Release dated August 1, 2024 titled “WalkMe Ltd. Announces Second Quarter 2024 Financial Results”</w:t>
              </w:r>
            </w:hyperlink>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serif" w:hAnsi="Times New Roman;serif"/>
          <w:color w:val="000000"/>
          <w:sz w:val="20"/>
        </w:rPr>
      </w:pPr>
      <w:r>
        <w:rPr>
          <w:rFonts w:ascii="Times New Roman;serif" w:hAnsi="Times New Roman;serif"/>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d33a8ce0afe04179a4c3b35ec994c14d"/>
      <w:bookmarkStart w:id="7" w:name="zd33a8ce0afe04179a4c3b35ec994c14d"/>
      <w:bookmarkEnd w:id="7"/>
    </w:p>
    <w:tbl>
      <w:tblPr>
        <w:tblW w:w="4695" w:type="dxa"/>
        <w:jc w:val="left"/>
        <w:tblInd w:w="0" w:type="dxa"/>
        <w:tblLayout w:type="fixed"/>
        <w:tblCellMar>
          <w:top w:w="0" w:type="dxa"/>
          <w:left w:w="0" w:type="dxa"/>
          <w:bottom w:w="0" w:type="dxa"/>
          <w:right w:w="0" w:type="dxa"/>
        </w:tblCellMar>
      </w:tblPr>
      <w:tblGrid>
        <w:gridCol w:w="2060"/>
        <w:gridCol w:w="365"/>
        <w:gridCol w:w="2210"/>
        <w:gridCol w:w="60"/>
      </w:tblGrid>
      <w:tr>
        <w:trPr/>
        <w:tc>
          <w:tcPr>
            <w:tcW w:w="2060" w:type="dxa"/>
            <w:tcBorders/>
            <w:vAlign w:val="center"/>
          </w:tcPr>
          <w:p>
            <w:pPr>
              <w:pStyle w:val="TableContents"/>
              <w:bidi w:val="0"/>
              <w:spacing w:lineRule="auto" w:line="300" w:before="0" w:after="0"/>
              <w:jc w:val="left"/>
              <w:rPr>
                <w:color w:val="000000"/>
              </w:rPr>
            </w:pPr>
            <w:r>
              <w:rPr>
                <w:color w:val="000000"/>
              </w:rPr>
              <w:t> </w:t>
            </w:r>
          </w:p>
        </w:tc>
        <w:tc>
          <w:tcPr>
            <w:tcW w:w="2575" w:type="dxa"/>
            <w:gridSpan w:val="2"/>
            <w:tcBorders/>
            <w:vAlign w:val="center"/>
          </w:tcPr>
          <w:p>
            <w:pPr>
              <w:pStyle w:val="TableContents"/>
              <w:bidi w:val="0"/>
              <w:spacing w:lineRule="auto" w:line="300" w:before="0" w:after="0"/>
              <w:jc w:val="left"/>
              <w:rPr>
                <w:rFonts w:ascii="Times New Roman;serif" w:hAnsi="Times New Roman;serif"/>
                <w:b/>
                <w:color w:val="000000"/>
              </w:rPr>
            </w:pPr>
            <w:r>
              <w:rPr>
                <w:rFonts w:ascii="Times New Roman;serif" w:hAnsi="Times New Roman;serif"/>
                <w:b/>
                <w:color w:val="000000"/>
              </w:rPr>
              <w:t>WalkMe Ltd.</w:t>
            </w:r>
          </w:p>
        </w:tc>
        <w:tc>
          <w:tcPr>
            <w:tcW w:w="60" w:type="dxa"/>
            <w:tcBorders/>
            <w:vAlign w:val="center"/>
          </w:tcPr>
          <w:p>
            <w:pPr>
              <w:pStyle w:val="TableContents"/>
              <w:bidi w:val="0"/>
              <w:spacing w:lineRule="auto" w:line="300" w:before="0" w:after="0"/>
              <w:jc w:val="left"/>
              <w:rPr>
                <w:color w:val="000000"/>
              </w:rPr>
            </w:pPr>
            <w:r>
              <w:rPr>
                <w:color w:val="000000"/>
              </w:rPr>
              <w:t> </w:t>
            </w:r>
          </w:p>
        </w:tc>
      </w:tr>
      <w:tr>
        <w:trPr/>
        <w:tc>
          <w:tcPr>
            <w:tcW w:w="2060" w:type="dxa"/>
            <w:tcBorders/>
            <w:vAlign w:val="center"/>
          </w:tcPr>
          <w:p>
            <w:pPr>
              <w:pStyle w:val="TableContents"/>
              <w:bidi w:val="0"/>
              <w:spacing w:lineRule="auto" w:line="300" w:before="0" w:after="0"/>
              <w:jc w:val="left"/>
              <w:rPr>
                <w:color w:val="000000"/>
              </w:rPr>
            </w:pPr>
            <w:r>
              <w:rPr>
                <w:color w:val="000000"/>
              </w:rPr>
              <w:t> </w:t>
            </w:r>
          </w:p>
        </w:tc>
        <w:tc>
          <w:tcPr>
            <w:tcW w:w="365" w:type="dxa"/>
            <w:tcBorders/>
            <w:vAlign w:val="center"/>
          </w:tcPr>
          <w:p>
            <w:pPr>
              <w:pStyle w:val="TableContents"/>
              <w:bidi w:val="0"/>
              <w:spacing w:lineRule="auto" w:line="300" w:before="0" w:after="0"/>
              <w:jc w:val="left"/>
              <w:rPr>
                <w:color w:val="000000"/>
              </w:rPr>
            </w:pPr>
            <w:r>
              <w:rPr>
                <w:color w:val="000000"/>
              </w:rPr>
              <w:t> </w:t>
            </w:r>
          </w:p>
        </w:tc>
        <w:tc>
          <w:tcPr>
            <w:tcW w:w="2210" w:type="dxa"/>
            <w:tcBorders/>
            <w:vAlign w:val="center"/>
          </w:tcPr>
          <w:p>
            <w:pPr>
              <w:pStyle w:val="TableContents"/>
              <w:bidi w:val="0"/>
              <w:spacing w:lineRule="auto" w:line="300" w:before="0" w:after="0"/>
              <w:jc w:val="left"/>
              <w:rPr>
                <w:color w:val="000000"/>
              </w:rPr>
            </w:pPr>
            <w:r>
              <w:rPr>
                <w:color w:val="000000"/>
              </w:rPr>
              <w:t> </w:t>
            </w:r>
          </w:p>
        </w:tc>
        <w:tc>
          <w:tcPr>
            <w:tcW w:w="60" w:type="dxa"/>
            <w:tcBorders/>
            <w:vAlign w:val="center"/>
          </w:tcPr>
          <w:p>
            <w:pPr>
              <w:pStyle w:val="TableContents"/>
              <w:bidi w:val="0"/>
              <w:spacing w:lineRule="auto" w:line="300" w:before="0" w:after="0"/>
              <w:jc w:val="left"/>
              <w:rPr>
                <w:color w:val="000000"/>
              </w:rPr>
            </w:pPr>
            <w:r>
              <w:rPr>
                <w:color w:val="000000"/>
              </w:rPr>
              <w:t> </w:t>
            </w:r>
          </w:p>
        </w:tc>
      </w:tr>
      <w:tr>
        <w:trPr/>
        <w:tc>
          <w:tcPr>
            <w:tcW w:w="2060" w:type="dxa"/>
            <w:tcBorders/>
            <w:vAlign w:val="center"/>
          </w:tcPr>
          <w:p>
            <w:pPr>
              <w:pStyle w:val="TableContents"/>
              <w:bidi w:val="0"/>
              <w:spacing w:lineRule="auto" w:line="300" w:before="0" w:after="0"/>
              <w:jc w:val="left"/>
              <w:rPr>
                <w:rFonts w:ascii="Times New Roman;serif" w:hAnsi="Times New Roman;serif"/>
              </w:rPr>
            </w:pPr>
            <w:r>
              <w:rPr>
                <w:rFonts w:ascii="Times New Roman;serif" w:hAnsi="Times New Roman;serif"/>
              </w:rPr>
              <w:t>Date: August 1, 2024</w:t>
            </w:r>
          </w:p>
        </w:tc>
        <w:tc>
          <w:tcPr>
            <w:tcW w:w="365"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By:</w:t>
            </w:r>
          </w:p>
        </w:tc>
        <w:tc>
          <w:tcPr>
            <w:tcW w:w="2210"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/s/ Hagit Ynon</w:t>
            </w:r>
          </w:p>
        </w:tc>
        <w:tc>
          <w:tcPr>
            <w:tcW w:w="60" w:type="dxa"/>
            <w:tcBorders/>
            <w:vAlign w:val="center"/>
          </w:tcPr>
          <w:p>
            <w:pPr>
              <w:pStyle w:val="TableContents"/>
              <w:bidi w:val="0"/>
              <w:spacing w:lineRule="auto" w:line="300" w:before="0" w:after="0"/>
              <w:jc w:val="left"/>
              <w:rPr>
                <w:color w:val="000000"/>
              </w:rPr>
            </w:pPr>
            <w:r>
              <w:rPr>
                <w:color w:val="000000"/>
              </w:rPr>
              <w:t> </w:t>
            </w:r>
          </w:p>
        </w:tc>
      </w:tr>
      <w:tr>
        <w:trPr/>
        <w:tc>
          <w:tcPr>
            <w:tcW w:w="2060" w:type="dxa"/>
            <w:tcBorders/>
            <w:vAlign w:val="center"/>
          </w:tcPr>
          <w:p>
            <w:pPr>
              <w:pStyle w:val="TableContents"/>
              <w:bidi w:val="0"/>
              <w:spacing w:lineRule="auto" w:line="300" w:before="0" w:after="0"/>
              <w:jc w:val="left"/>
              <w:rPr>
                <w:color w:val="000000"/>
              </w:rPr>
            </w:pPr>
            <w:r>
              <w:rPr>
                <w:color w:val="000000"/>
              </w:rPr>
              <w:t> </w:t>
            </w:r>
          </w:p>
        </w:tc>
        <w:tc>
          <w:tcPr>
            <w:tcW w:w="365" w:type="dxa"/>
            <w:tcBorders/>
            <w:vAlign w:val="center"/>
          </w:tcPr>
          <w:p>
            <w:pPr>
              <w:pStyle w:val="TableContents"/>
              <w:bidi w:val="0"/>
              <w:spacing w:lineRule="auto" w:line="300" w:before="0" w:after="0"/>
              <w:jc w:val="left"/>
              <w:rPr>
                <w:color w:val="000000"/>
              </w:rPr>
            </w:pPr>
            <w:r>
              <w:rPr>
                <w:color w:val="000000"/>
              </w:rPr>
              <w:t> </w:t>
            </w:r>
          </w:p>
        </w:tc>
        <w:tc>
          <w:tcPr>
            <w:tcW w:w="221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Hagit Ynon</w:t>
            </w:r>
          </w:p>
        </w:tc>
        <w:tc>
          <w:tcPr>
            <w:tcW w:w="60" w:type="dxa"/>
            <w:tcBorders/>
            <w:vAlign w:val="center"/>
          </w:tcPr>
          <w:p>
            <w:pPr>
              <w:pStyle w:val="TableContents"/>
              <w:bidi w:val="0"/>
              <w:spacing w:lineRule="auto" w:line="300" w:before="0" w:after="0"/>
              <w:jc w:val="left"/>
              <w:rPr>
                <w:color w:val="000000"/>
              </w:rPr>
            </w:pPr>
            <w:r>
              <w:rPr>
                <w:color w:val="000000"/>
              </w:rPr>
              <w:t> </w:t>
            </w:r>
          </w:p>
        </w:tc>
      </w:tr>
      <w:tr>
        <w:trPr/>
        <w:tc>
          <w:tcPr>
            <w:tcW w:w="2060" w:type="dxa"/>
            <w:tcBorders/>
            <w:vAlign w:val="center"/>
          </w:tcPr>
          <w:p>
            <w:pPr>
              <w:pStyle w:val="TableContents"/>
              <w:bidi w:val="0"/>
              <w:spacing w:lineRule="auto" w:line="300" w:before="0" w:after="0"/>
              <w:jc w:val="left"/>
              <w:rPr>
                <w:color w:val="000000"/>
              </w:rPr>
            </w:pPr>
            <w:r>
              <w:rPr>
                <w:color w:val="000000"/>
              </w:rPr>
              <w:t> </w:t>
            </w:r>
          </w:p>
        </w:tc>
        <w:tc>
          <w:tcPr>
            <w:tcW w:w="365" w:type="dxa"/>
            <w:tcBorders/>
            <w:vAlign w:val="center"/>
          </w:tcPr>
          <w:p>
            <w:pPr>
              <w:pStyle w:val="TableContents"/>
              <w:bidi w:val="0"/>
              <w:spacing w:lineRule="auto" w:line="300" w:before="0" w:after="0"/>
              <w:jc w:val="left"/>
              <w:rPr>
                <w:color w:val="000000"/>
              </w:rPr>
            </w:pPr>
            <w:r>
              <w:rPr>
                <w:color w:val="000000"/>
              </w:rPr>
              <w:t> </w:t>
            </w:r>
          </w:p>
        </w:tc>
        <w:tc>
          <w:tcPr>
            <w:tcW w:w="2210" w:type="dxa"/>
            <w:tcBorders/>
            <w:vAlign w:val="center"/>
          </w:tcPr>
          <w:p>
            <w:pPr>
              <w:pStyle w:val="TableContents"/>
              <w:bidi w:val="0"/>
              <w:spacing w:lineRule="auto" w:line="300" w:before="0" w:after="0"/>
              <w:jc w:val="left"/>
              <w:rPr>
                <w:rFonts w:ascii="Times New Roman;serif" w:hAnsi="Times New Roman;serif"/>
                <w:color w:val="000000"/>
              </w:rPr>
            </w:pPr>
            <w:r>
              <w:rPr>
                <w:rFonts w:ascii="Times New Roman;serif" w:hAnsi="Times New Roman;serif"/>
                <w:color w:val="000000"/>
              </w:rPr>
              <w:t>Chief Financial Officer</w:t>
            </w:r>
          </w:p>
        </w:tc>
        <w:tc>
          <w:tcPr>
            <w:tcW w:w="60" w:type="dxa"/>
            <w:tcBorders/>
            <w:vAlign w:val="center"/>
          </w:tcPr>
          <w:p>
            <w:pPr>
              <w:pStyle w:val="TableContents"/>
              <w:bidi w:val="0"/>
              <w:spacing w:lineRule="auto" w:line="300" w:before="0" w:after="0"/>
              <w:jc w:val="left"/>
              <w:rPr>
                <w:color w:val="000000"/>
              </w:rPr>
            </w:pPr>
            <w:r>
              <w:rPr>
                <w:color w:val="000000"/>
              </w:rPr>
              <w:t> </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spacing w:lineRule="auto" w:line="300"/>
        <w:jc w:val="right"/>
        <w:rPr/>
      </w:pPr>
      <w:r>
        <w:rPr/>
      </w:r>
      <w:bookmarkStart w:id="8" w:name="exhibit_99-1.htm"/>
      <w:bookmarkStart w:id="9" w:name="ksexhibit_991"/>
      <w:bookmarkStart w:id="10" w:name="exhibit_99-1.htm"/>
      <w:bookmarkStart w:id="11" w:name="ksexhibit_991"/>
      <w:bookmarkEnd w:id="10"/>
      <w:bookmarkEnd w:id="11"/>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A0A0A"/>
          <w:sz w:val="20"/>
        </w:rPr>
      </w:pPr>
      <w:r>
        <w:rPr>
          <w:rFonts w:ascii="Times New Roman;Times;serif" w:hAnsi="Times New Roman;Times;serif"/>
          <w:b/>
          <w:color w:val="0A0A0A"/>
          <w:sz w:val="20"/>
        </w:rPr>
        <w:t>WalkMe Ltd. Announces Second Quarter 2024 Financial Results</w:t>
      </w:r>
    </w:p>
    <w:p>
      <w:pPr>
        <w:pStyle w:val="TextBody"/>
        <w:bidi w:val="0"/>
        <w:spacing w:lineRule="auto" w:line="300" w:before="0" w:after="0"/>
        <w:jc w:val="center"/>
        <w:rPr>
          <w:b/>
          <w:color w:val="0A0A0A"/>
        </w:rPr>
      </w:pPr>
      <w:r>
        <w:rPr>
          <w:b/>
          <w:color w:val="0A0A0A"/>
        </w:rPr>
      </w:r>
    </w:p>
    <w:p>
      <w:pPr>
        <w:pStyle w:val="Normal"/>
        <w:bidi w:val="0"/>
        <w:spacing w:before="0" w:after="0"/>
        <w:jc w:val="left"/>
        <w:rPr>
          <w:sz w:val="4"/>
          <w:szCs w:val="4"/>
        </w:rPr>
      </w:pPr>
      <w:r>
        <w:rPr>
          <w:sz w:val="4"/>
          <w:szCs w:val="4"/>
        </w:rPr>
      </w:r>
      <w:bookmarkStart w:id="12" w:name="z14767888bd11402b8ef2c656eb0be022"/>
      <w:bookmarkStart w:id="13" w:name="z14767888bd11402b8ef2c656eb0be022"/>
      <w:bookmarkEnd w:id="13"/>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0"/>
              <w:jc w:val="both"/>
              <w:rPr>
                <w:i/>
              </w:rPr>
            </w:pPr>
            <w:r>
              <w:rPr>
                <w:i/>
              </w:rPr>
              <w:t>2Q24 Subscription Revenue of $65.7 million an increase of 7% year-over-year.</w:t>
            </w:r>
          </w:p>
        </w:tc>
      </w:tr>
    </w:tbl>
    <w:p>
      <w:pPr>
        <w:pStyle w:val="Normal"/>
        <w:bidi w:val="0"/>
        <w:spacing w:before="0" w:after="0"/>
        <w:jc w:val="left"/>
        <w:rPr>
          <w:sz w:val="4"/>
          <w:szCs w:val="4"/>
        </w:rPr>
      </w:pPr>
      <w:r>
        <w:rPr>
          <w:sz w:val="4"/>
          <w:szCs w:val="4"/>
        </w:rPr>
      </w:r>
      <w:bookmarkStart w:id="14" w:name="z95b2a536f0774739b41cefd564e381f1"/>
      <w:bookmarkStart w:id="15" w:name="z95b2a536f0774739b41cefd564e381f1"/>
      <w:bookmarkEnd w:id="1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i/>
              </w:rPr>
            </w:pPr>
            <w:r>
              <w:rPr>
                <w:i/>
              </w:rPr>
              <w:t>2Q24 Non-GAAP Operating Income of $4.9 million or 7% of total revenues compared to a loss of ($2.3) million or (4%) of total revenues in 2Q23.</w:t>
            </w:r>
          </w:p>
        </w:tc>
      </w:tr>
    </w:tbl>
    <w:p>
      <w:pPr>
        <w:pStyle w:val="Normal"/>
        <w:bidi w:val="0"/>
        <w:spacing w:before="0" w:after="0"/>
        <w:jc w:val="left"/>
        <w:rPr>
          <w:sz w:val="4"/>
          <w:szCs w:val="4"/>
        </w:rPr>
      </w:pPr>
      <w:r>
        <w:rPr>
          <w:sz w:val="4"/>
          <w:szCs w:val="4"/>
        </w:rPr>
      </w:r>
      <w:bookmarkStart w:id="16" w:name="za6ef24628ff04924b34915ac1b0e370b"/>
      <w:bookmarkStart w:id="17" w:name="za6ef24628ff04924b34915ac1b0e370b"/>
      <w:bookmarkEnd w:id="1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i/>
              </w:rPr>
            </w:pPr>
            <w:r>
              <w:rPr>
                <w:i/>
              </w:rPr>
              <w:t>Free Cash Flow of $11.1 million and 16% of total revenues, compared to $5.2 million and 8% of total revenues in 2Q23.</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left"/>
        <w:rPr>
          <w:rFonts w:ascii="Arial;sans-serif" w:hAnsi="Arial;sans-serif"/>
          <w:color w:val="000000"/>
          <w:sz w:val="22"/>
        </w:rPr>
      </w:pPr>
      <w:r>
        <w:rPr>
          <w:rFonts w:ascii="Times New Roman;Times;serif" w:hAnsi="Times New Roman;Times;serif"/>
          <w:b/>
          <w:color w:val="000000"/>
          <w:sz w:val="20"/>
        </w:rPr>
        <w:t>SAN FRANCISCO,</w:t>
      </w:r>
      <w:r>
        <w:rPr>
          <w:rFonts w:ascii="Arial;sans-serif" w:hAnsi="Arial;sans-serif"/>
          <w:color w:val="000000"/>
          <w:sz w:val="22"/>
        </w:rPr>
        <w:t> </w:t>
      </w:r>
      <w:r>
        <w:rPr>
          <w:rFonts w:ascii="Times New Roman;Times;serif" w:hAnsi="Times New Roman;Times;serif"/>
          <w:b/>
          <w:color w:val="000000"/>
          <w:sz w:val="20"/>
        </w:rPr>
        <w:t>August 1, 2024</w:t>
      </w:r>
      <w:r>
        <w:rPr>
          <w:rFonts w:ascii="Arial;sans-serif" w:hAnsi="Arial;sans-serif"/>
          <w:color w:val="000000"/>
          <w:sz w:val="22"/>
        </w:rPr>
        <w:t> </w:t>
      </w:r>
      <w:r>
        <w:rPr>
          <w:rFonts w:ascii="Times New Roman;Times;serif" w:hAnsi="Times New Roman;Times;serif"/>
          <w:color w:val="000000"/>
          <w:sz w:val="20"/>
        </w:rPr>
        <w:t xml:space="preserve">-- </w:t>
      </w:r>
      <w:r>
        <w:rPr>
          <w:rFonts w:ascii="Times New Roman;Times;serif" w:hAnsi="Times New Roman;Times;serif"/>
          <w:color w:val="000000"/>
          <w:sz w:val="20"/>
          <w:u w:val="single"/>
        </w:rPr>
        <w:t>WalkMe Ltd.</w:t>
      </w:r>
      <w:r>
        <w:rPr>
          <w:rFonts w:ascii="Times New Roman;Times;serif" w:hAnsi="Times New Roman;Times;serif"/>
          <w:color w:val="000000"/>
          <w:sz w:val="20"/>
        </w:rPr>
        <w:t xml:space="preserve"> (NASDAQ:WKME), a leading provider of digital adoption solutions for effectively navigating technology change, today announced financial results for its second quarter ended June 30, 2024.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Arial;sans-serif" w:hAnsi="Arial;sans-serif"/>
          <w:color w:val="0A0A0A"/>
          <w:sz w:val="22"/>
        </w:rPr>
      </w:pPr>
      <w:r>
        <w:rPr>
          <w:rFonts w:ascii="Times New Roman;Times;serif" w:hAnsi="Times New Roman;Times;serif"/>
          <w:b/>
          <w:color w:val="0A0A0A"/>
          <w:sz w:val="20"/>
        </w:rPr>
        <w:t>Second</w:t>
      </w:r>
      <w:r>
        <w:rPr>
          <w:rFonts w:ascii="Arial;sans-serif" w:hAnsi="Arial;sans-serif"/>
          <w:color w:val="0A0A0A"/>
          <w:sz w:val="22"/>
        </w:rPr>
        <w:t> </w:t>
      </w:r>
      <w:r>
        <w:rPr>
          <w:rFonts w:ascii="Times New Roman;Times;serif" w:hAnsi="Times New Roman;Times;serif"/>
          <w:b/>
          <w:color w:val="0A0A0A"/>
          <w:sz w:val="20"/>
        </w:rPr>
        <w:t>Quarter</w:t>
      </w:r>
      <w:r>
        <w:rPr>
          <w:rFonts w:ascii="Times New Roman;Times;serif" w:hAnsi="Times New Roman;Times;serif"/>
          <w:color w:val="0A0A0A"/>
          <w:sz w:val="20"/>
        </w:rPr>
        <w:t> </w:t>
      </w:r>
      <w:r>
        <w:rPr>
          <w:rFonts w:ascii="Times New Roman;Times;serif" w:hAnsi="Times New Roman;Times;serif"/>
          <w:b/>
          <w:color w:val="0A0A0A"/>
          <w:sz w:val="20"/>
        </w:rPr>
        <w:t>2024</w:t>
      </w:r>
      <w:r>
        <w:rPr>
          <w:rFonts w:ascii="Times New Roman;Times;serif" w:hAnsi="Times New Roman;Times;serif"/>
          <w:color w:val="0A0A0A"/>
          <w:sz w:val="20"/>
        </w:rPr>
        <w:t> </w:t>
      </w:r>
      <w:r>
        <w:rPr>
          <w:rFonts w:ascii="Times New Roman;Times;serif" w:hAnsi="Times New Roman;Times;serif"/>
          <w:b/>
          <w:color w:val="0A0A0A"/>
          <w:sz w:val="20"/>
        </w:rPr>
        <w:t>Financial</w:t>
      </w:r>
      <w:r>
        <w:rPr>
          <w:rFonts w:ascii="Times New Roman;Times;serif" w:hAnsi="Times New Roman;Times;serif"/>
          <w:color w:val="0A0A0A"/>
          <w:sz w:val="20"/>
        </w:rPr>
        <w:t> </w:t>
      </w:r>
      <w:r>
        <w:rPr>
          <w:rFonts w:ascii="Times New Roman;Times;serif" w:hAnsi="Times New Roman;Times;serif"/>
          <w:b/>
          <w:color w:val="0A0A0A"/>
          <w:sz w:val="20"/>
        </w:rPr>
        <w:t>Highlights: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a47db5afe88f46719c6d563e90ef81ad"/>
      <w:bookmarkStart w:id="19" w:name="za47db5afe88f46719c6d563e90ef81ad"/>
      <w:bookmarkEnd w:id="1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A0A0A"/>
              </w:rPr>
            </w:pPr>
            <w:r>
              <w:rPr>
                <w:color w:val="0A0A0A"/>
              </w:rPr>
              <w:t>●</w:t>
            </w:r>
          </w:p>
        </w:tc>
        <w:tc>
          <w:tcPr>
            <w:tcW w:w="9997" w:type="dxa"/>
            <w:tcBorders/>
            <w:vAlign w:val="center"/>
          </w:tcPr>
          <w:p>
            <w:pPr>
              <w:pStyle w:val="TableContents"/>
              <w:bidi w:val="0"/>
              <w:spacing w:before="0" w:after="0"/>
              <w:jc w:val="left"/>
              <w:rPr>
                <w:rFonts w:ascii="Arial;sans-serif" w:hAnsi="Arial;sans-serif"/>
                <w:color w:val="0A0A0A"/>
                <w:sz w:val="22"/>
              </w:rPr>
            </w:pPr>
            <w:r>
              <w:rPr>
                <w:rFonts w:ascii="Times New Roman;Times;serif" w:hAnsi="Times New Roman;Times;serif"/>
                <w:b/>
                <w:color w:val="0A0A0A"/>
                <w:sz w:val="20"/>
              </w:rPr>
              <w:t>Revenue:</w:t>
            </w:r>
            <w:r>
              <w:rPr>
                <w:rFonts w:ascii="Arial;sans-serif" w:hAnsi="Arial;sans-serif"/>
                <w:color w:val="0A0A0A"/>
                <w:sz w:val="22"/>
              </w:rPr>
              <w:t xml:space="preserve"> </w:t>
            </w:r>
            <w:r>
              <w:rPr>
                <w:rFonts w:ascii="Times New Roman;Times;serif" w:hAnsi="Times New Roman;Times;serif"/>
                <w:color w:val="0A0A0A"/>
                <w:sz w:val="20"/>
              </w:rPr>
              <w:t>Subscription revenue was $65.7 million, an increase of 7% year-over-year. Total revenues were $69.5 million, an increase of 5% year-over-year.</w:t>
            </w:r>
          </w:p>
        </w:tc>
      </w:tr>
    </w:tbl>
    <w:p>
      <w:pPr>
        <w:pStyle w:val="Normal"/>
        <w:bidi w:val="0"/>
        <w:spacing w:before="0" w:after="0"/>
        <w:jc w:val="left"/>
        <w:rPr>
          <w:sz w:val="4"/>
          <w:szCs w:val="4"/>
        </w:rPr>
      </w:pPr>
      <w:r>
        <w:rPr>
          <w:sz w:val="4"/>
          <w:szCs w:val="4"/>
        </w:rPr>
      </w:r>
      <w:bookmarkStart w:id="20" w:name="zae104eff70a2499592c01dd36a821ec0"/>
      <w:bookmarkStart w:id="21" w:name="zae104eff70a2499592c01dd36a821ec0"/>
      <w:bookmarkEnd w:id="2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A0A0A"/>
              </w:rPr>
            </w:pPr>
            <w:r>
              <w:rPr>
                <w:color w:val="0A0A0A"/>
              </w:rPr>
              <w:t>●</w:t>
            </w:r>
          </w:p>
        </w:tc>
        <w:tc>
          <w:tcPr>
            <w:tcW w:w="9997" w:type="dxa"/>
            <w:tcBorders/>
            <w:vAlign w:val="center"/>
          </w:tcPr>
          <w:p>
            <w:pPr>
              <w:pStyle w:val="TableContents"/>
              <w:bidi w:val="0"/>
              <w:spacing w:before="0" w:after="0"/>
              <w:jc w:val="left"/>
              <w:rPr>
                <w:rFonts w:ascii="Arial;sans-serif" w:hAnsi="Arial;sans-serif"/>
                <w:color w:val="0A0A0A"/>
                <w:sz w:val="22"/>
              </w:rPr>
            </w:pPr>
            <w:r>
              <w:rPr>
                <w:rFonts w:ascii="Times New Roman;Times;serif" w:hAnsi="Times New Roman;Times;serif"/>
                <w:b/>
                <w:color w:val="0A0A0A"/>
                <w:sz w:val="20"/>
              </w:rPr>
              <w:t>Gross Margin</w:t>
            </w:r>
            <w:r>
              <w:rPr>
                <w:rFonts w:ascii="Times New Roman;Times;serif" w:hAnsi="Times New Roman;Times;serif"/>
                <w:color w:val="0A0A0A"/>
                <w:sz w:val="20"/>
              </w:rPr>
              <w:t>: GAAP Gross margin was 86%, compared to 82% in the second quarter of 2023. Non-GAAP Gross margin was 86%, compared to 84% in the second quarter of 2023.</w:t>
            </w:r>
          </w:p>
        </w:tc>
      </w:tr>
    </w:tbl>
    <w:p>
      <w:pPr>
        <w:pStyle w:val="Normal"/>
        <w:bidi w:val="0"/>
        <w:spacing w:before="0" w:after="0"/>
        <w:jc w:val="left"/>
        <w:rPr>
          <w:sz w:val="4"/>
          <w:szCs w:val="4"/>
        </w:rPr>
      </w:pPr>
      <w:r>
        <w:rPr>
          <w:sz w:val="4"/>
          <w:szCs w:val="4"/>
        </w:rPr>
      </w:r>
      <w:bookmarkStart w:id="22" w:name="z8b8e3a40bba34fd78666f2b373cd63b7"/>
      <w:bookmarkStart w:id="23" w:name="z8b8e3a40bba34fd78666f2b373cd63b7"/>
      <w:bookmarkEnd w:id="23"/>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A0A0A"/>
              </w:rPr>
            </w:pPr>
            <w:r>
              <w:rPr>
                <w:color w:val="0A0A0A"/>
              </w:rPr>
              <w:t>●</w:t>
            </w:r>
          </w:p>
        </w:tc>
        <w:tc>
          <w:tcPr>
            <w:tcW w:w="9997" w:type="dxa"/>
            <w:tcBorders/>
            <w:vAlign w:val="center"/>
          </w:tcPr>
          <w:p>
            <w:pPr>
              <w:pStyle w:val="TableContents"/>
              <w:bidi w:val="0"/>
              <w:spacing w:before="0" w:after="0"/>
              <w:jc w:val="left"/>
              <w:rPr>
                <w:rFonts w:ascii="Arial;sans-serif" w:hAnsi="Arial;sans-serif"/>
                <w:color w:val="0A0A0A"/>
                <w:sz w:val="22"/>
              </w:rPr>
            </w:pPr>
            <w:r>
              <w:rPr>
                <w:rFonts w:ascii="Times New Roman;Times;serif" w:hAnsi="Times New Roman;Times;serif"/>
                <w:b/>
                <w:color w:val="0A0A0A"/>
                <w:sz w:val="20"/>
              </w:rPr>
              <w:t>GAAP</w:t>
            </w:r>
            <w:r>
              <w:rPr>
                <w:rFonts w:ascii="Arial;sans-serif" w:hAnsi="Arial;sans-serif"/>
                <w:color w:val="0A0A0A"/>
                <w:sz w:val="22"/>
              </w:rPr>
              <w:t> </w:t>
            </w:r>
            <w:r>
              <w:rPr>
                <w:rFonts w:ascii="Times New Roman;Times;serif" w:hAnsi="Times New Roman;Times;serif"/>
                <w:b/>
                <w:color w:val="0A0A0A"/>
                <w:sz w:val="20"/>
              </w:rPr>
              <w:t>Operating</w:t>
            </w:r>
            <w:r>
              <w:rPr>
                <w:rFonts w:ascii="Times New Roman;Times;serif" w:hAnsi="Times New Roman;Times;serif"/>
                <w:color w:val="0A0A0A"/>
                <w:sz w:val="20"/>
              </w:rPr>
              <w:t> </w:t>
            </w:r>
            <w:r>
              <w:rPr>
                <w:rFonts w:ascii="Times New Roman;Times;serif" w:hAnsi="Times New Roman;Times;serif"/>
                <w:b/>
                <w:color w:val="0A0A0A"/>
                <w:sz w:val="20"/>
              </w:rPr>
              <w:t>Loss</w:t>
            </w:r>
            <w:r>
              <w:rPr>
                <w:rFonts w:ascii="Times New Roman;Times;serif" w:hAnsi="Times New Roman;Times;serif"/>
                <w:color w:val="0A0A0A"/>
                <w:sz w:val="20"/>
              </w:rPr>
              <w:t>: was $20.8 million, or 30% of total revenues, compared to $15.8 million, or 24% of total revenues in the second quarter of 2023.</w:t>
            </w:r>
          </w:p>
        </w:tc>
      </w:tr>
    </w:tbl>
    <w:p>
      <w:pPr>
        <w:pStyle w:val="Normal"/>
        <w:bidi w:val="0"/>
        <w:spacing w:before="0" w:after="0"/>
        <w:jc w:val="left"/>
        <w:rPr>
          <w:sz w:val="4"/>
          <w:szCs w:val="4"/>
        </w:rPr>
      </w:pPr>
      <w:r>
        <w:rPr>
          <w:sz w:val="4"/>
          <w:szCs w:val="4"/>
        </w:rPr>
      </w:r>
      <w:bookmarkStart w:id="24" w:name="z2c3eddc620e0454a9f450634cb2db94d"/>
      <w:bookmarkStart w:id="25" w:name="z2c3eddc620e0454a9f450634cb2db94d"/>
      <w:bookmarkEnd w:id="2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A0A0A"/>
              </w:rPr>
            </w:pPr>
            <w:r>
              <w:rPr>
                <w:color w:val="0A0A0A"/>
              </w:rPr>
              <w:t>●</w:t>
            </w:r>
          </w:p>
        </w:tc>
        <w:tc>
          <w:tcPr>
            <w:tcW w:w="9997" w:type="dxa"/>
            <w:tcBorders/>
            <w:vAlign w:val="center"/>
          </w:tcPr>
          <w:p>
            <w:pPr>
              <w:pStyle w:val="TableContents"/>
              <w:bidi w:val="0"/>
              <w:spacing w:before="0" w:after="0"/>
              <w:jc w:val="left"/>
              <w:rPr>
                <w:rFonts w:ascii="Arial;sans-serif" w:hAnsi="Arial;sans-serif"/>
                <w:color w:val="0A0A0A"/>
                <w:sz w:val="22"/>
              </w:rPr>
            </w:pPr>
            <w:r>
              <w:rPr>
                <w:rFonts w:ascii="Times New Roman;Times;serif" w:hAnsi="Times New Roman;Times;serif"/>
                <w:b/>
                <w:color w:val="0A0A0A"/>
                <w:sz w:val="20"/>
              </w:rPr>
              <w:t>Non-GAAP Operating</w:t>
            </w:r>
            <w:r>
              <w:rPr>
                <w:rFonts w:ascii="Arial;sans-serif" w:hAnsi="Arial;sans-serif"/>
                <w:color w:val="0A0A0A"/>
                <w:sz w:val="22"/>
              </w:rPr>
              <w:t> </w:t>
            </w:r>
            <w:r>
              <w:rPr>
                <w:rFonts w:ascii="Times New Roman;Times;serif" w:hAnsi="Times New Roman;Times;serif"/>
                <w:b/>
                <w:color w:val="0A0A0A"/>
                <w:sz w:val="20"/>
              </w:rPr>
              <w:t xml:space="preserve">Income: </w:t>
            </w:r>
            <w:r>
              <w:rPr>
                <w:rFonts w:ascii="Times New Roman;Times;serif" w:hAnsi="Times New Roman;Times;serif"/>
                <w:color w:val="0A0A0A"/>
                <w:sz w:val="20"/>
              </w:rPr>
              <w:t>was $4.9 million or 7% of total revenues, compared to a loss of ($2.3) million, or (4%) of total revenues in the second quarter of 2023.</w:t>
            </w:r>
          </w:p>
        </w:tc>
      </w:tr>
    </w:tbl>
    <w:p>
      <w:pPr>
        <w:pStyle w:val="Normal"/>
        <w:bidi w:val="0"/>
        <w:spacing w:before="0" w:after="0"/>
        <w:jc w:val="left"/>
        <w:rPr>
          <w:sz w:val="4"/>
          <w:szCs w:val="4"/>
        </w:rPr>
      </w:pPr>
      <w:r>
        <w:rPr>
          <w:sz w:val="4"/>
          <w:szCs w:val="4"/>
        </w:rPr>
      </w:r>
      <w:bookmarkStart w:id="26" w:name="z2b5de03a97264847b0e894f62408fbe7"/>
      <w:bookmarkStart w:id="27" w:name="z2b5de03a97264847b0e894f62408fbe7"/>
      <w:bookmarkEnd w:id="2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A0A0A"/>
              </w:rPr>
            </w:pPr>
            <w:r>
              <w:rPr>
                <w:color w:val="0A0A0A"/>
              </w:rPr>
              <w:t>●</w:t>
            </w:r>
          </w:p>
        </w:tc>
        <w:tc>
          <w:tcPr>
            <w:tcW w:w="9997" w:type="dxa"/>
            <w:tcBorders/>
            <w:vAlign w:val="center"/>
          </w:tcPr>
          <w:p>
            <w:pPr>
              <w:pStyle w:val="TableContents"/>
              <w:bidi w:val="0"/>
              <w:spacing w:before="0" w:after="0"/>
              <w:jc w:val="left"/>
              <w:rPr>
                <w:rFonts w:ascii="Times New Roman;Times;serif" w:hAnsi="Times New Roman;Times;serif"/>
                <w:color w:val="0A0A0A"/>
                <w:sz w:val="20"/>
              </w:rPr>
            </w:pPr>
            <w:r>
              <w:rPr>
                <w:rFonts w:ascii="Times New Roman;Times;serif" w:hAnsi="Times New Roman;Times;serif"/>
                <w:b/>
                <w:color w:val="0A0A0A"/>
                <w:sz w:val="20"/>
              </w:rPr>
              <w:t xml:space="preserve">Diluted Earnings Per Share: </w:t>
            </w:r>
            <w:r>
              <w:rPr>
                <w:rFonts w:ascii="Times New Roman;Times;serif" w:hAnsi="Times New Roman;Times;serif"/>
                <w:color w:val="0A0A0A"/>
                <w:sz w:val="20"/>
              </w:rPr>
              <w:t>Non-GAAP Net Income Per Share of $0.08 and GAAP Net Loss Per Share of ($0.21), compared to a loss of ($0.00) and ($0.15) in the second quarter of 2023 respectively.</w:t>
            </w:r>
          </w:p>
        </w:tc>
      </w:tr>
    </w:tbl>
    <w:p>
      <w:pPr>
        <w:pStyle w:val="Normal"/>
        <w:bidi w:val="0"/>
        <w:spacing w:before="0" w:after="0"/>
        <w:jc w:val="left"/>
        <w:rPr>
          <w:sz w:val="4"/>
          <w:szCs w:val="4"/>
        </w:rPr>
      </w:pPr>
      <w:r>
        <w:rPr>
          <w:sz w:val="4"/>
          <w:szCs w:val="4"/>
        </w:rPr>
      </w:r>
      <w:bookmarkStart w:id="28" w:name="zd3ad661a389e4f5bb5323c838db0cd84"/>
      <w:bookmarkStart w:id="29" w:name="zd3ad661a389e4f5bb5323c838db0cd84"/>
      <w:bookmarkEnd w:id="2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A0A0A"/>
              </w:rPr>
            </w:pPr>
            <w:r>
              <w:rPr>
                <w:color w:val="0A0A0A"/>
              </w:rPr>
              <w:t>●</w:t>
            </w:r>
          </w:p>
        </w:tc>
        <w:tc>
          <w:tcPr>
            <w:tcW w:w="9997" w:type="dxa"/>
            <w:tcBorders/>
            <w:vAlign w:val="center"/>
          </w:tcPr>
          <w:p>
            <w:pPr>
              <w:pStyle w:val="TableContents"/>
              <w:bidi w:val="0"/>
              <w:spacing w:before="0" w:after="0"/>
              <w:jc w:val="left"/>
              <w:rPr>
                <w:rFonts w:ascii="Arial;sans-serif" w:hAnsi="Arial;sans-serif"/>
                <w:color w:val="0A0A0A"/>
                <w:sz w:val="22"/>
              </w:rPr>
            </w:pPr>
            <w:r>
              <w:rPr>
                <w:rFonts w:ascii="Times New Roman;Times;serif" w:hAnsi="Times New Roman;Times;serif"/>
                <w:b/>
                <w:color w:val="0A0A0A"/>
                <w:sz w:val="20"/>
              </w:rPr>
              <w:t>Operating Cash</w:t>
            </w:r>
            <w:r>
              <w:rPr>
                <w:rFonts w:ascii="Arial;sans-serif" w:hAnsi="Arial;sans-serif"/>
                <w:color w:val="0A0A0A"/>
                <w:sz w:val="22"/>
              </w:rPr>
              <w:t> </w:t>
            </w:r>
            <w:r>
              <w:rPr>
                <w:rFonts w:ascii="Times New Roman;Times;serif" w:hAnsi="Times New Roman;Times;serif"/>
                <w:b/>
                <w:color w:val="0A0A0A"/>
                <w:sz w:val="20"/>
              </w:rPr>
              <w:t>Flow</w:t>
            </w:r>
            <w:r>
              <w:rPr>
                <w:rFonts w:ascii="Times New Roman;Times;serif" w:hAnsi="Times New Roman;Times;serif"/>
                <w:color w:val="0A0A0A"/>
                <w:sz w:val="20"/>
              </w:rPr>
              <w:t>: Net cash provided by operating activity was $12.4 million, or 18% of total revenues, compared to $6.2 million, or 9% of total revenues in the second quarter of 2023.</w:t>
            </w:r>
          </w:p>
        </w:tc>
      </w:tr>
    </w:tbl>
    <w:p>
      <w:pPr>
        <w:pStyle w:val="Normal"/>
        <w:bidi w:val="0"/>
        <w:spacing w:before="0" w:after="0"/>
        <w:jc w:val="left"/>
        <w:rPr>
          <w:sz w:val="4"/>
          <w:szCs w:val="4"/>
        </w:rPr>
      </w:pPr>
      <w:r>
        <w:rPr>
          <w:sz w:val="4"/>
          <w:szCs w:val="4"/>
        </w:rPr>
      </w:r>
      <w:bookmarkStart w:id="30" w:name="z0f206d1347584d6e87b9fc3428182146"/>
      <w:bookmarkStart w:id="31" w:name="z0f206d1347584d6e87b9fc3428182146"/>
      <w:bookmarkEnd w:id="3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A0A0A"/>
              </w:rPr>
            </w:pPr>
            <w:r>
              <w:rPr>
                <w:color w:val="0A0A0A"/>
              </w:rPr>
              <w:t>●</w:t>
            </w:r>
          </w:p>
        </w:tc>
        <w:tc>
          <w:tcPr>
            <w:tcW w:w="9997" w:type="dxa"/>
            <w:tcBorders/>
            <w:vAlign w:val="center"/>
          </w:tcPr>
          <w:p>
            <w:pPr>
              <w:pStyle w:val="TableContents"/>
              <w:bidi w:val="0"/>
              <w:spacing w:before="0" w:after="0"/>
              <w:jc w:val="left"/>
              <w:rPr>
                <w:rFonts w:ascii="Arial;sans-serif" w:hAnsi="Arial;sans-serif"/>
                <w:color w:val="0A0A0A"/>
                <w:sz w:val="22"/>
              </w:rPr>
            </w:pPr>
            <w:r>
              <w:rPr>
                <w:rFonts w:ascii="Times New Roman;Times;serif" w:hAnsi="Times New Roman;Times;serif"/>
                <w:b/>
                <w:color w:val="0A0A0A"/>
                <w:sz w:val="20"/>
              </w:rPr>
              <w:t>Free</w:t>
            </w:r>
            <w:r>
              <w:rPr>
                <w:rFonts w:ascii="Arial;sans-serif" w:hAnsi="Arial;sans-serif"/>
                <w:color w:val="0A0A0A"/>
                <w:sz w:val="22"/>
              </w:rPr>
              <w:t> </w:t>
            </w:r>
            <w:r>
              <w:rPr>
                <w:rFonts w:ascii="Times New Roman;Times;serif" w:hAnsi="Times New Roman;Times;serif"/>
                <w:b/>
                <w:color w:val="0A0A0A"/>
                <w:sz w:val="20"/>
              </w:rPr>
              <w:t>Cash</w:t>
            </w:r>
            <w:r>
              <w:rPr>
                <w:rFonts w:ascii="Times New Roman;Times;serif" w:hAnsi="Times New Roman;Times;serif"/>
                <w:color w:val="0A0A0A"/>
                <w:sz w:val="20"/>
              </w:rPr>
              <w:t> </w:t>
            </w:r>
            <w:r>
              <w:rPr>
                <w:rFonts w:ascii="Times New Roman;Times;serif" w:hAnsi="Times New Roman;Times;serif"/>
                <w:b/>
                <w:color w:val="0A0A0A"/>
                <w:sz w:val="20"/>
              </w:rPr>
              <w:t>Flow</w:t>
            </w:r>
            <w:r>
              <w:rPr>
                <w:rFonts w:ascii="Times New Roman;Times;serif" w:hAnsi="Times New Roman;Times;serif"/>
                <w:color w:val="0A0A0A"/>
                <w:sz w:val="20"/>
              </w:rPr>
              <w:t>: was a positive $11.1 million or 16% of total revenues, compared to $5.2 million, or 8% in the second quarter of 2023. Excluding merger transaction costs, Free Cash Flow for the second quarter of 2024 was $11.4 million, or 16% of total revenues.</w:t>
            </w:r>
          </w:p>
        </w:tc>
      </w:tr>
    </w:tbl>
    <w:p>
      <w:pPr>
        <w:pStyle w:val="Normal"/>
        <w:bidi w:val="0"/>
        <w:spacing w:before="0" w:after="0"/>
        <w:jc w:val="left"/>
        <w:rPr>
          <w:sz w:val="4"/>
          <w:szCs w:val="4"/>
        </w:rPr>
      </w:pPr>
      <w:r>
        <w:rPr>
          <w:sz w:val="4"/>
          <w:szCs w:val="4"/>
        </w:rPr>
      </w:r>
      <w:bookmarkStart w:id="32" w:name="zf99feab2f1b04c70a26debd1a3cb210b"/>
      <w:bookmarkStart w:id="33" w:name="zf99feab2f1b04c70a26debd1a3cb210b"/>
      <w:bookmarkEnd w:id="33"/>
    </w:p>
    <w:tbl>
      <w:tblPr>
        <w:tblW w:w="9663" w:type="dxa"/>
        <w:jc w:val="left"/>
        <w:tblInd w:w="0" w:type="dxa"/>
        <w:tblLayout w:type="fixed"/>
        <w:tblCellMar>
          <w:top w:w="0" w:type="dxa"/>
          <w:left w:w="0" w:type="dxa"/>
          <w:bottom w:w="0" w:type="dxa"/>
          <w:right w:w="0" w:type="dxa"/>
        </w:tblCellMar>
      </w:tblPr>
      <w:tblGrid>
        <w:gridCol w:w="38"/>
        <w:gridCol w:w="170"/>
        <w:gridCol w:w="945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A0A0A"/>
              </w:rPr>
            </w:pPr>
            <w:r>
              <w:rPr>
                <w:color w:val="0A0A0A"/>
              </w:rPr>
              <w:t>●</w:t>
            </w:r>
          </w:p>
        </w:tc>
        <w:tc>
          <w:tcPr>
            <w:tcW w:w="9455" w:type="dxa"/>
            <w:tcBorders/>
            <w:vAlign w:val="center"/>
          </w:tcPr>
          <w:p>
            <w:pPr>
              <w:pStyle w:val="TableContents"/>
              <w:bidi w:val="0"/>
              <w:spacing w:before="0" w:after="0"/>
              <w:jc w:val="left"/>
              <w:rPr>
                <w:rFonts w:ascii="Arial;sans-serif" w:hAnsi="Arial;sans-serif"/>
                <w:color w:val="0A0A0A"/>
                <w:sz w:val="22"/>
              </w:rPr>
            </w:pPr>
            <w:r>
              <w:rPr>
                <w:rFonts w:ascii="Times New Roman;Times;serif" w:hAnsi="Times New Roman;Times;serif"/>
                <w:b/>
                <w:color w:val="0A0A0A"/>
                <w:sz w:val="20"/>
              </w:rPr>
              <w:t>Cash, Cash</w:t>
            </w:r>
            <w:r>
              <w:rPr>
                <w:rFonts w:ascii="Arial;sans-serif" w:hAnsi="Arial;sans-serif"/>
                <w:color w:val="0A0A0A"/>
                <w:sz w:val="22"/>
              </w:rPr>
              <w:t> </w:t>
            </w:r>
            <w:r>
              <w:rPr>
                <w:rFonts w:ascii="Times New Roman;Times;serif" w:hAnsi="Times New Roman;Times;serif"/>
                <w:b/>
                <w:color w:val="0A0A0A"/>
                <w:sz w:val="20"/>
              </w:rPr>
              <w:t xml:space="preserve">Equivalents, Short-term Deposits and Marketable Securities: </w:t>
            </w:r>
            <w:r>
              <w:rPr>
                <w:rFonts w:ascii="Times New Roman;Times;serif" w:hAnsi="Times New Roman;Times;serif"/>
                <w:color w:val="0A0A0A"/>
                <w:sz w:val="20"/>
              </w:rPr>
              <w:t>were $354.5 million as of June 30, 2024.</w:t>
            </w:r>
          </w:p>
        </w:tc>
      </w:tr>
    </w:tbl>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b/>
          <w:color w:val="0A0A0A"/>
          <w:sz w:val="20"/>
        </w:rPr>
      </w:pPr>
      <w:r>
        <w:rPr>
          <w:rFonts w:ascii="Times New Roman;Times;serif" w:hAnsi="Times New Roman;Times;serif"/>
          <w:b/>
          <w:color w:val="0A0A0A"/>
          <w:sz w:val="20"/>
        </w:rPr>
        <w:t>Pending Acquisition by SAP:</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A0A0A"/>
          <w:sz w:val="20"/>
        </w:rPr>
      </w:pPr>
      <w:r>
        <w:rPr>
          <w:rFonts w:ascii="Times New Roman;Times;serif" w:hAnsi="Times New Roman;Times;serif"/>
          <w:color w:val="0A0A0A"/>
          <w:sz w:val="20"/>
        </w:rPr>
        <w:t>In light of the pending transaction with SAP, WalkMe will not be hosting an earnings conference call to review the second quarter or providing a financial outlook. While the closing of the acquisition by SAP remains subject to regulatory approvals and other conditions, we anticipate that the Merger will likely be completed in 2024.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A0A0A"/>
          <w:sz w:val="20"/>
        </w:rPr>
      </w:pPr>
      <w:r>
        <w:rPr>
          <w:rFonts w:ascii="Times New Roman;Times;serif" w:hAnsi="Times New Roman;Times;serif"/>
          <w:color w:val="0A0A0A"/>
          <w:sz w:val="20"/>
        </w:rPr>
        <w:t>The section titled “Non-GAAP Financial Measures” below contains a description of the non-GAAP financial measures discussed in this press release and reconciliations between historical GAAP and non-GAAP information are contained in the tables below.</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Arial;sans-serif" w:hAnsi="Arial;sans-serif"/>
          <w:color w:val="0A0A0A"/>
          <w:sz w:val="22"/>
        </w:rPr>
      </w:pPr>
      <w:r>
        <w:rPr>
          <w:rFonts w:ascii="Times New Roman;Times;serif" w:hAnsi="Times New Roman;Times;serif"/>
          <w:b/>
          <w:color w:val="0A0A0A"/>
          <w:sz w:val="20"/>
        </w:rPr>
        <w:t>Supplemental</w:t>
      </w:r>
      <w:r>
        <w:rPr>
          <w:rFonts w:ascii="Arial;sans-serif" w:hAnsi="Arial;sans-serif"/>
          <w:color w:val="0A0A0A"/>
          <w:sz w:val="22"/>
        </w:rPr>
        <w:t> </w:t>
      </w:r>
      <w:r>
        <w:rPr>
          <w:rFonts w:ascii="Times New Roman;Times;serif" w:hAnsi="Times New Roman;Times;serif"/>
          <w:b/>
          <w:color w:val="0A0A0A"/>
          <w:sz w:val="20"/>
        </w:rPr>
        <w:t>Financial</w:t>
      </w:r>
      <w:r>
        <w:rPr>
          <w:rFonts w:ascii="Times New Roman;Times;serif" w:hAnsi="Times New Roman;Times;serif"/>
          <w:color w:val="0A0A0A"/>
          <w:sz w:val="20"/>
        </w:rPr>
        <w:t> </w:t>
      </w:r>
      <w:r>
        <w:rPr>
          <w:rFonts w:ascii="Times New Roman;Times;serif" w:hAnsi="Times New Roman;Times;serif"/>
          <w:b/>
          <w:color w:val="0A0A0A"/>
          <w:sz w:val="20"/>
        </w:rPr>
        <w:t>and Other</w:t>
      </w:r>
      <w:r>
        <w:rPr>
          <w:rFonts w:ascii="Times New Roman;Times;serif" w:hAnsi="Times New Roman;Times;serif"/>
          <w:color w:val="0A0A0A"/>
          <w:sz w:val="20"/>
        </w:rPr>
        <w:t> </w:t>
      </w:r>
      <w:r>
        <w:rPr>
          <w:rFonts w:ascii="Times New Roman;Times;serif" w:hAnsi="Times New Roman;Times;serif"/>
          <w:b/>
          <w:color w:val="0A0A0A"/>
          <w:sz w:val="20"/>
        </w:rPr>
        <w:t>Information:</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A0A0A"/>
          <w:sz w:val="20"/>
        </w:rPr>
      </w:pPr>
      <w:r>
        <w:rPr>
          <w:rFonts w:ascii="Times New Roman;Times;serif" w:hAnsi="Times New Roman;Times;serif"/>
          <w:color w:val="0A0A0A"/>
          <w:sz w:val="20"/>
        </w:rPr>
        <w:t>We intend to announce material information to the public through the WalkMe investor relations website at ir.walkme.com,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A0A0A"/>
          <w:sz w:val="20"/>
        </w:rPr>
      </w:pPr>
      <w:r>
        <w:rPr>
          <w:rFonts w:ascii="Times New Roman;Times;serif" w:hAnsi="Times New Roman;Times;serif"/>
          <w:color w:val="0A0A0A"/>
          <w:sz w:val="20"/>
        </w:rPr>
        <w:t>Any updates to the list of disclosure channels through which we will announce information will be posted on the investor relations page of our website.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Arial;sans-serif" w:hAnsi="Arial;sans-serif"/>
          <w:color w:val="0A0A0A"/>
          <w:sz w:val="22"/>
        </w:rPr>
      </w:pPr>
      <w:r>
        <w:rPr>
          <w:rFonts w:ascii="Times New Roman;Times;serif" w:hAnsi="Times New Roman;Times;serif"/>
          <w:b/>
          <w:color w:val="0A0A0A"/>
          <w:sz w:val="20"/>
        </w:rPr>
        <w:t>Non-GAAP</w:t>
      </w:r>
      <w:r>
        <w:rPr>
          <w:rFonts w:ascii="Arial;sans-serif" w:hAnsi="Arial;sans-serif"/>
          <w:color w:val="0A0A0A"/>
          <w:sz w:val="22"/>
        </w:rPr>
        <w:t> </w:t>
      </w:r>
      <w:r>
        <w:rPr>
          <w:rFonts w:ascii="Times New Roman;Times;serif" w:hAnsi="Times New Roman;Times;serif"/>
          <w:b/>
          <w:color w:val="0A0A0A"/>
          <w:sz w:val="20"/>
        </w:rPr>
        <w:t>Financial</w:t>
      </w:r>
      <w:r>
        <w:rPr>
          <w:rFonts w:ascii="Times New Roman;Times;serif" w:hAnsi="Times New Roman;Times;serif"/>
          <w:color w:val="0A0A0A"/>
          <w:sz w:val="20"/>
        </w:rPr>
        <w:t> </w:t>
      </w:r>
      <w:r>
        <w:rPr>
          <w:rFonts w:ascii="Times New Roman;Times;serif" w:hAnsi="Times New Roman;Times;serif"/>
          <w:b/>
          <w:color w:val="0A0A0A"/>
          <w:sz w:val="20"/>
        </w:rPr>
        <w:t>Measures: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A0A0A"/>
          <w:sz w:val="20"/>
        </w:rPr>
      </w:pPr>
      <w:r>
        <w:rPr>
          <w:rFonts w:ascii="Times New Roman;Times;serif" w:hAnsi="Times New Roman;Times;serif"/>
          <w:color w:val="0A0A0A"/>
          <w:sz w:val="20"/>
        </w:rPr>
        <w:t>In addition to our financial results reported in accordance with GAAP, this press release and the accompanying tables and related presentation materials may contain one or more of the following non-GAAP financial measures: Non-GAAP Gross Profit, Non-GAAP Gross Margin, Non-GAAP Operating Income (Loss), Non-GAAP Operating Margin, Non-GAAP Net Income (Loss) attributable to WalkMe Ltd., Non-GAAP Net Income (Loss) per share attributable to WalkMe Ltd., Free Cash Flow and Free Cash Flow excluding merger transaction costs all of which are Non-GAAP financial measures. We believe that these measures provide useful information about operating results, enhance the overall understanding of past financial performance and future prospects, and allow for greater transparency with respect to key measures used by management in its financial and operational decision making. Non-GAAP financial measures have limitations as analytical tools and may differ from similarly titled measures presented by other companies. The presentation of this financial information is not intended to be considered as a substitute for the financial information prepared and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A0A0A"/>
          <w:sz w:val="20"/>
        </w:rPr>
      </w:pPr>
      <w:r>
        <w:rPr>
          <w:rFonts w:ascii="Times New Roman;Times;serif" w:hAnsi="Times New Roman;Times;serif"/>
          <w:i/>
          <w:color w:val="0A0A0A"/>
          <w:sz w:val="20"/>
        </w:rPr>
        <w:t>Non-GAAP</w:t>
      </w:r>
      <w:r>
        <w:rPr>
          <w:rFonts w:ascii="Times New Roman;Times;serif" w:hAnsi="Times New Roman;Times;serif"/>
          <w:color w:val="0A0A0A"/>
          <w:sz w:val="20"/>
        </w:rPr>
        <w:t> </w:t>
      </w:r>
      <w:r>
        <w:rPr>
          <w:rFonts w:ascii="Times New Roman;Times;serif" w:hAnsi="Times New Roman;Times;serif"/>
          <w:i/>
          <w:color w:val="0A0A0A"/>
          <w:sz w:val="20"/>
        </w:rPr>
        <w:t>Gross Profit</w:t>
      </w:r>
      <w:r>
        <w:rPr>
          <w:rFonts w:ascii="Times New Roman;Times;serif" w:hAnsi="Times New Roman;Times;serif"/>
          <w:color w:val="0A0A0A"/>
          <w:sz w:val="20"/>
        </w:rPr>
        <w:t> </w:t>
      </w:r>
      <w:r>
        <w:rPr>
          <w:rFonts w:ascii="Times New Roman;Times;serif" w:hAnsi="Times New Roman;Times;serif"/>
          <w:i/>
          <w:color w:val="0A0A0A"/>
          <w:sz w:val="20"/>
        </w:rPr>
        <w:t>and</w:t>
      </w:r>
      <w:r>
        <w:rPr>
          <w:rFonts w:ascii="Times New Roman;Times;serif" w:hAnsi="Times New Roman;Times;serif"/>
          <w:color w:val="0A0A0A"/>
          <w:sz w:val="20"/>
        </w:rPr>
        <w:t> </w:t>
      </w:r>
      <w:r>
        <w:rPr>
          <w:rFonts w:ascii="Times New Roman;Times;serif" w:hAnsi="Times New Roman;Times;serif"/>
          <w:i/>
          <w:color w:val="0A0A0A"/>
          <w:sz w:val="20"/>
        </w:rPr>
        <w:t>Non-GAAP</w:t>
      </w:r>
      <w:r>
        <w:rPr>
          <w:rFonts w:ascii="Times New Roman;Times;serif" w:hAnsi="Times New Roman;Times;serif"/>
          <w:color w:val="0A0A0A"/>
          <w:sz w:val="20"/>
        </w:rPr>
        <w:t> </w:t>
      </w:r>
      <w:r>
        <w:rPr>
          <w:rFonts w:ascii="Times New Roman;Times;serif" w:hAnsi="Times New Roman;Times;serif"/>
          <w:i/>
          <w:color w:val="0A0A0A"/>
          <w:sz w:val="20"/>
        </w:rPr>
        <w:t>Gross Margin</w:t>
      </w:r>
      <w:r>
        <w:rPr>
          <w:rFonts w:ascii="Times New Roman;Times;serif" w:hAnsi="Times New Roman;Times;serif"/>
          <w:color w:val="0A0A0A"/>
          <w:sz w:val="20"/>
        </w:rPr>
        <w:t>. We define Non-GAAP Gross Profit as gross profit excluding share-based compensation, amortization of acquired intangibles and restructuring expenses. We exclude these items because they occur for reasons that may be unrelated to our core operating performance during the period, and because we believe that such items may obscure underlying business trends and make comparisons of long-term performance difficult. We use Non-GAAP Gross Profit with traditional GAAP measures to evaluate our financial performance. Non-GAAP Gross Margin is calculated as a percentage of total revenues.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A0A0A"/>
          <w:sz w:val="20"/>
        </w:rPr>
      </w:pPr>
      <w:r>
        <w:rPr>
          <w:rFonts w:ascii="Times New Roman;Times;serif" w:hAnsi="Times New Roman;Times;serif"/>
          <w:i/>
          <w:color w:val="0A0A0A"/>
          <w:sz w:val="20"/>
        </w:rPr>
        <w:t>Non-GAAP</w:t>
      </w:r>
      <w:r>
        <w:rPr>
          <w:rFonts w:ascii="Times New Roman;Times;serif" w:hAnsi="Times New Roman;Times;serif"/>
          <w:color w:val="0A0A0A"/>
          <w:sz w:val="20"/>
        </w:rPr>
        <w:t> </w:t>
      </w:r>
      <w:r>
        <w:rPr>
          <w:rFonts w:ascii="Times New Roman;Times;serif" w:hAnsi="Times New Roman;Times;serif"/>
          <w:i/>
          <w:color w:val="0A0A0A"/>
          <w:sz w:val="20"/>
        </w:rPr>
        <w:t>Operating</w:t>
      </w:r>
      <w:r>
        <w:rPr>
          <w:rFonts w:ascii="Times New Roman;Times;serif" w:hAnsi="Times New Roman;Times;serif"/>
          <w:color w:val="0A0A0A"/>
          <w:sz w:val="20"/>
        </w:rPr>
        <w:t> </w:t>
      </w:r>
      <w:r>
        <w:rPr>
          <w:rFonts w:ascii="Times New Roman;Times;serif" w:hAnsi="Times New Roman;Times;serif"/>
          <w:i/>
          <w:color w:val="0A0A0A"/>
          <w:sz w:val="20"/>
        </w:rPr>
        <w:t>Income</w:t>
      </w:r>
      <w:r>
        <w:rPr>
          <w:rFonts w:ascii="Times New Roman;Times;serif" w:hAnsi="Times New Roman;Times;serif"/>
          <w:color w:val="0A0A0A"/>
          <w:sz w:val="20"/>
        </w:rPr>
        <w:t> </w:t>
      </w:r>
      <w:r>
        <w:rPr>
          <w:rFonts w:ascii="Times New Roman;Times;serif" w:hAnsi="Times New Roman;Times;serif"/>
          <w:i/>
          <w:color w:val="0A0A0A"/>
          <w:sz w:val="20"/>
        </w:rPr>
        <w:t>(Loss)</w:t>
      </w:r>
      <w:r>
        <w:rPr>
          <w:rFonts w:ascii="Times New Roman;Times;serif" w:hAnsi="Times New Roman;Times;serif"/>
          <w:color w:val="0A0A0A"/>
          <w:sz w:val="20"/>
        </w:rPr>
        <w:t> </w:t>
      </w:r>
      <w:r>
        <w:rPr>
          <w:rFonts w:ascii="Times New Roman;Times;serif" w:hAnsi="Times New Roman;Times;serif"/>
          <w:i/>
          <w:color w:val="0A0A0A"/>
          <w:sz w:val="20"/>
        </w:rPr>
        <w:t>and</w:t>
      </w:r>
      <w:r>
        <w:rPr>
          <w:rFonts w:ascii="Times New Roman;Times;serif" w:hAnsi="Times New Roman;Times;serif"/>
          <w:color w:val="0A0A0A"/>
          <w:sz w:val="20"/>
        </w:rPr>
        <w:t> </w:t>
      </w:r>
      <w:r>
        <w:rPr>
          <w:rFonts w:ascii="Times New Roman;Times;serif" w:hAnsi="Times New Roman;Times;serif"/>
          <w:i/>
          <w:color w:val="0A0A0A"/>
          <w:sz w:val="20"/>
        </w:rPr>
        <w:t>Non-GAAP</w:t>
      </w:r>
      <w:r>
        <w:rPr>
          <w:rFonts w:ascii="Times New Roman;Times;serif" w:hAnsi="Times New Roman;Times;serif"/>
          <w:color w:val="0A0A0A"/>
          <w:sz w:val="20"/>
        </w:rPr>
        <w:t> </w:t>
      </w:r>
      <w:r>
        <w:rPr>
          <w:rFonts w:ascii="Times New Roman;Times;serif" w:hAnsi="Times New Roman;Times;serif"/>
          <w:i/>
          <w:color w:val="0A0A0A"/>
          <w:sz w:val="20"/>
        </w:rPr>
        <w:t>Operating</w:t>
      </w:r>
      <w:r>
        <w:rPr>
          <w:rFonts w:ascii="Times New Roman;Times;serif" w:hAnsi="Times New Roman;Times;serif"/>
          <w:color w:val="0A0A0A"/>
          <w:sz w:val="20"/>
        </w:rPr>
        <w:t> </w:t>
      </w:r>
      <w:r>
        <w:rPr>
          <w:rFonts w:ascii="Times New Roman;Times;serif" w:hAnsi="Times New Roman;Times;serif"/>
          <w:i/>
          <w:color w:val="0A0A0A"/>
          <w:sz w:val="20"/>
        </w:rPr>
        <w:t>Margin.</w:t>
      </w:r>
      <w:r>
        <w:rPr>
          <w:rFonts w:ascii="Times New Roman;Times;serif" w:hAnsi="Times New Roman;Times;serif"/>
          <w:color w:val="0A0A0A"/>
          <w:sz w:val="20"/>
        </w:rPr>
        <w:t xml:space="preserve"> We define Non-GAAP Operating Income (Loss) as net income (loss) from operations excluding share-based compensation, amortization and impairment of acquired intangible assets, restructuring expenses, non-recurring legal settlement expenses related to a complex class action lawsuit and related claims which are considered outside of the company’s ordinary course of business and merger transaction costs.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 Non-GAAP Operating Margin is calculated as a percentage of total revenues.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Arial;sans-serif" w:hAnsi="Arial;sans-serif"/>
          <w:color w:val="0A0A0A"/>
          <w:sz w:val="22"/>
        </w:rPr>
      </w:pPr>
      <w:r>
        <w:rPr>
          <w:rFonts w:ascii="Times New Roman;Times;serif" w:hAnsi="Times New Roman;Times;serif"/>
          <w:i/>
          <w:color w:val="0A0A0A"/>
          <w:sz w:val="20"/>
        </w:rPr>
        <w:t>Non-GAAP</w:t>
      </w:r>
      <w:r>
        <w:rPr>
          <w:rFonts w:ascii="Arial;sans-serif" w:hAnsi="Arial;sans-serif"/>
          <w:color w:val="0A0A0A"/>
          <w:sz w:val="22"/>
        </w:rPr>
        <w:t> </w:t>
      </w:r>
      <w:r>
        <w:rPr>
          <w:rFonts w:ascii="Times New Roman;Times;serif" w:hAnsi="Times New Roman;Times;serif"/>
          <w:i/>
          <w:color w:val="0A0A0A"/>
          <w:sz w:val="20"/>
        </w:rPr>
        <w:t>Net</w:t>
      </w:r>
      <w:r>
        <w:rPr>
          <w:rFonts w:ascii="Times New Roman;Times;serif" w:hAnsi="Times New Roman;Times;serif"/>
          <w:color w:val="0A0A0A"/>
          <w:sz w:val="20"/>
        </w:rPr>
        <w:t> </w:t>
      </w:r>
      <w:r>
        <w:rPr>
          <w:rFonts w:ascii="Times New Roman;Times;serif" w:hAnsi="Times New Roman;Times;serif"/>
          <w:i/>
          <w:color w:val="0A0A0A"/>
          <w:sz w:val="20"/>
        </w:rPr>
        <w:t>Income</w:t>
      </w:r>
      <w:r>
        <w:rPr>
          <w:rFonts w:ascii="Times New Roman;Times;serif" w:hAnsi="Times New Roman;Times;serif"/>
          <w:color w:val="0A0A0A"/>
          <w:sz w:val="20"/>
        </w:rPr>
        <w:t> </w:t>
      </w:r>
      <w:r>
        <w:rPr>
          <w:rFonts w:ascii="Times New Roman;Times;serif" w:hAnsi="Times New Roman;Times;serif"/>
          <w:i/>
          <w:color w:val="0A0A0A"/>
          <w:sz w:val="20"/>
        </w:rPr>
        <w:t>(Loss) attributable</w:t>
      </w:r>
      <w:r>
        <w:rPr>
          <w:rFonts w:ascii="Times New Roman;Times;serif" w:hAnsi="Times New Roman;Times;serif"/>
          <w:color w:val="0A0A0A"/>
          <w:sz w:val="20"/>
        </w:rPr>
        <w:t> </w:t>
      </w:r>
      <w:r>
        <w:rPr>
          <w:rFonts w:ascii="Times New Roman;Times;serif" w:hAnsi="Times New Roman;Times;serif"/>
          <w:i/>
          <w:color w:val="0A0A0A"/>
          <w:sz w:val="20"/>
        </w:rPr>
        <w:t>to</w:t>
      </w:r>
      <w:r>
        <w:rPr>
          <w:rFonts w:ascii="Times New Roman;Times;serif" w:hAnsi="Times New Roman;Times;serif"/>
          <w:color w:val="0A0A0A"/>
          <w:sz w:val="20"/>
        </w:rPr>
        <w:t> </w:t>
      </w:r>
      <w:r>
        <w:rPr>
          <w:rFonts w:ascii="Times New Roman;Times;serif" w:hAnsi="Times New Roman;Times;serif"/>
          <w:i/>
          <w:color w:val="0A0A0A"/>
          <w:sz w:val="20"/>
        </w:rPr>
        <w:t>WalkMe</w:t>
      </w:r>
      <w:r>
        <w:rPr>
          <w:rFonts w:ascii="Times New Roman;Times;serif" w:hAnsi="Times New Roman;Times;serif"/>
          <w:color w:val="0A0A0A"/>
          <w:sz w:val="20"/>
        </w:rPr>
        <w:t> </w:t>
      </w:r>
      <w:r>
        <w:rPr>
          <w:rFonts w:ascii="Times New Roman;Times;serif" w:hAnsi="Times New Roman;Times;serif"/>
          <w:i/>
          <w:color w:val="0A0A0A"/>
          <w:sz w:val="20"/>
        </w:rPr>
        <w:t>Ltd</w:t>
      </w:r>
      <w:r>
        <w:rPr>
          <w:rFonts w:ascii="Times New Roman;Times;serif" w:hAnsi="Times New Roman;Times;serif"/>
          <w:color w:val="0A0A0A"/>
          <w:sz w:val="20"/>
        </w:rPr>
        <w:t>. We define Non-GAAP Net Income (Loss) attributable to WalkMe Ltd. as Net Income (Loss) attributable to WalkMe Ltd. excluding share-based compensation, amortization and impairment of acquired intangible assets, restructuring expenses, non-recurring legal settlement expenses related to a complex class action lawsuit and related claims which are considered outside of the company’s ordinary course of business, merger transaction costs and adjustment attributable to non-controlling interest. We exclude these items because they occur for reasons that may be unrelated to our core operating performance during the period, and because we believe that such items may obscure underlying business trends and make comparisons of long-term performance difficult. We use Non-GAAP Net Income (Loss) attributable to WalkMe Ltd. with traditional GAAP measures to evaluate our financial performance. Non-GAAP Net Income (Loss) per Share attributable to WalkMe Ltd. is calculated based on the periodic weighted average of ordinary shares basic and diluted.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Arial;sans-serif" w:hAnsi="Arial;sans-serif"/>
          <w:color w:val="0A0A0A"/>
          <w:sz w:val="22"/>
        </w:rPr>
      </w:pPr>
      <w:r>
        <w:rPr>
          <w:rFonts w:ascii="Times New Roman;Times;serif" w:hAnsi="Times New Roman;Times;serif"/>
          <w:i/>
          <w:color w:val="0A0A0A"/>
          <w:sz w:val="20"/>
        </w:rPr>
        <w:t>Free</w:t>
      </w:r>
      <w:r>
        <w:rPr>
          <w:rFonts w:ascii="Arial;sans-serif" w:hAnsi="Arial;sans-serif"/>
          <w:color w:val="0A0A0A"/>
          <w:sz w:val="22"/>
        </w:rPr>
        <w:t> </w:t>
      </w:r>
      <w:r>
        <w:rPr>
          <w:rFonts w:ascii="Times New Roman;Times;serif" w:hAnsi="Times New Roman;Times;serif"/>
          <w:i/>
          <w:color w:val="0A0A0A"/>
          <w:sz w:val="20"/>
        </w:rPr>
        <w:t>Cash</w:t>
      </w:r>
      <w:r>
        <w:rPr>
          <w:rFonts w:ascii="Times New Roman;Times;serif" w:hAnsi="Times New Roman;Times;serif"/>
          <w:color w:val="0A0A0A"/>
          <w:sz w:val="20"/>
        </w:rPr>
        <w:t> </w:t>
      </w:r>
      <w:r>
        <w:rPr>
          <w:rFonts w:ascii="Times New Roman;Times;serif" w:hAnsi="Times New Roman;Times;serif"/>
          <w:i/>
          <w:color w:val="0A0A0A"/>
          <w:sz w:val="20"/>
        </w:rPr>
        <w:t>Flow.</w:t>
      </w:r>
      <w:r>
        <w:rPr>
          <w:rFonts w:ascii="Times New Roman;Times;serif" w:hAnsi="Times New Roman;Times;serif"/>
          <w:color w:val="0A0A0A"/>
          <w:sz w:val="20"/>
        </w:rPr>
        <w:t xml:space="preserve"> We define Free Cash Flow as net cash provided by (used in) operating activities, less cash used for purchases of property and equipment and capitalized internal-use software development costs and further adjusted to exclude merger transaction costs. We believe that Free Cash Flow is a useful indicator of liquidity that provides information to management and investors, even if negative, about the amount of cash used in our business. Our Free Cash Flow may vary from period to period and be impacted as we continue to invest for growth in our business. Free Cash Flow Margin is calculated as a percentage of total revenues.</w:t>
      </w:r>
    </w:p>
    <w:p>
      <w:pPr>
        <w:pStyle w:val="TextBody"/>
        <w:bidi w:val="0"/>
        <w:spacing w:lineRule="auto" w:line="300" w:before="0" w:after="0"/>
        <w:jc w:val="left"/>
        <w:rPr>
          <w:rFonts w:ascii="Times New Roman;Times;serif" w:hAnsi="Times New Roman;Times;serif"/>
          <w:color w:val="0A0A0A"/>
        </w:rPr>
      </w:pPr>
      <w:r>
        <w:rPr>
          <w:rFonts w:ascii="Times New Roman;Times;serif" w:hAnsi="Times New Roman;Times;serif"/>
          <w:color w:val="0A0A0A"/>
        </w:rPr>
      </w:r>
    </w:p>
    <w:p>
      <w:pPr>
        <w:pStyle w:val="TextBody"/>
        <w:bidi w:val="0"/>
        <w:spacing w:lineRule="auto" w:line="300" w:before="0" w:after="0"/>
        <w:jc w:val="left"/>
        <w:rPr>
          <w:rFonts w:ascii="Times New Roman;Times;serif" w:hAnsi="Times New Roman;Times;serif"/>
          <w:color w:val="0A0A0A"/>
          <w:sz w:val="20"/>
        </w:rPr>
      </w:pPr>
      <w:r>
        <w:rPr>
          <w:rFonts w:ascii="Times New Roman;Times;serif" w:hAnsi="Times New Roman;Times;serif"/>
          <w:color w:val="0A0A0A"/>
          <w:sz w:val="20"/>
        </w:rPr>
        <w:t>For more information on the non-GAAP financial measures, please see the reconciliation tables provided in this press release. The accompanying reconciliation tables have more details on the GAAP financial measures that are most directly comparable to non-GAAP financial measures and the related reconciliations between these financial measures.</w:t>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Arial;sans-serif" w:hAnsi="Arial;sans-serif"/>
          <w:color w:val="0A0A0A"/>
          <w:sz w:val="22"/>
        </w:rPr>
      </w:pPr>
      <w:r>
        <w:rPr>
          <w:rFonts w:ascii="Times New Roman;Times;serif" w:hAnsi="Times New Roman;Times;serif"/>
          <w:b/>
          <w:color w:val="0A0A0A"/>
          <w:sz w:val="20"/>
        </w:rPr>
        <w:t>Special</w:t>
      </w:r>
      <w:r>
        <w:rPr>
          <w:rFonts w:ascii="Arial;sans-serif" w:hAnsi="Arial;sans-serif"/>
          <w:color w:val="0A0A0A"/>
          <w:sz w:val="22"/>
        </w:rPr>
        <w:t> </w:t>
      </w:r>
      <w:r>
        <w:rPr>
          <w:rFonts w:ascii="Times New Roman;Times;serif" w:hAnsi="Times New Roman;Times;serif"/>
          <w:b/>
          <w:color w:val="0A0A0A"/>
          <w:sz w:val="20"/>
        </w:rPr>
        <w:t>Note Regarding</w:t>
      </w:r>
      <w:r>
        <w:rPr>
          <w:rFonts w:ascii="Times New Roman;Times;serif" w:hAnsi="Times New Roman;Times;serif"/>
          <w:color w:val="0A0A0A"/>
          <w:sz w:val="20"/>
        </w:rPr>
        <w:t> </w:t>
      </w:r>
      <w:r>
        <w:rPr>
          <w:rFonts w:ascii="Times New Roman;Times;serif" w:hAnsi="Times New Roman;Times;serif"/>
          <w:b/>
          <w:color w:val="0A0A0A"/>
          <w:sz w:val="20"/>
        </w:rPr>
        <w:t>Forward-Looking</w:t>
      </w:r>
      <w:r>
        <w:rPr>
          <w:rFonts w:ascii="Times New Roman;Times;serif" w:hAnsi="Times New Roman;Times;serif"/>
          <w:color w:val="0A0A0A"/>
          <w:sz w:val="20"/>
        </w:rPr>
        <w:t> </w:t>
      </w:r>
      <w:r>
        <w:rPr>
          <w:rFonts w:ascii="Times New Roman;Times;serif" w:hAnsi="Times New Roman;Times;serif"/>
          <w:b/>
          <w:color w:val="0A0A0A"/>
          <w:sz w:val="20"/>
        </w:rPr>
        <w:t>Statements: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A0A0A"/>
          <w:sz w:val="20"/>
        </w:rPr>
      </w:pPr>
      <w:r>
        <w:rPr>
          <w:rFonts w:ascii="Times New Roman;Times;serif" w:hAnsi="Times New Roman;Times;serif"/>
          <w:color w:val="0A0A0A"/>
          <w:sz w:val="20"/>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the pending transaction with SAP (the “Transaction”)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risks associated with the Company’s ability to consummate the Transaction; the satisfaction of the conditions to the consummation of the Transaction, including the receipt of certain regulatory approvals, and the timing of the closing of the Transaction; the occurrence of any event, change or other circumstance that could give rise to the termination of the Transaction; the potential that the Company’s shareholders may not approve the Transaction; the ability to successfully integrate operations and employees; the ability to realize anticipated benefits and synergies of the Transaction as rapidly or to the extent anticipated by financial analysts or investors; unanticipated restructuring costs may be incurred or undisclosed liabilities assumed; actual or threatened legal proceedings that have been or may be instituted against the Company in connection with the Transaction or otherwise; the ability and costs related to retaining key personnel and clients; risks related to diverting management’s attention from ongoing business operations; delays, challenges, costs, fees, expenses and charges related to the Transaction;  our ability to manage our growth effectively, sustain our historical growth rate in the future or achieve or maintain profitability; the impact of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risks related to the war in Israel and the related challenges to the political, economic and security conditions in Israel and its impact on our business, financial performance and our actions designed to mitigate such impact;  our ability to meet the service-level commitments under our customer agreements and the effects on our business if we are unable to do so; our relationships with, and dependence on, various third-party service providers;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including recent declines in the value of the Israeli shekel following Hamas’ attacks against Israel;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the effects of unfavorable conditions in our industry or the global economy or reductions in information technology spending; factors that may affect the future trading prices of our ordinary shares; exposure to inflation and interest rate fluctuations; natural catastrophes, any pandemic, epidemic or outbreak of infectious disease, warfare, protest and riots, cybersecurity attack or ransomware request and terrorist attacks; and other risk factors set forth in the section titled “Risk Factors” in our Annual Report on form 20-F filed with the Securities and Exchange Commission on March 18, 2024,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Arial;sans-serif" w:hAnsi="Arial;sans-serif"/>
          <w:color w:val="0A0A0A"/>
          <w:sz w:val="22"/>
        </w:rPr>
      </w:pPr>
      <w:r>
        <w:rPr>
          <w:rFonts w:ascii="Times New Roman;Times;serif" w:hAnsi="Times New Roman;Times;serif"/>
          <w:b/>
          <w:color w:val="0A0A0A"/>
          <w:sz w:val="20"/>
        </w:rPr>
        <w:t>About</w:t>
      </w:r>
      <w:r>
        <w:rPr>
          <w:rFonts w:ascii="Arial;sans-serif" w:hAnsi="Arial;sans-serif"/>
          <w:color w:val="0A0A0A"/>
          <w:sz w:val="22"/>
        </w:rPr>
        <w:t> </w:t>
      </w:r>
      <w:r>
        <w:rPr>
          <w:rFonts w:ascii="Times New Roman;Times;serif" w:hAnsi="Times New Roman;Times;serif"/>
          <w:b/>
          <w:color w:val="0A0A0A"/>
          <w:sz w:val="20"/>
        </w:rPr>
        <w:t>WalkMe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A0A0A"/>
          <w:sz w:val="20"/>
        </w:rPr>
      </w:pPr>
      <w:r>
        <w:rPr>
          <w:rFonts w:ascii="Times New Roman;Times;serif" w:hAnsi="Times New Roman;Times;serif"/>
          <w:color w:val="0A0A0A"/>
          <w:sz w:val="20"/>
        </w:rPr>
        <w:t>WalkMe (WKME) pioneered the world’s leading Digital Adoption Platform, enabling organizations to navigate the change brought on by technology. Leveraging over a decade of experience, WalkMe’s platform integrates generative AI to deliver proactive, accessible, and actionable insights. Our context-aware solutions guide users through any workflow, identifying and resolving digital friction to ensure seamless execution of critical processes across all departments. Trusted by global leaders like IBM, Nestlé, ThermoFisher Scientific, and the U.S. Department of Defense, WalkMe empowers organizations to maximize software ROI and drive people-centric digital transformation. For more information, please visit our website at: www.walkme.com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Arial;sans-serif" w:hAnsi="Arial;sans-serif"/>
          <w:color w:val="0A0A0A"/>
          <w:sz w:val="22"/>
        </w:rPr>
      </w:pPr>
      <w:r>
        <w:rPr>
          <w:rFonts w:ascii="Times New Roman;Times;serif" w:hAnsi="Times New Roman;Times;serif"/>
          <w:b/>
          <w:color w:val="0A0A0A"/>
          <w:sz w:val="20"/>
        </w:rPr>
        <w:t>Media</w:t>
      </w:r>
      <w:r>
        <w:rPr>
          <w:rFonts w:ascii="Arial;sans-serif" w:hAnsi="Arial;sans-serif"/>
          <w:color w:val="0A0A0A"/>
          <w:sz w:val="22"/>
        </w:rPr>
        <w:t> </w:t>
      </w:r>
      <w:r>
        <w:rPr>
          <w:rFonts w:ascii="Times New Roman;Times;serif" w:hAnsi="Times New Roman;Times;serif"/>
          <w:b/>
          <w:color w:val="0A0A0A"/>
          <w:sz w:val="20"/>
        </w:rPr>
        <w:t>Contact:</w:t>
      </w:r>
    </w:p>
    <w:p>
      <w:pPr>
        <w:pStyle w:val="TextBody"/>
        <w:bidi w:val="0"/>
        <w:spacing w:lineRule="auto" w:line="300" w:before="0" w:after="0"/>
        <w:jc w:val="left"/>
        <w:rPr>
          <w:rFonts w:ascii="Times New Roman;Times;serif" w:hAnsi="Times New Roman;Times;serif"/>
          <w:color w:val="0A0A0A"/>
          <w:sz w:val="20"/>
        </w:rPr>
      </w:pPr>
      <w:r>
        <w:rPr>
          <w:rFonts w:ascii="Times New Roman;Times;serif" w:hAnsi="Times New Roman;Times;serif"/>
          <w:color w:val="0A0A0A"/>
          <w:sz w:val="20"/>
        </w:rPr>
        <w:t>Melanie Pasch</w:t>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press@walkme.com</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Arial;sans-serif" w:hAnsi="Arial;sans-serif"/>
          <w:color w:val="0A0A0A"/>
          <w:sz w:val="22"/>
        </w:rPr>
      </w:pPr>
      <w:r>
        <w:rPr>
          <w:rFonts w:ascii="Times New Roman;Times;serif" w:hAnsi="Times New Roman;Times;serif"/>
          <w:b/>
          <w:color w:val="0A0A0A"/>
          <w:sz w:val="20"/>
        </w:rPr>
        <w:t>Investor</w:t>
      </w:r>
      <w:r>
        <w:rPr>
          <w:rFonts w:ascii="Arial;sans-serif" w:hAnsi="Arial;sans-serif"/>
          <w:color w:val="0A0A0A"/>
          <w:sz w:val="22"/>
        </w:rPr>
        <w:t> </w:t>
      </w:r>
      <w:r>
        <w:rPr>
          <w:rFonts w:ascii="Times New Roman;Times;serif" w:hAnsi="Times New Roman;Times;serif"/>
          <w:b/>
          <w:color w:val="0A0A0A"/>
          <w:sz w:val="20"/>
        </w:rPr>
        <w:t>Contact:</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John Streppa</w:t>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investors@walkme.com</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lineRule="auto" w:line="300" w:before="200" w:after="200"/>
        <w:jc w:val="left"/>
        <w:rPr/>
      </w:pPr>
      <w:r>
        <w:rPr/>
      </w:r>
    </w:p>
    <w:p>
      <w:pPr>
        <w:pStyle w:val="Normal"/>
        <w:bidi w:val="0"/>
        <w:spacing w:lineRule="auto" w:line="300" w:before="0" w:after="0"/>
        <w:jc w:val="left"/>
        <w:rPr>
          <w:sz w:val="4"/>
          <w:szCs w:val="4"/>
        </w:rPr>
      </w:pPr>
      <w:r>
        <w:rPr>
          <w:sz w:val="4"/>
          <w:szCs w:val="4"/>
        </w:rPr>
      </w:r>
      <w:bookmarkStart w:id="34" w:name="zab819c78c26c4df581cc799753c250bb"/>
      <w:bookmarkStart w:id="35" w:name="zab819c78c26c4df581cc799753c250bb"/>
      <w:bookmarkEnd w:id="35"/>
    </w:p>
    <w:tbl>
      <w:tblPr>
        <w:tblW w:w="6020" w:type="dxa"/>
        <w:jc w:val="left"/>
        <w:tblInd w:w="0" w:type="dxa"/>
        <w:tblLayout w:type="fixed"/>
        <w:tblCellMar>
          <w:top w:w="0" w:type="dxa"/>
          <w:left w:w="0" w:type="dxa"/>
          <w:bottom w:w="0" w:type="dxa"/>
          <w:right w:w="0" w:type="dxa"/>
        </w:tblCellMar>
      </w:tblPr>
      <w:tblGrid>
        <w:gridCol w:w="6020"/>
      </w:tblGrid>
      <w:tr>
        <w:trPr/>
        <w:tc>
          <w:tcPr>
            <w:tcW w:w="602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WalkMe Ltd.</w:t>
            </w:r>
          </w:p>
        </w:tc>
      </w:tr>
      <w:tr>
        <w:trPr/>
        <w:tc>
          <w:tcPr>
            <w:tcW w:w="602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Condensed Consolidated Statements of Operations</w:t>
            </w:r>
          </w:p>
        </w:tc>
      </w:tr>
      <w:tr>
        <w:trPr/>
        <w:tc>
          <w:tcPr>
            <w:tcW w:w="602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(in thousands, except share and per share data; unaudited)</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36" w:name="zad07e4c0f0d04de891958481ecb9378b"/>
      <w:bookmarkStart w:id="37" w:name="zad07e4c0f0d04de891958481ecb9378b"/>
      <w:bookmarkEnd w:id="37"/>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Six months ended</w:t>
            </w:r>
          </w:p>
        </w:tc>
        <w:tc>
          <w:tcPr>
            <w:tcW w:w="110"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110"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Revenues</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lineRule="auto" w:line="300" w:before="0" w:after="0"/>
              <w:jc w:val="left"/>
              <w:rPr>
                <w:color w:val="000000"/>
              </w:rPr>
            </w:pPr>
            <w:r>
              <w:rPr>
                <w:color w:val="000000"/>
              </w:rPr>
              <w:t>   </w:t>
            </w:r>
            <w:r>
              <w:rPr>
                <w:rFonts w:ascii="Times New Roman;Times;serif" w:hAnsi="Times New Roman;Times;serif"/>
                <w:color w:val="000000"/>
              </w:rPr>
              <w:t>Subscription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65,707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61,395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130,151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122,024</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lineRule="auto" w:line="300" w:before="0" w:after="0"/>
              <w:jc w:val="left"/>
              <w:rPr>
                <w:color w:val="000000"/>
              </w:rPr>
            </w:pPr>
            <w:r>
              <w:rPr>
                <w:color w:val="000000"/>
              </w:rPr>
              <w:t>   </w:t>
            </w:r>
            <w:r>
              <w:rPr>
                <w:rFonts w:ascii="Times New Roman;Times;serif" w:hAnsi="Times New Roman;Times;serif"/>
                <w:color w:val="000000"/>
              </w:rPr>
              <w:t>Professional services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3,805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4,763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7,935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10,026</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revenues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69,512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66,158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138,086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132,050</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Cost of revenues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lineRule="auto" w:line="240" w:before="0" w:after="0"/>
              <w:jc w:val="left"/>
              <w:rPr>
                <w:color w:val="000000"/>
              </w:rPr>
            </w:pPr>
            <w:r>
              <w:rPr>
                <w:color w:val="000000"/>
              </w:rPr>
              <w:t>   </w:t>
            </w:r>
            <w:r>
              <w:rPr>
                <w:rFonts w:ascii="Times New Roman;Times;serif" w:hAnsi="Times New Roman;Times;serif"/>
                <w:color w:val="000000"/>
              </w:rPr>
              <w:t>Subscription(1)(2)(3)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6,605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6,458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12,902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12,847</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lineRule="auto" w:line="240" w:before="0" w:after="0"/>
              <w:jc w:val="left"/>
              <w:rPr>
                <w:color w:val="000000"/>
              </w:rPr>
            </w:pPr>
            <w:r>
              <w:rPr>
                <w:color w:val="000000"/>
              </w:rPr>
              <w:t>   </w:t>
            </w:r>
            <w:r>
              <w:rPr>
                <w:rFonts w:ascii="Times New Roman;Times;serif" w:hAnsi="Times New Roman;Times;serif"/>
                <w:color w:val="000000"/>
              </w:rPr>
              <w:t>Professional services(1)(2)(3)</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3,470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5,397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7,049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11,200</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cost of revenues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10,075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11,855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19,951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24,047</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59,437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54,303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118,135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108,003</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lineRule="auto" w:line="240" w:before="0" w:after="0"/>
              <w:jc w:val="left"/>
              <w:rPr>
                <w:color w:val="000000"/>
              </w:rPr>
            </w:pPr>
            <w:r>
              <w:rPr>
                <w:color w:val="000000"/>
              </w:rPr>
              <w:t>   </w:t>
            </w:r>
            <w:r>
              <w:rPr>
                <w:rFonts w:ascii="Times New Roman;Times;serif" w:hAnsi="Times New Roman;Times;serif"/>
                <w:color w:val="000000"/>
              </w:rPr>
              <w:t>Research and development(1)(3)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11,880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14,212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24,626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28,484</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lineRule="auto" w:line="240" w:before="0" w:after="0"/>
              <w:jc w:val="left"/>
              <w:rPr>
                <w:color w:val="000000"/>
              </w:rPr>
            </w:pPr>
            <w:r>
              <w:rPr>
                <w:color w:val="000000"/>
              </w:rPr>
              <w:t>   </w:t>
            </w:r>
            <w:r>
              <w:rPr>
                <w:rFonts w:ascii="Times New Roman;Times;serif" w:hAnsi="Times New Roman;Times;serif"/>
                <w:color w:val="000000"/>
              </w:rPr>
              <w:t>Sales and marketing(1)(3)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40,127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39,459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81,555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83,917</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lineRule="auto" w:line="240" w:before="0" w:after="0"/>
              <w:jc w:val="left"/>
              <w:rPr>
                <w:color w:val="000000"/>
              </w:rPr>
            </w:pPr>
            <w:r>
              <w:rPr>
                <w:color w:val="000000"/>
              </w:rPr>
              <w:t>   </w:t>
            </w:r>
            <w:r>
              <w:rPr>
                <w:rFonts w:ascii="Times New Roman;Times;serif" w:hAnsi="Times New Roman;Times;serif"/>
                <w:color w:val="000000"/>
              </w:rPr>
              <w:t>General and administrative(1)(3)(4)</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28,245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16,474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40,661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37,221</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80,252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70,145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146,842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149,622</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Operating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(20,815</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(15,842</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(28,707</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(41,619</w:t>
            </w:r>
          </w:p>
        </w:tc>
        <w:tc>
          <w:tcPr>
            <w:tcW w:w="11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4610" w:type="dxa"/>
            <w:tcBorders/>
            <w:shd w:fill="CCEEFF" w:val="clear"/>
            <w:vAlign w:val="bottom"/>
          </w:tcPr>
          <w:p>
            <w:pPr>
              <w:pStyle w:val="TableContents"/>
              <w:bidi w:val="0"/>
              <w:spacing w:lineRule="auto" w:line="300" w:before="0" w:after="0"/>
              <w:jc w:val="left"/>
              <w:rPr>
                <w:color w:val="000000"/>
              </w:rPr>
            </w:pPr>
            <w:r>
              <w:rPr>
                <w:color w:val="000000"/>
              </w:rPr>
              <w:t>   </w:t>
            </w:r>
            <w:r>
              <w:rPr>
                <w:rFonts w:ascii="Times New Roman;Times;serif" w:hAnsi="Times New Roman;Times;serif"/>
                <w:color w:val="000000"/>
              </w:rPr>
              <w:t>Financial income,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4,160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3,246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7,830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6,489</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Loss before income taxes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(16,655</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(12,596</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(20,877</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(35,130</w:t>
            </w:r>
          </w:p>
        </w:tc>
        <w:tc>
          <w:tcPr>
            <w:tcW w:w="11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46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Income taxes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(1,324</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(1,385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(2,588</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(2,497</w:t>
            </w:r>
          </w:p>
        </w:tc>
        <w:tc>
          <w:tcPr>
            <w:tcW w:w="1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461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(17,979</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(13,981</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(23,465</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(37,627</w:t>
            </w:r>
          </w:p>
        </w:tc>
        <w:tc>
          <w:tcPr>
            <w:tcW w:w="11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46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income (loss)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(124</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(147</w:t>
            </w:r>
          </w:p>
        </w:tc>
        <w:tc>
          <w:tcPr>
            <w:tcW w:w="1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461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Adjustment attributable to non-controlling interest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(253</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2,247</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loss attributable to WalkMe Ltd.</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(19,637</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(13,604</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(25,783</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(39,727</w:t>
            </w:r>
          </w:p>
        </w:tc>
        <w:tc>
          <w:tcPr>
            <w:tcW w:w="1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461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loss per share attributable to WalkMe Ltd. basic and diluted</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(0.21</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(0.15</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(0.28</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(0.45</w:t>
            </w:r>
          </w:p>
        </w:tc>
        <w:tc>
          <w:tcPr>
            <w:tcW w:w="11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461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Weighted-average shares used in computing net loss per share attributable to ordinary shareholders, basic and diluted</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92,777,911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88,604,385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92,053,119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87,949,871</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(1) Includes share-based compensation expense as follows:</w:t>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38" w:name="z08e004898d9847d486409a6f6df8da23"/>
      <w:bookmarkStart w:id="39" w:name="z08e004898d9847d486409a6f6df8da23"/>
      <w:bookmarkEnd w:id="39"/>
    </w:p>
    <w:tbl>
      <w:tblPr>
        <w:tblW w:w="8081" w:type="dxa"/>
        <w:jc w:val="left"/>
        <w:tblInd w:w="0" w:type="dxa"/>
        <w:tblLayout w:type="fixed"/>
        <w:tblCellMar>
          <w:top w:w="0" w:type="dxa"/>
          <w:left w:w="0" w:type="dxa"/>
          <w:bottom w:w="0" w:type="dxa"/>
          <w:right w:w="0" w:type="dxa"/>
        </w:tblCellMar>
      </w:tblPr>
      <w:tblGrid>
        <w:gridCol w:w="3890"/>
        <w:gridCol w:w="60"/>
        <w:gridCol w:w="168"/>
        <w:gridCol w:w="819"/>
        <w:gridCol w:w="72"/>
        <w:gridCol w:w="72"/>
        <w:gridCol w:w="168"/>
        <w:gridCol w:w="819"/>
        <w:gridCol w:w="60"/>
        <w:gridCol w:w="60"/>
        <w:gridCol w:w="144"/>
        <w:gridCol w:w="703"/>
        <w:gridCol w:w="62"/>
        <w:gridCol w:w="62"/>
        <w:gridCol w:w="144"/>
        <w:gridCol w:w="703"/>
        <w:gridCol w:w="75"/>
      </w:tblGrid>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8"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8"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Six months ended</w:t>
            </w:r>
          </w:p>
        </w:tc>
        <w:tc>
          <w:tcPr>
            <w:tcW w:w="75"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8"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75"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98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4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75" w:type="dxa"/>
            <w:tcBorders/>
            <w:vAlign w:val="bottom"/>
          </w:tcPr>
          <w:p>
            <w:pPr>
              <w:pStyle w:val="TableContents"/>
              <w:bidi w:val="0"/>
              <w:spacing w:before="0" w:after="283"/>
              <w:jc w:val="left"/>
              <w:rPr/>
            </w:pPr>
            <w:r>
              <w:rPr/>
              <w:t> </w:t>
            </w:r>
          </w:p>
        </w:tc>
      </w:tr>
      <w:tr>
        <w:trPr/>
        <w:tc>
          <w:tcPr>
            <w:tcW w:w="38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Cost of subscription revenues</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268</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03"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535</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03"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599</w:t>
            </w:r>
          </w:p>
        </w:tc>
        <w:tc>
          <w:tcPr>
            <w:tcW w:w="75"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Cost of professional services</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266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544</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03"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973</w:t>
            </w:r>
          </w:p>
        </w:tc>
        <w:tc>
          <w:tcPr>
            <w:tcW w:w="75" w:type="dxa"/>
            <w:tcBorders/>
            <w:vAlign w:val="bottom"/>
          </w:tcPr>
          <w:p>
            <w:pPr>
              <w:pStyle w:val="TableContents"/>
              <w:bidi w:val="0"/>
              <w:spacing w:before="0" w:after="283"/>
              <w:jc w:val="left"/>
              <w:rPr/>
            </w:pPr>
            <w:r>
              <w:rPr/>
              <w:t> </w:t>
            </w:r>
          </w:p>
        </w:tc>
      </w:tr>
      <w:tr>
        <w:trPr/>
        <w:tc>
          <w:tcPr>
            <w:tcW w:w="38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Research and development</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2,326</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2,549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4,863</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03"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4,918</w:t>
            </w:r>
          </w:p>
        </w:tc>
        <w:tc>
          <w:tcPr>
            <w:tcW w:w="75"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Sales and marketing</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4,346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3,944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9,740</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03"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8,555</w:t>
            </w:r>
          </w:p>
        </w:tc>
        <w:tc>
          <w:tcPr>
            <w:tcW w:w="75" w:type="dxa"/>
            <w:tcBorders/>
            <w:vAlign w:val="bottom"/>
          </w:tcPr>
          <w:p>
            <w:pPr>
              <w:pStyle w:val="TableContents"/>
              <w:bidi w:val="0"/>
              <w:spacing w:before="0" w:after="283"/>
              <w:jc w:val="left"/>
              <w:rPr/>
            </w:pPr>
            <w:r>
              <w:rPr/>
              <w:t> </w:t>
            </w:r>
          </w:p>
        </w:tc>
      </w:tr>
      <w:tr>
        <w:trPr/>
        <w:tc>
          <w:tcPr>
            <w:tcW w:w="38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General and administrative</w:t>
            </w:r>
          </w:p>
        </w:tc>
        <w:tc>
          <w:tcPr>
            <w:tcW w:w="60"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4,249</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8,013</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0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13,825</w:t>
            </w:r>
          </w:p>
        </w:tc>
        <w:tc>
          <w:tcPr>
            <w:tcW w:w="75"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share-based compensation expense</w:t>
            </w:r>
          </w:p>
        </w:tc>
        <w:tc>
          <w:tcPr>
            <w:tcW w:w="60" w:type="dxa"/>
            <w:tcBorders/>
            <w:vAlign w:val="bottom"/>
          </w:tcPr>
          <w:p>
            <w:pPr>
              <w:pStyle w:val="TableContents"/>
              <w:bidi w:val="0"/>
              <w:spacing w:before="0" w:after="283"/>
              <w:jc w:val="left"/>
              <w:rPr/>
            </w:pPr>
            <w:r>
              <w:rPr/>
              <w:t> </w:t>
            </w:r>
          </w:p>
        </w:tc>
        <w:tc>
          <w:tcPr>
            <w:tcW w:w="168"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1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11,455</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8"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1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11,973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0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23,695</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4"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0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28,870</w:t>
            </w:r>
          </w:p>
        </w:tc>
        <w:tc>
          <w:tcPr>
            <w:tcW w:w="75"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(2) Includes amortization of acquired intangibles as follows:</w:t>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40" w:name="zea0acbaa0aa24036b26631df570cd065"/>
      <w:bookmarkStart w:id="41" w:name="zea0acbaa0aa24036b26631df570cd065"/>
      <w:bookmarkEnd w:id="41"/>
    </w:p>
    <w:tbl>
      <w:tblPr>
        <w:tblW w:w="5818" w:type="dxa"/>
        <w:jc w:val="left"/>
        <w:tblInd w:w="0" w:type="dxa"/>
        <w:tblLayout w:type="fixed"/>
        <w:tblCellMar>
          <w:top w:w="0" w:type="dxa"/>
          <w:left w:w="0" w:type="dxa"/>
          <w:bottom w:w="0" w:type="dxa"/>
          <w:right w:w="0" w:type="dxa"/>
        </w:tblCellMar>
      </w:tblPr>
      <w:tblGrid>
        <w:gridCol w:w="1625"/>
        <w:gridCol w:w="60"/>
        <w:gridCol w:w="322"/>
        <w:gridCol w:w="599"/>
        <w:gridCol w:w="138"/>
        <w:gridCol w:w="138"/>
        <w:gridCol w:w="322"/>
        <w:gridCol w:w="599"/>
        <w:gridCol w:w="60"/>
        <w:gridCol w:w="60"/>
        <w:gridCol w:w="245"/>
        <w:gridCol w:w="455"/>
        <w:gridCol w:w="105"/>
        <w:gridCol w:w="105"/>
        <w:gridCol w:w="245"/>
        <w:gridCol w:w="665"/>
        <w:gridCol w:w="75"/>
      </w:tblGrid>
      <w:tr>
        <w:trPr/>
        <w:tc>
          <w:tcPr>
            <w:tcW w:w="1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8"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0"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Six months ended</w:t>
            </w:r>
          </w:p>
        </w:tc>
        <w:tc>
          <w:tcPr>
            <w:tcW w:w="75" w:type="dxa"/>
            <w:tcBorders/>
            <w:vAlign w:val="bottom"/>
          </w:tcPr>
          <w:p>
            <w:pPr>
              <w:pStyle w:val="TableContents"/>
              <w:bidi w:val="0"/>
              <w:spacing w:before="0" w:after="283"/>
              <w:jc w:val="left"/>
              <w:rPr/>
            </w:pPr>
            <w:r>
              <w:rPr/>
              <w:t> </w:t>
            </w:r>
          </w:p>
        </w:tc>
      </w:tr>
      <w:tr>
        <w:trPr/>
        <w:tc>
          <w:tcPr>
            <w:tcW w:w="1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0"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75" w:type="dxa"/>
            <w:tcBorders/>
            <w:vAlign w:val="bottom"/>
          </w:tcPr>
          <w:p>
            <w:pPr>
              <w:pStyle w:val="TableContents"/>
              <w:bidi w:val="0"/>
              <w:spacing w:before="0" w:after="283"/>
              <w:jc w:val="left"/>
              <w:rPr/>
            </w:pPr>
            <w:r>
              <w:rPr/>
              <w:t> </w:t>
            </w:r>
          </w:p>
        </w:tc>
      </w:tr>
      <w:tr>
        <w:trPr/>
        <w:tc>
          <w:tcPr>
            <w:tcW w:w="1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138"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21"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10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75" w:type="dxa"/>
            <w:tcBorders/>
            <w:vAlign w:val="bottom"/>
          </w:tcPr>
          <w:p>
            <w:pPr>
              <w:pStyle w:val="TableContents"/>
              <w:bidi w:val="0"/>
              <w:spacing w:before="0" w:after="283"/>
              <w:jc w:val="left"/>
              <w:rPr/>
            </w:pPr>
            <w:r>
              <w:rPr/>
              <w:t> </w:t>
            </w:r>
          </w:p>
        </w:tc>
      </w:tr>
      <w:tr>
        <w:trPr/>
        <w:tc>
          <w:tcPr>
            <w:tcW w:w="162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Cost of revenues</w:t>
            </w:r>
          </w:p>
        </w:tc>
        <w:tc>
          <w:tcPr>
            <w:tcW w:w="60" w:type="dxa"/>
            <w:tcBorders/>
            <w:shd w:fill="CCEEFF" w:val="clear"/>
            <w:vAlign w:val="bottom"/>
          </w:tcPr>
          <w:p>
            <w:pPr>
              <w:pStyle w:val="TableContents"/>
              <w:bidi w:val="0"/>
              <w:spacing w:before="0" w:after="283"/>
              <w:jc w:val="left"/>
              <w:rPr/>
            </w:pPr>
            <w:r>
              <w:rPr/>
              <w:t> </w:t>
            </w:r>
          </w:p>
        </w:tc>
        <w:tc>
          <w:tcPr>
            <w:tcW w:w="32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59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w:t>
            </w:r>
          </w:p>
        </w:tc>
        <w:tc>
          <w:tcPr>
            <w:tcW w:w="138"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32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59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45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79</w:t>
            </w:r>
          </w:p>
        </w:tc>
        <w:tc>
          <w:tcPr>
            <w:tcW w:w="10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6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(3) Includes restructuring expense as follows:</w:t>
      </w:r>
    </w:p>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42" w:name="z02fb2a4ccf5b4d7dbe6adb5fffe1dc20"/>
      <w:bookmarkStart w:id="43" w:name="z02fb2a4ccf5b4d7dbe6adb5fffe1dc20"/>
      <w:bookmarkEnd w:id="43"/>
    </w:p>
    <w:tbl>
      <w:tblPr>
        <w:tblW w:w="7049" w:type="dxa"/>
        <w:jc w:val="left"/>
        <w:tblInd w:w="0" w:type="dxa"/>
        <w:tblLayout w:type="fixed"/>
        <w:tblCellMar>
          <w:top w:w="0" w:type="dxa"/>
          <w:left w:w="0" w:type="dxa"/>
          <w:bottom w:w="0" w:type="dxa"/>
          <w:right w:w="0" w:type="dxa"/>
        </w:tblCellMar>
      </w:tblPr>
      <w:tblGrid>
        <w:gridCol w:w="2735"/>
        <w:gridCol w:w="60"/>
        <w:gridCol w:w="297"/>
        <w:gridCol w:w="203"/>
        <w:gridCol w:w="120"/>
        <w:gridCol w:w="120"/>
        <w:gridCol w:w="281"/>
        <w:gridCol w:w="1125"/>
        <w:gridCol w:w="60"/>
        <w:gridCol w:w="60"/>
        <w:gridCol w:w="297"/>
        <w:gridCol w:w="203"/>
        <w:gridCol w:w="103"/>
        <w:gridCol w:w="103"/>
        <w:gridCol w:w="241"/>
        <w:gridCol w:w="966"/>
        <w:gridCol w:w="75"/>
      </w:tblGrid>
      <w:tr>
        <w:trPr/>
        <w:tc>
          <w:tcPr>
            <w:tcW w:w="27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6"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3"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Six months ended</w:t>
            </w:r>
          </w:p>
        </w:tc>
        <w:tc>
          <w:tcPr>
            <w:tcW w:w="75" w:type="dxa"/>
            <w:tcBorders/>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6"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3"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75" w:type="dxa"/>
            <w:tcBorders/>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0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75" w:type="dxa"/>
            <w:tcBorders/>
            <w:vAlign w:val="bottom"/>
          </w:tcPr>
          <w:p>
            <w:pPr>
              <w:pStyle w:val="TableContents"/>
              <w:bidi w:val="0"/>
              <w:spacing w:before="0" w:after="283"/>
              <w:jc w:val="left"/>
              <w:rPr/>
            </w:pPr>
            <w:r>
              <w:rPr/>
              <w:t> </w:t>
            </w:r>
          </w:p>
        </w:tc>
      </w:tr>
      <w:tr>
        <w:trPr/>
        <w:tc>
          <w:tcPr>
            <w:tcW w:w="273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Cost of subscription</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2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966"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40</w:t>
            </w:r>
          </w:p>
        </w:tc>
        <w:tc>
          <w:tcPr>
            <w:tcW w:w="75" w:type="dxa"/>
            <w:tcBorders/>
            <w:shd w:fill="CCEEFF" w:val="clear"/>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Cost of professional services</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2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966"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223</w:t>
            </w:r>
          </w:p>
        </w:tc>
        <w:tc>
          <w:tcPr>
            <w:tcW w:w="75" w:type="dxa"/>
            <w:tcBorders/>
            <w:vAlign w:val="bottom"/>
          </w:tcPr>
          <w:p>
            <w:pPr>
              <w:pStyle w:val="TableContents"/>
              <w:bidi w:val="0"/>
              <w:spacing w:before="0" w:after="283"/>
              <w:jc w:val="left"/>
              <w:rPr/>
            </w:pPr>
            <w:r>
              <w:rPr/>
              <w:t> </w:t>
            </w:r>
          </w:p>
        </w:tc>
      </w:tr>
      <w:tr>
        <w:trPr/>
        <w:tc>
          <w:tcPr>
            <w:tcW w:w="273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Research and development</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1"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2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966"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86</w:t>
            </w:r>
          </w:p>
        </w:tc>
        <w:tc>
          <w:tcPr>
            <w:tcW w:w="75" w:type="dxa"/>
            <w:tcBorders/>
            <w:shd w:fill="CCEEFF" w:val="clear"/>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Sales and marketing</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2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966"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964</w:t>
            </w:r>
          </w:p>
        </w:tc>
        <w:tc>
          <w:tcPr>
            <w:tcW w:w="75" w:type="dxa"/>
            <w:tcBorders/>
            <w:vAlign w:val="bottom"/>
          </w:tcPr>
          <w:p>
            <w:pPr>
              <w:pStyle w:val="TableContents"/>
              <w:bidi w:val="0"/>
              <w:spacing w:before="0" w:after="283"/>
              <w:jc w:val="left"/>
              <w:rPr/>
            </w:pPr>
            <w:r>
              <w:rPr/>
              <w:t> </w:t>
            </w:r>
          </w:p>
        </w:tc>
      </w:tr>
      <w:tr>
        <w:trPr/>
        <w:tc>
          <w:tcPr>
            <w:tcW w:w="273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General and administrative</w:t>
            </w:r>
          </w:p>
        </w:tc>
        <w:tc>
          <w:tcPr>
            <w:tcW w:w="60" w:type="dxa"/>
            <w:tcBorders/>
            <w:shd w:fill="CCEEFF" w:val="clear"/>
            <w:vAlign w:val="bottom"/>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81"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2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96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160</w:t>
            </w:r>
          </w:p>
        </w:tc>
        <w:tc>
          <w:tcPr>
            <w:tcW w:w="75" w:type="dxa"/>
            <w:tcBorders/>
            <w:shd w:fill="CCEEFF" w:val="clear"/>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restructuring expense</w:t>
            </w:r>
          </w:p>
        </w:tc>
        <w:tc>
          <w:tcPr>
            <w:tcW w:w="60" w:type="dxa"/>
            <w:tcBorders/>
            <w:vAlign w:val="bottom"/>
          </w:tcPr>
          <w:p>
            <w:pPr>
              <w:pStyle w:val="TableContents"/>
              <w:bidi w:val="0"/>
              <w:spacing w:before="0" w:after="283"/>
              <w:jc w:val="left"/>
              <w:rPr/>
            </w:pPr>
            <w:r>
              <w:rPr/>
              <w:t> </w:t>
            </w:r>
          </w:p>
        </w:tc>
        <w:tc>
          <w:tcPr>
            <w:tcW w:w="297"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1"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2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1"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966"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1,473</w:t>
            </w:r>
          </w:p>
        </w:tc>
        <w:tc>
          <w:tcPr>
            <w:tcW w:w="75" w:type="dxa"/>
            <w:tcBorders/>
            <w:vAlign w:val="bottom"/>
          </w:tcPr>
          <w:p>
            <w:pPr>
              <w:pStyle w:val="TableContents"/>
              <w:bidi w:val="0"/>
              <w:spacing w:before="0" w:after="283"/>
              <w:jc w:val="left"/>
              <w:rPr/>
            </w:pPr>
            <w:r>
              <w:rPr/>
              <w:t> </w:t>
            </w:r>
          </w:p>
        </w:tc>
      </w:tr>
    </w:tbl>
    <w:p>
      <w:pPr>
        <w:pStyle w:val="TextBody"/>
        <w:bidi w:val="0"/>
        <w:spacing w:lineRule="auto" w:line="240" w:before="0" w:after="0"/>
        <w:jc w:val="left"/>
        <w:rPr>
          <w:color w:val="000000"/>
        </w:rPr>
      </w:pPr>
      <w:r>
        <w:rPr>
          <w:color w:val="000000"/>
        </w:rPr>
      </w:r>
    </w:p>
    <w:p>
      <w:pPr>
        <w:pStyle w:val="TextBody"/>
        <w:bidi w:val="0"/>
        <w:spacing w:lineRule="auto" w:line="240" w:before="0" w:after="0"/>
        <w:jc w:val="left"/>
        <w:rPr>
          <w:rFonts w:ascii="Times New Roman;Times;serif" w:hAnsi="Times New Roman;Times;serif"/>
          <w:color w:val="000000"/>
          <w:sz w:val="20"/>
        </w:rPr>
      </w:pPr>
      <w:r>
        <w:rPr>
          <w:rFonts w:ascii="Times New Roman;Times;serif" w:hAnsi="Times New Roman;Times;serif"/>
          <w:color w:val="000000"/>
          <w:sz w:val="20"/>
        </w:rPr>
        <w:t>(4) Includes merger transaction costs as follows:</w:t>
      </w:r>
    </w:p>
    <w:p>
      <w:pPr>
        <w:pStyle w:val="TextBody"/>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r>
    </w:p>
    <w:p>
      <w:pPr>
        <w:pStyle w:val="Normal"/>
        <w:bidi w:val="0"/>
        <w:spacing w:lineRule="auto" w:line="300" w:before="0" w:after="0"/>
        <w:jc w:val="left"/>
        <w:rPr>
          <w:sz w:val="4"/>
          <w:szCs w:val="4"/>
        </w:rPr>
      </w:pPr>
      <w:r>
        <w:rPr>
          <w:sz w:val="4"/>
          <w:szCs w:val="4"/>
        </w:rPr>
      </w:r>
      <w:bookmarkStart w:id="44" w:name="zd3a4a1d1ca1c47afb9ace2e7700033a3"/>
      <w:bookmarkStart w:id="45" w:name="zd3a4a1d1ca1c47afb9ace2e7700033a3"/>
      <w:bookmarkEnd w:id="45"/>
    </w:p>
    <w:tbl>
      <w:tblPr>
        <w:tblW w:w="6972" w:type="dxa"/>
        <w:jc w:val="left"/>
        <w:tblInd w:w="0" w:type="dxa"/>
        <w:tblLayout w:type="fixed"/>
        <w:tblCellMar>
          <w:top w:w="0" w:type="dxa"/>
          <w:left w:w="0" w:type="dxa"/>
          <w:bottom w:w="0" w:type="dxa"/>
          <w:right w:w="0" w:type="dxa"/>
        </w:tblCellMar>
      </w:tblPr>
      <w:tblGrid>
        <w:gridCol w:w="2570"/>
        <w:gridCol w:w="60"/>
        <w:gridCol w:w="252"/>
        <w:gridCol w:w="1226"/>
        <w:gridCol w:w="108"/>
        <w:gridCol w:w="108"/>
        <w:gridCol w:w="297"/>
        <w:gridCol w:w="203"/>
        <w:gridCol w:w="60"/>
        <w:gridCol w:w="60"/>
        <w:gridCol w:w="216"/>
        <w:gridCol w:w="1053"/>
        <w:gridCol w:w="92"/>
        <w:gridCol w:w="92"/>
        <w:gridCol w:w="297"/>
        <w:gridCol w:w="203"/>
        <w:gridCol w:w="75"/>
      </w:tblGrid>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4"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Three months ended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3"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Six months ended</w:t>
            </w:r>
          </w:p>
        </w:tc>
        <w:tc>
          <w:tcPr>
            <w:tcW w:w="75"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4"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3"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75"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8"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9"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75"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General and administrative</w:t>
            </w:r>
          </w:p>
        </w:tc>
        <w:tc>
          <w:tcPr>
            <w:tcW w:w="60" w:type="dxa"/>
            <w:tcBorders/>
            <w:shd w:fill="CCEEFF" w:val="clear"/>
            <w:vAlign w:val="bottom"/>
          </w:tcPr>
          <w:p>
            <w:pPr>
              <w:pStyle w:val="TableContents"/>
              <w:bidi w:val="0"/>
              <w:spacing w:before="0" w:after="283"/>
              <w:jc w:val="left"/>
              <w:rPr/>
            </w:pPr>
            <w:r>
              <w:rPr/>
              <w:t> </w:t>
            </w:r>
          </w:p>
        </w:tc>
        <w:tc>
          <w:tcPr>
            <w:tcW w:w="252"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226"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14,294</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9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05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14,294</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97"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20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lineRule="auto" w:line="300" w:before="0" w:after="0"/>
        <w:jc w:val="left"/>
        <w:rPr>
          <w:sz w:val="4"/>
          <w:szCs w:val="4"/>
        </w:rPr>
      </w:pPr>
      <w:r>
        <w:rPr>
          <w:sz w:val="4"/>
          <w:szCs w:val="4"/>
        </w:rPr>
      </w:r>
      <w:bookmarkStart w:id="46" w:name="z78b81712bef7496b943ee2e627975bf8"/>
      <w:bookmarkStart w:id="47" w:name="z78b81712bef7496b943ee2e627975bf8"/>
      <w:bookmarkEnd w:id="47"/>
    </w:p>
    <w:tbl>
      <w:tblPr>
        <w:tblW w:w="4160" w:type="dxa"/>
        <w:jc w:val="left"/>
        <w:tblInd w:w="0" w:type="dxa"/>
        <w:tblLayout w:type="fixed"/>
        <w:tblCellMar>
          <w:top w:w="0" w:type="dxa"/>
          <w:left w:w="0" w:type="dxa"/>
          <w:bottom w:w="0" w:type="dxa"/>
          <w:right w:w="0" w:type="dxa"/>
        </w:tblCellMar>
      </w:tblPr>
      <w:tblGrid>
        <w:gridCol w:w="4160"/>
      </w:tblGrid>
      <w:tr>
        <w:trPr/>
        <w:tc>
          <w:tcPr>
            <w:tcW w:w="416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WalkMe Ltd.</w:t>
            </w:r>
          </w:p>
        </w:tc>
      </w:tr>
      <w:tr>
        <w:trPr/>
        <w:tc>
          <w:tcPr>
            <w:tcW w:w="416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Condensed Consolidated Balance Sheets</w:t>
            </w:r>
          </w:p>
        </w:tc>
      </w:tr>
      <w:tr>
        <w:trPr/>
        <w:tc>
          <w:tcPr>
            <w:tcW w:w="416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(in thousands; unaudited)</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48" w:name="z7d4ce420e95b487cbdaa17e0ca0240b8"/>
      <w:bookmarkStart w:id="49" w:name="z7d4ce420e95b487cbdaa17e0ca0240b8"/>
      <w:bookmarkEnd w:id="49"/>
    </w:p>
    <w:tbl>
      <w:tblPr>
        <w:tblW w:w="10205" w:type="dxa"/>
        <w:jc w:val="left"/>
        <w:tblInd w:w="0" w:type="dxa"/>
        <w:tblLayout w:type="fixed"/>
        <w:tblCellMar>
          <w:top w:w="0" w:type="dxa"/>
          <w:left w:w="0" w:type="dxa"/>
          <w:bottom w:w="0" w:type="dxa"/>
          <w:right w:w="0" w:type="dxa"/>
        </w:tblCellMar>
      </w:tblPr>
      <w:tblGrid>
        <w:gridCol w:w="7476"/>
        <w:gridCol w:w="60"/>
        <w:gridCol w:w="140"/>
        <w:gridCol w:w="875"/>
        <w:gridCol w:w="95"/>
        <w:gridCol w:w="60"/>
        <w:gridCol w:w="190"/>
        <w:gridCol w:w="1198"/>
        <w:gridCol w:w="111"/>
      </w:tblGrid>
      <w:tr>
        <w:trPr/>
        <w:tc>
          <w:tcPr>
            <w:tcW w:w="74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8" w:type="dxa"/>
            <w:gridSpan w:val="2"/>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December 31,</w:t>
            </w:r>
          </w:p>
        </w:tc>
        <w:tc>
          <w:tcPr>
            <w:tcW w:w="111" w:type="dxa"/>
            <w:tcBorders/>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8"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Assets</w:t>
            </w:r>
          </w:p>
        </w:tc>
        <w:tc>
          <w:tcPr>
            <w:tcW w:w="60" w:type="dxa"/>
            <w:tcBorders/>
            <w:shd w:fill="CCEEFF" w:val="clear"/>
            <w:vAlign w:val="bottom"/>
          </w:tcPr>
          <w:p>
            <w:pPr>
              <w:pStyle w:val="TableContents"/>
              <w:bidi w:val="0"/>
              <w:spacing w:before="0" w:after="283"/>
              <w:jc w:val="left"/>
              <w:rPr/>
            </w:pPr>
            <w:r>
              <w:rPr/>
              <w:t> </w:t>
            </w:r>
          </w:p>
        </w:tc>
        <w:tc>
          <w:tcPr>
            <w:tcW w:w="101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8" w:type="dxa"/>
            <w:gridSpan w:val="2"/>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8"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Current assets:</w:t>
            </w:r>
          </w:p>
        </w:tc>
        <w:tc>
          <w:tcPr>
            <w:tcW w:w="60" w:type="dxa"/>
            <w:tcBorders/>
            <w:shd w:fill="CCEEFF" w:val="clear"/>
            <w:vAlign w:val="bottom"/>
          </w:tcPr>
          <w:p>
            <w:pPr>
              <w:pStyle w:val="TableContents"/>
              <w:bidi w:val="0"/>
              <w:spacing w:before="0" w:after="283"/>
              <w:jc w:val="left"/>
              <w:rPr/>
            </w:pPr>
            <w:r>
              <w:rPr/>
              <w:t> </w:t>
            </w:r>
          </w:p>
        </w:tc>
        <w:tc>
          <w:tcPr>
            <w:tcW w:w="101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8" w:type="dxa"/>
            <w:gridSpan w:val="2"/>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8"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220,673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98"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177,223</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Short-term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12,351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28,027</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Short-term marketable securities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65,977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60,290</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Trade receivables,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37,677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40,494</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Deferred contract acquisition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27,296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26,793</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Prepaid expenses and other current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7,769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8,739</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current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371,743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341,566</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Non-current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Long-term marketable securities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55,485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56,282</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Deferred contract acquisition costs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25,809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30,267</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Other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317</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Property and equipment,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12,149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12,059</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9,864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12,005</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Goodwill and Intangible assets, net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1,561</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non-current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105,621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112,491</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477,364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9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454,057</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Liabilities, redeemable non-controlling interest and 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Current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Trade payables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9,368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98"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3,508</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Accrued expenses and other current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59,216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47,772</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Deferred revenues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113,360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110,701</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current liabilities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181,944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161,981</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Long-term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Deferred revenues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894</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Other long-term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12,723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12,384</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Operating lease liabilities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7,202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8,222</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long-term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20,417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21,500</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liabilities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202,361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183,481</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Redeemable non-controlling interest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12,722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10,429</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Share capital and additional paid-in capital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776,084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748,801</w:t>
            </w:r>
          </w:p>
        </w:tc>
        <w:tc>
          <w:tcPr>
            <w:tcW w:w="111" w:type="dxa"/>
            <w:tcBorders/>
            <w:vAlign w:val="bottom"/>
          </w:tcPr>
          <w:p>
            <w:pPr>
              <w:pStyle w:val="TableContents"/>
              <w:bidi w:val="0"/>
              <w:spacing w:before="0" w:after="283"/>
              <w:jc w:val="left"/>
              <w:rPr/>
            </w:pPr>
            <w:r>
              <w:rPr/>
              <w:t> </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Other comprehensive income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(1,179</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478</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Accumulated deficit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(512,624</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(489,132</w:t>
            </w:r>
          </w:p>
        </w:tc>
        <w:tc>
          <w:tcPr>
            <w:tcW w:w="111"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747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Total 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262,281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260,147</w:t>
            </w:r>
          </w:p>
        </w:tc>
        <w:tc>
          <w:tcPr>
            <w:tcW w:w="111" w:type="dxa"/>
            <w:tcBorders/>
            <w:shd w:fill="CCEEFF" w:val="clear"/>
            <w:vAlign w:val="bottom"/>
          </w:tcPr>
          <w:p>
            <w:pPr>
              <w:pStyle w:val="TableContents"/>
              <w:bidi w:val="0"/>
              <w:spacing w:before="0" w:after="283"/>
              <w:jc w:val="left"/>
              <w:rPr/>
            </w:pPr>
            <w:r>
              <w:rPr/>
              <w:t> </w:t>
            </w:r>
          </w:p>
        </w:tc>
      </w:tr>
      <w:tr>
        <w:trPr/>
        <w:tc>
          <w:tcPr>
            <w:tcW w:w="7476"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Total Liabilities, redeemable non-controlling interest and shareholders’ equity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7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477,364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9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454,057</w:t>
            </w:r>
          </w:p>
        </w:tc>
        <w:tc>
          <w:tcPr>
            <w:tcW w:w="111"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lineRule="auto" w:line="300" w:before="200" w:after="200"/>
        <w:jc w:val="left"/>
        <w:rPr/>
      </w:pPr>
      <w:r>
        <w:rPr/>
      </w:r>
    </w:p>
    <w:p>
      <w:pPr>
        <w:pStyle w:val="Normal"/>
        <w:bidi w:val="0"/>
        <w:spacing w:lineRule="auto" w:line="300" w:before="0" w:after="0"/>
        <w:jc w:val="left"/>
        <w:rPr>
          <w:sz w:val="4"/>
          <w:szCs w:val="4"/>
        </w:rPr>
      </w:pPr>
      <w:r>
        <w:rPr>
          <w:sz w:val="4"/>
          <w:szCs w:val="4"/>
        </w:rPr>
      </w:r>
      <w:bookmarkStart w:id="50" w:name="z8688701496c24c939bca38ff1d2873e1"/>
      <w:bookmarkStart w:id="51" w:name="z8688701496c24c939bca38ff1d2873e1"/>
      <w:bookmarkEnd w:id="51"/>
    </w:p>
    <w:tbl>
      <w:tblPr>
        <w:tblW w:w="5165" w:type="dxa"/>
        <w:jc w:val="left"/>
        <w:tblInd w:w="0" w:type="dxa"/>
        <w:tblLayout w:type="fixed"/>
        <w:tblCellMar>
          <w:top w:w="0" w:type="dxa"/>
          <w:left w:w="0" w:type="dxa"/>
          <w:bottom w:w="0" w:type="dxa"/>
          <w:right w:w="0" w:type="dxa"/>
        </w:tblCellMar>
      </w:tblPr>
      <w:tblGrid>
        <w:gridCol w:w="5165"/>
      </w:tblGrid>
      <w:tr>
        <w:trPr/>
        <w:tc>
          <w:tcPr>
            <w:tcW w:w="5165"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WalkMe Ltd.</w:t>
            </w:r>
          </w:p>
        </w:tc>
      </w:tr>
      <w:tr>
        <w:trPr/>
        <w:tc>
          <w:tcPr>
            <w:tcW w:w="5165"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Condensed Consolidated Statements of Cash Flow</w:t>
            </w:r>
          </w:p>
        </w:tc>
      </w:tr>
      <w:tr>
        <w:trPr/>
        <w:tc>
          <w:tcPr>
            <w:tcW w:w="5165"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(in thousands; unaudited)</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lineRule="auto" w:line="300" w:before="0" w:after="0"/>
        <w:jc w:val="left"/>
        <w:rPr>
          <w:sz w:val="4"/>
          <w:szCs w:val="4"/>
        </w:rPr>
      </w:pPr>
      <w:r>
        <w:rPr>
          <w:sz w:val="4"/>
          <w:szCs w:val="4"/>
        </w:rPr>
      </w:r>
      <w:bookmarkStart w:id="52" w:name="z29901342a0b349c9ace98ecb29abb992"/>
      <w:bookmarkStart w:id="53" w:name="z29901342a0b349c9ace98ecb29abb992"/>
      <w:bookmarkEnd w:id="53"/>
    </w:p>
    <w:tbl>
      <w:tblPr>
        <w:tblW w:w="10205" w:type="dxa"/>
        <w:jc w:val="left"/>
        <w:tblInd w:w="0" w:type="dxa"/>
        <w:tblLayout w:type="fixed"/>
        <w:tblCellMar>
          <w:top w:w="0" w:type="dxa"/>
          <w:left w:w="0" w:type="dxa"/>
          <w:bottom w:w="0" w:type="dxa"/>
          <w:right w:w="0" w:type="dxa"/>
        </w:tblCellMar>
      </w:tblPr>
      <w:tblGrid>
        <w:gridCol w:w="5763"/>
        <w:gridCol w:w="60"/>
        <w:gridCol w:w="142"/>
        <w:gridCol w:w="819"/>
        <w:gridCol w:w="96"/>
        <w:gridCol w:w="61"/>
        <w:gridCol w:w="142"/>
        <w:gridCol w:w="819"/>
        <w:gridCol w:w="95"/>
        <w:gridCol w:w="60"/>
        <w:gridCol w:w="140"/>
        <w:gridCol w:w="800"/>
        <w:gridCol w:w="95"/>
        <w:gridCol w:w="60"/>
        <w:gridCol w:w="140"/>
        <w:gridCol w:w="800"/>
        <w:gridCol w:w="113"/>
      </w:tblGrid>
      <w:tr>
        <w:trPr/>
        <w:tc>
          <w:tcPr>
            <w:tcW w:w="57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9"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5"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Six months ended</w:t>
            </w:r>
          </w:p>
        </w:tc>
        <w:tc>
          <w:tcPr>
            <w:tcW w:w="113" w:type="dxa"/>
            <w:tcBorders/>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9"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5"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113" w:type="dxa"/>
            <w:tcBorders/>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1"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61"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flows from operating activities:</w:t>
            </w:r>
          </w:p>
        </w:tc>
        <w:tc>
          <w:tcPr>
            <w:tcW w:w="60" w:type="dxa"/>
            <w:tcBorders/>
            <w:shd w:fill="CCEEFF" w:val="clear"/>
            <w:vAlign w:val="bottom"/>
          </w:tcPr>
          <w:p>
            <w:pPr>
              <w:pStyle w:val="TableContents"/>
              <w:bidi w:val="0"/>
              <w:spacing w:before="0" w:after="283"/>
              <w:jc w:val="left"/>
              <w:rPr/>
            </w:pPr>
            <w:r>
              <w:rPr/>
              <w:t> </w:t>
            </w:r>
          </w:p>
        </w:tc>
        <w:tc>
          <w:tcPr>
            <w:tcW w:w="961" w:type="dxa"/>
            <w:gridSpan w:val="2"/>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61"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40" w:type="dxa"/>
            <w:gridSpan w:val="2"/>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loss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(17,979</w:t>
            </w:r>
          </w:p>
        </w:tc>
        <w:tc>
          <w:tcPr>
            <w:tcW w:w="9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(13,981</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(23,465</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(37,627</w:t>
            </w:r>
          </w:p>
        </w:tc>
        <w:tc>
          <w:tcPr>
            <w:tcW w:w="11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6784" w:type="dxa"/>
            <w:gridSpan w:val="4"/>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Adjustments to reconcile net loss to net cash provided by (used in) operating activities:</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Share-based compensation</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11,455</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11,973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23,695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28,870</w:t>
            </w:r>
          </w:p>
        </w:tc>
        <w:tc>
          <w:tcPr>
            <w:tcW w:w="113"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Depreciation, amortization and impairment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1,329</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2,823</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Operating lease right-of-use assets and liabilities, net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(532</w:t>
            </w:r>
          </w:p>
        </w:tc>
        <w:tc>
          <w:tcPr>
            <w:tcW w:w="9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(497</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(1,047</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(900</w:t>
            </w:r>
          </w:p>
        </w:tc>
        <w:tc>
          <w:tcPr>
            <w:tcW w:w="11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Finance (income) expense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458</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w:t>
            </w:r>
          </w:p>
        </w:tc>
        <w:tc>
          <w:tcPr>
            <w:tcW w:w="11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Amortization of premium and accretion of discount on marketable securities, net</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(726</w:t>
            </w:r>
          </w:p>
        </w:tc>
        <w:tc>
          <w:tcPr>
            <w:tcW w:w="9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(482</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(1,498</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(1,010</w:t>
            </w:r>
          </w:p>
        </w:tc>
        <w:tc>
          <w:tcPr>
            <w:tcW w:w="11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Decrease in trade receivables, net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4,657</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4,852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1,132</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Decrease (increase) in prepaid expenses and other current and non-current assets</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222</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(56</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(2,174</w:t>
            </w:r>
          </w:p>
        </w:tc>
        <w:tc>
          <w:tcPr>
            <w:tcW w:w="11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Decrease in deferred contract acquisition costs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888</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3,955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5,709</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Increase (decrease) in trade payables</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5,575</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(1,649</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5,822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(2,343</w:t>
            </w:r>
          </w:p>
        </w:tc>
        <w:tc>
          <w:tcPr>
            <w:tcW w:w="11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Increase (decrease) in accrued expenses and other current liabilities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15,991</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13,473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(7,789</w:t>
            </w:r>
          </w:p>
        </w:tc>
        <w:tc>
          <w:tcPr>
            <w:tcW w:w="11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Increase (decrease) in deferred revenues</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(8,943</w:t>
            </w:r>
          </w:p>
        </w:tc>
        <w:tc>
          <w:tcPr>
            <w:tcW w:w="9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9,167</w:t>
            </w:r>
          </w:p>
        </w:tc>
        <w:tc>
          <w:tcPr>
            <w:tcW w:w="113"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Increase in other long-term liabilities</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2,847</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cash provided by (used in) operating activities</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12,396</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6,234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30,150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(1,298</w:t>
            </w:r>
          </w:p>
        </w:tc>
        <w:tc>
          <w:tcPr>
            <w:tcW w:w="11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flows from investing activities:</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Investment in equity securities</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(140</w:t>
            </w:r>
          </w:p>
        </w:tc>
        <w:tc>
          <w:tcPr>
            <w:tcW w:w="9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(465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13"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Purchase of property and equipment</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(193</w:t>
            </w:r>
          </w:p>
        </w:tc>
        <w:tc>
          <w:tcPr>
            <w:tcW w:w="9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(149</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(290</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(329</w:t>
            </w:r>
          </w:p>
        </w:tc>
        <w:tc>
          <w:tcPr>
            <w:tcW w:w="11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Proceeds from short-term deposits</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16,000</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36,500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73,500</w:t>
            </w:r>
          </w:p>
        </w:tc>
        <w:tc>
          <w:tcPr>
            <w:tcW w:w="113"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Investment in marketable securities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(16,332</w:t>
            </w:r>
          </w:p>
        </w:tc>
        <w:tc>
          <w:tcPr>
            <w:tcW w:w="96"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(13,452</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(30,459</w:t>
            </w:r>
          </w:p>
        </w:tc>
        <w:tc>
          <w:tcPr>
            <w:tcW w:w="9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(23,809</w:t>
            </w:r>
          </w:p>
        </w:tc>
        <w:tc>
          <w:tcPr>
            <w:tcW w:w="11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Proceeds from maturity of marketable securities</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13,242</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16,123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25,815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26,583</w:t>
            </w:r>
          </w:p>
        </w:tc>
        <w:tc>
          <w:tcPr>
            <w:tcW w:w="113"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Proceeds from restricted deposits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Capitalization of software development costs</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(1,055</w:t>
            </w:r>
          </w:p>
        </w:tc>
        <w:tc>
          <w:tcPr>
            <w:tcW w:w="9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1"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(911</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(2,075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(1,478</w:t>
            </w:r>
          </w:p>
        </w:tc>
        <w:tc>
          <w:tcPr>
            <w:tcW w:w="11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cash provided by investing activities</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11,522</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38,111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8,696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74,467</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flows from financing activities: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Proceeds from exercise of options</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3,180</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479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3,603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1,021</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Proceeds from employees share purchase plan</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903</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2,301</w:t>
            </w:r>
          </w:p>
        </w:tc>
        <w:tc>
          <w:tcPr>
            <w:tcW w:w="113"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Net cash provided by financing activities</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4,083</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5,385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3,322</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Effect of foreign currency exchange rate changes on cash, cash equivalents, and restricted cash</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(330</w:t>
            </w:r>
          </w:p>
        </w:tc>
        <w:tc>
          <w:tcPr>
            <w:tcW w:w="96"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1"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(775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(781</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(966</w:t>
            </w:r>
          </w:p>
        </w:tc>
        <w:tc>
          <w:tcPr>
            <w:tcW w:w="11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Increase in cash, cash equivalents and restricted cash</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27,671</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45,156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43,450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75,525</w:t>
            </w:r>
          </w:p>
        </w:tc>
        <w:tc>
          <w:tcPr>
            <w:tcW w:w="113" w:type="dxa"/>
            <w:tcBorders/>
            <w:vAlign w:val="bottom"/>
          </w:tcPr>
          <w:p>
            <w:pPr>
              <w:pStyle w:val="TableContents"/>
              <w:bidi w:val="0"/>
              <w:spacing w:before="0" w:after="283"/>
              <w:jc w:val="left"/>
              <w:rPr/>
            </w:pPr>
            <w:r>
              <w:rPr/>
              <w:t> </w:t>
            </w:r>
          </w:p>
        </w:tc>
      </w:tr>
      <w:tr>
        <w:trPr/>
        <w:tc>
          <w:tcPr>
            <w:tcW w:w="576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Cash, cash equivalents and restricted cash - Beginning of period</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193,002</w:t>
            </w:r>
          </w:p>
        </w:tc>
        <w:tc>
          <w:tcPr>
            <w:tcW w:w="9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124,797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177,223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94,428</w:t>
            </w:r>
          </w:p>
        </w:tc>
        <w:tc>
          <w:tcPr>
            <w:tcW w:w="113" w:type="dxa"/>
            <w:tcBorders/>
            <w:shd w:fill="CCEEFF" w:val="clear"/>
            <w:vAlign w:val="bottom"/>
          </w:tcPr>
          <w:p>
            <w:pPr>
              <w:pStyle w:val="TableContents"/>
              <w:bidi w:val="0"/>
              <w:spacing w:before="0" w:after="283"/>
              <w:jc w:val="left"/>
              <w:rPr/>
            </w:pPr>
            <w:r>
              <w:rPr/>
              <w:t> </w:t>
            </w:r>
          </w:p>
        </w:tc>
      </w:tr>
      <w:tr>
        <w:trPr/>
        <w:tc>
          <w:tcPr>
            <w:tcW w:w="576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Cash, cash equivalents and restricted cash - End of period</w:t>
            </w:r>
          </w:p>
        </w:tc>
        <w:tc>
          <w:tcPr>
            <w:tcW w:w="60" w:type="dxa"/>
            <w:tcBorders/>
            <w:vAlign w:val="bottom"/>
          </w:tcPr>
          <w:p>
            <w:pPr>
              <w:pStyle w:val="TableContents"/>
              <w:bidi w:val="0"/>
              <w:spacing w:before="0" w:after="283"/>
              <w:jc w:val="left"/>
              <w:rPr/>
            </w:pPr>
            <w:r>
              <w:rPr/>
              <w:t> </w:t>
            </w:r>
          </w:p>
        </w:tc>
        <w:tc>
          <w:tcPr>
            <w:tcW w:w="142"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1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220,673</w:t>
            </w:r>
          </w:p>
        </w:tc>
        <w:tc>
          <w:tcPr>
            <w:tcW w:w="9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2"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1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169,953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220,673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169,953</w:t>
            </w:r>
          </w:p>
        </w:tc>
        <w:tc>
          <w:tcPr>
            <w:tcW w:w="113"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lineRule="auto" w:line="300" w:before="200" w:after="200"/>
        <w:jc w:val="left"/>
        <w:rPr/>
      </w:pPr>
      <w:r>
        <w:rPr/>
      </w:r>
    </w:p>
    <w:p>
      <w:pPr>
        <w:pStyle w:val="Normal"/>
        <w:bidi w:val="0"/>
        <w:spacing w:lineRule="auto" w:line="300" w:before="0" w:after="0"/>
        <w:jc w:val="left"/>
        <w:rPr>
          <w:sz w:val="4"/>
          <w:szCs w:val="4"/>
        </w:rPr>
      </w:pPr>
      <w:r>
        <w:rPr>
          <w:sz w:val="4"/>
          <w:szCs w:val="4"/>
        </w:rPr>
      </w:r>
      <w:bookmarkStart w:id="54" w:name="z5119401775a141a182d17dacb82aefc8"/>
      <w:bookmarkStart w:id="55" w:name="z5119401775a141a182d17dacb82aefc8"/>
      <w:bookmarkEnd w:id="55"/>
    </w:p>
    <w:tbl>
      <w:tblPr>
        <w:tblW w:w="6020" w:type="dxa"/>
        <w:jc w:val="left"/>
        <w:tblInd w:w="0" w:type="dxa"/>
        <w:tblLayout w:type="fixed"/>
        <w:tblCellMar>
          <w:top w:w="0" w:type="dxa"/>
          <w:left w:w="0" w:type="dxa"/>
          <w:bottom w:w="0" w:type="dxa"/>
          <w:right w:w="0" w:type="dxa"/>
        </w:tblCellMar>
      </w:tblPr>
      <w:tblGrid>
        <w:gridCol w:w="6020"/>
      </w:tblGrid>
      <w:tr>
        <w:trPr/>
        <w:tc>
          <w:tcPr>
            <w:tcW w:w="602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WalkMe Ltd.</w:t>
            </w:r>
          </w:p>
        </w:tc>
      </w:tr>
      <w:tr>
        <w:trPr/>
        <w:tc>
          <w:tcPr>
            <w:tcW w:w="602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Reconciliation from GAAP to Non-GAAP Results</w:t>
            </w:r>
          </w:p>
        </w:tc>
      </w:tr>
      <w:tr>
        <w:trPr/>
        <w:tc>
          <w:tcPr>
            <w:tcW w:w="6020"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(in thousands, except share and per share data; unaudited)</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lineRule="auto" w:line="300" w:before="0" w:after="0"/>
        <w:jc w:val="left"/>
        <w:rPr>
          <w:sz w:val="4"/>
          <w:szCs w:val="4"/>
        </w:rPr>
      </w:pPr>
      <w:r>
        <w:rPr>
          <w:sz w:val="4"/>
          <w:szCs w:val="4"/>
        </w:rPr>
      </w:r>
      <w:bookmarkStart w:id="56" w:name="zc370827366c54d6fa5998df39f196dea"/>
      <w:bookmarkStart w:id="57" w:name="zc370827366c54d6fa5998df39f196dea"/>
      <w:bookmarkEnd w:id="57"/>
    </w:p>
    <w:tbl>
      <w:tblPr>
        <w:tblW w:w="10205" w:type="dxa"/>
        <w:jc w:val="left"/>
        <w:tblInd w:w="0" w:type="dxa"/>
        <w:tblLayout w:type="fixed"/>
        <w:tblCellMar>
          <w:top w:w="0" w:type="dxa"/>
          <w:left w:w="0" w:type="dxa"/>
          <w:bottom w:w="0" w:type="dxa"/>
          <w:right w:w="0" w:type="dxa"/>
        </w:tblCellMar>
      </w:tblPr>
      <w:tblGrid>
        <w:gridCol w:w="3830"/>
        <w:gridCol w:w="60"/>
        <w:gridCol w:w="140"/>
        <w:gridCol w:w="1100"/>
        <w:gridCol w:w="290"/>
        <w:gridCol w:w="60"/>
        <w:gridCol w:w="140"/>
        <w:gridCol w:w="1100"/>
        <w:gridCol w:w="290"/>
        <w:gridCol w:w="60"/>
        <w:gridCol w:w="140"/>
        <w:gridCol w:w="1100"/>
        <w:gridCol w:w="290"/>
        <w:gridCol w:w="60"/>
        <w:gridCol w:w="140"/>
        <w:gridCol w:w="1100"/>
        <w:gridCol w:w="305"/>
      </w:tblGrid>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0"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Three months ended</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0"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Six months ended</w:t>
            </w:r>
          </w:p>
        </w:tc>
        <w:tc>
          <w:tcPr>
            <w:tcW w:w="305"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305" w:type="dxa"/>
            <w:tcBorders/>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Reconciliation of gross profit and gross margin</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GAAP gross profit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59,437</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54,303</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118,135</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108,003</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Share-based compensation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534</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749</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1,079</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1,572</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Amortization of acquired intangibles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68</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79</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136</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Restructuring expense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263</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263</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Non-GAAP gross profit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59,982</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55,383</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119,293</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109,974</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GAAP gross margin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86</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82</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86</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82</w:t>
            </w:r>
          </w:p>
        </w:tc>
        <w:tc>
          <w:tcPr>
            <w:tcW w:w="30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Non-GAAP gross margin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86</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84</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86</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83</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Reconciliation of operating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GAAP research and development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11,880</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14,212</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24,626</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28,484</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Less: Share-based compensation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(2,326</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(2,549</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(4,863</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(4,918</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Less: Restructuring expense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(86</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(86</w:t>
            </w:r>
          </w:p>
        </w:tc>
        <w:tc>
          <w:tcPr>
            <w:tcW w:w="30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Non-GAAP research and development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9,554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11,577</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19,763</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23,480</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GAAP sales and marketing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40,127</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39,459</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81,555</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83,917</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Less: Share-based compensation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(4,346</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(3,944</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(9,740</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(8,555</w:t>
            </w:r>
          </w:p>
        </w:tc>
        <w:tc>
          <w:tcPr>
            <w:tcW w:w="30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Less: Restructuring expense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(964</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(964</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Non-GAAP sales and marketing</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35,781</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34,551</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71,815</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74,398</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GAAP general and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28,245</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16,474</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40,661</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37,221</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Less: Share-based compensation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(4,249</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(4,731</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(8,013</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(13,825</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Less: Restructuring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(160</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(160</w:t>
            </w:r>
          </w:p>
        </w:tc>
        <w:tc>
          <w:tcPr>
            <w:tcW w:w="30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Less: Merger transaction costs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(14,294</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(14,294</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Non-GAAP general and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9,702</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11,583</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18,354</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23,236</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Reconciliation of operating income (loss) and operating margin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GAAP operating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(20,815</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(15,842</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(28,707</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(41,619</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Share-based compensation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11,455</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11,973</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23,695</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28,870</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Amortization of acquired intangibles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68</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79</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136</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Restructuring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1,473</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1,473</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Merger transaction costs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14,294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14,294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Non-GAAP operating income (loss)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4,945</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(2,328</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9,361</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(11,140</w:t>
            </w:r>
          </w:p>
        </w:tc>
        <w:tc>
          <w:tcPr>
            <w:tcW w:w="30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GAAP operating margin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(30</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(24</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(21</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(32</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Non-GAAP operating margin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(4</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w:t>
            </w:r>
          </w:p>
        </w:tc>
        <w:tc>
          <w:tcPr>
            <w:tcW w:w="30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Reconciliation of net income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GAAP net loss attributable to WalkMe Ltd.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(19,637</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(13,604</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(25,783</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(39,727</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Share-based compensation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11,455</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11,973</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23,695</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28,870</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Amortization of acquired intangibles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68</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79</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136</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Restructuring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1,473</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1,473</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Merger transaction costs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14,294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14,294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Adjustment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1,591</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(253</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2,291</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2,247</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Non-GAAP net income (loss) attributable to WalkMe Ltd.</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7,714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(343</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14,576</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(7,001</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Non-GAAP net income (loss) per share attributable to WalkMe Ltd.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Basic</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0.08</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(0.00</w:t>
            </w:r>
          </w:p>
        </w:tc>
        <w:tc>
          <w:tcPr>
            <w:tcW w:w="29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0.16</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(0.08</w:t>
            </w:r>
          </w:p>
        </w:tc>
        <w:tc>
          <w:tcPr>
            <w:tcW w:w="30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Diluted</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0.08</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(0.00</w:t>
            </w:r>
          </w:p>
        </w:tc>
        <w:tc>
          <w:tcPr>
            <w:tcW w:w="29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0.15</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110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(0.08</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38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Shares used in non-GAAP per share calculations: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Non-GAAP weighted-average shares used to compute net income (loss) per share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3830"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Basic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92,777,911</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88,604,385</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92,053,119</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87,949,871</w:t>
            </w:r>
          </w:p>
        </w:tc>
        <w:tc>
          <w:tcPr>
            <w:tcW w:w="305" w:type="dxa"/>
            <w:tcBorders/>
            <w:vAlign w:val="bottom"/>
          </w:tcPr>
          <w:p>
            <w:pPr>
              <w:pStyle w:val="TableContents"/>
              <w:bidi w:val="0"/>
              <w:spacing w:before="0" w:after="283"/>
              <w:jc w:val="left"/>
              <w:rPr/>
            </w:pPr>
            <w:r>
              <w:rPr/>
              <w:t> </w:t>
            </w:r>
          </w:p>
        </w:tc>
      </w:tr>
      <w:tr>
        <w:trPr/>
        <w:tc>
          <w:tcPr>
            <w:tcW w:w="383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Diluted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97,679,006</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88,604,385</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97,121,140</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87,949,871</w:t>
            </w:r>
          </w:p>
        </w:tc>
        <w:tc>
          <w:tcPr>
            <w:tcW w:w="30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lineRule="auto" w:line="300" w:before="200" w:after="200"/>
        <w:jc w:val="left"/>
        <w:rPr/>
      </w:pPr>
      <w:r>
        <w:rPr/>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Normal"/>
        <w:bidi w:val="0"/>
        <w:spacing w:lineRule="auto" w:line="300" w:before="0" w:after="0"/>
        <w:jc w:val="left"/>
        <w:rPr>
          <w:sz w:val="4"/>
          <w:szCs w:val="4"/>
        </w:rPr>
      </w:pPr>
      <w:r>
        <w:rPr>
          <w:sz w:val="4"/>
          <w:szCs w:val="4"/>
        </w:rPr>
      </w:r>
      <w:bookmarkStart w:id="58" w:name="z0c1d5b78743241ecb9646468f813d760"/>
      <w:bookmarkStart w:id="59" w:name="z0c1d5b78743241ecb9646468f813d760"/>
      <w:bookmarkEnd w:id="59"/>
    </w:p>
    <w:tbl>
      <w:tblPr>
        <w:tblW w:w="8225" w:type="dxa"/>
        <w:jc w:val="left"/>
        <w:tblInd w:w="0" w:type="dxa"/>
        <w:tblLayout w:type="fixed"/>
        <w:tblCellMar>
          <w:top w:w="0" w:type="dxa"/>
          <w:left w:w="0" w:type="dxa"/>
          <w:bottom w:w="0" w:type="dxa"/>
          <w:right w:w="0" w:type="dxa"/>
        </w:tblCellMar>
      </w:tblPr>
      <w:tblGrid>
        <w:gridCol w:w="8225"/>
      </w:tblGrid>
      <w:tr>
        <w:trPr/>
        <w:tc>
          <w:tcPr>
            <w:tcW w:w="8225"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WalkMe Ltd.</w:t>
            </w:r>
          </w:p>
        </w:tc>
      </w:tr>
      <w:tr>
        <w:trPr/>
        <w:tc>
          <w:tcPr>
            <w:tcW w:w="8225"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Reconciliation of GAAP Cash Flow from Operating Activities to Free Cash Flow</w:t>
            </w:r>
          </w:p>
        </w:tc>
      </w:tr>
      <w:tr>
        <w:trPr/>
        <w:tc>
          <w:tcPr>
            <w:tcW w:w="8225"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(in thousands; unaudited)</w:t>
            </w:r>
          </w:p>
        </w:tc>
      </w:tr>
    </w:tbl>
    <w:p>
      <w:pPr>
        <w:pStyle w:val="TextBody"/>
        <w:bidi w:val="0"/>
        <w:spacing w:lineRule="auto" w:line="300" w:before="0" w:after="0"/>
        <w:jc w:val="left"/>
        <w:rPr/>
      </w:pPr>
      <w:r>
        <w:rPr/>
      </w:r>
    </w:p>
    <w:p>
      <w:pPr>
        <w:pStyle w:val="Normal"/>
        <w:bidi w:val="0"/>
        <w:spacing w:lineRule="auto" w:line="300" w:before="0" w:after="0"/>
        <w:jc w:val="left"/>
        <w:rPr>
          <w:sz w:val="4"/>
          <w:szCs w:val="4"/>
        </w:rPr>
      </w:pPr>
      <w:r>
        <w:rPr>
          <w:sz w:val="4"/>
          <w:szCs w:val="4"/>
        </w:rPr>
      </w:r>
      <w:bookmarkStart w:id="60" w:name="zfb0ea27d7a2d4deead5732ff9c819754"/>
      <w:bookmarkStart w:id="61" w:name="zfb0ea27d7a2d4deead5732ff9c819754"/>
      <w:bookmarkEnd w:id="61"/>
    </w:p>
    <w:tbl>
      <w:tblPr>
        <w:tblW w:w="9852" w:type="dxa"/>
        <w:jc w:val="left"/>
        <w:tblInd w:w="0" w:type="dxa"/>
        <w:tblLayout w:type="fixed"/>
        <w:tblCellMar>
          <w:top w:w="0" w:type="dxa"/>
          <w:left w:w="0" w:type="dxa"/>
          <w:bottom w:w="0" w:type="dxa"/>
          <w:right w:w="0" w:type="dxa"/>
        </w:tblCellMar>
      </w:tblPr>
      <w:tblGrid>
        <w:gridCol w:w="5225"/>
        <w:gridCol w:w="60"/>
        <w:gridCol w:w="165"/>
        <w:gridCol w:w="803"/>
        <w:gridCol w:w="253"/>
        <w:gridCol w:w="70"/>
        <w:gridCol w:w="165"/>
        <w:gridCol w:w="661"/>
        <w:gridCol w:w="215"/>
        <w:gridCol w:w="60"/>
        <w:gridCol w:w="140"/>
        <w:gridCol w:w="680"/>
        <w:gridCol w:w="215"/>
        <w:gridCol w:w="60"/>
        <w:gridCol w:w="140"/>
        <w:gridCol w:w="635"/>
        <w:gridCol w:w="305"/>
      </w:tblGrid>
      <w:tr>
        <w:trPr/>
        <w:tc>
          <w:tcPr>
            <w:tcW w:w="5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7"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Three months ended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0" w:type="dxa"/>
            <w:gridSpan w:val="6"/>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Six months ended</w:t>
            </w:r>
          </w:p>
        </w:tc>
        <w:tc>
          <w:tcPr>
            <w:tcW w:w="305" w:type="dxa"/>
            <w:tcBorders/>
            <w:vAlign w:val="bottom"/>
          </w:tcPr>
          <w:p>
            <w:pPr>
              <w:pStyle w:val="TableContents"/>
              <w:bidi w:val="0"/>
              <w:spacing w:before="0" w:after="283"/>
              <w:jc w:val="left"/>
              <w:rPr/>
            </w:pPr>
            <w:r>
              <w:rPr/>
              <w:t> </w:t>
            </w:r>
          </w:p>
        </w:tc>
      </w:tr>
      <w:tr>
        <w:trPr/>
        <w:tc>
          <w:tcPr>
            <w:tcW w:w="5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7"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0" w:type="dxa"/>
            <w:gridSpan w:val="6"/>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June 30,</w:t>
            </w:r>
          </w:p>
        </w:tc>
        <w:tc>
          <w:tcPr>
            <w:tcW w:w="305" w:type="dxa"/>
            <w:tcBorders/>
            <w:vAlign w:val="bottom"/>
          </w:tcPr>
          <w:p>
            <w:pPr>
              <w:pStyle w:val="TableContents"/>
              <w:bidi w:val="0"/>
              <w:spacing w:before="0" w:after="283"/>
              <w:jc w:val="left"/>
              <w:rPr/>
            </w:pPr>
            <w:r>
              <w:rPr/>
              <w:t> </w:t>
            </w:r>
          </w:p>
        </w:tc>
      </w:tr>
      <w:tr>
        <w:trPr/>
        <w:tc>
          <w:tcPr>
            <w:tcW w:w="5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26"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305" w:type="dxa"/>
            <w:tcBorders/>
            <w:vAlign w:val="bottom"/>
          </w:tcPr>
          <w:p>
            <w:pPr>
              <w:pStyle w:val="TableContents"/>
              <w:bidi w:val="0"/>
              <w:spacing w:before="0" w:after="283"/>
              <w:jc w:val="left"/>
              <w:rPr/>
            </w:pPr>
            <w:r>
              <w:rPr/>
              <w:t> </w:t>
            </w:r>
          </w:p>
        </w:tc>
      </w:tr>
      <w:tr>
        <w:trPr/>
        <w:tc>
          <w:tcPr>
            <w:tcW w:w="522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Net cash provided by (used in) operating activities</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03"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12,396</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61"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6,234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80"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30,150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35" w:type="dxa"/>
            <w:tcBorders/>
            <w:shd w:fill="CCEEFF" w:val="cle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(1,298</w:t>
            </w:r>
          </w:p>
        </w:tc>
        <w:tc>
          <w:tcPr>
            <w:tcW w:w="30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22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Less: Purchases of property and equipment</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(193</w:t>
            </w:r>
          </w:p>
        </w:tc>
        <w:tc>
          <w:tcPr>
            <w:tcW w:w="25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(149</w:t>
            </w:r>
          </w:p>
        </w:tc>
        <w:tc>
          <w:tcPr>
            <w:tcW w:w="21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(290</w:t>
            </w:r>
          </w:p>
        </w:tc>
        <w:tc>
          <w:tcPr>
            <w:tcW w:w="21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(329</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22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Less: Capitalized software development costs</w:t>
            </w:r>
          </w:p>
        </w:tc>
        <w:tc>
          <w:tcPr>
            <w:tcW w:w="6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(1,055</w:t>
            </w:r>
          </w:p>
        </w:tc>
        <w:tc>
          <w:tcPr>
            <w:tcW w:w="253"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(911</w:t>
            </w:r>
          </w:p>
        </w:tc>
        <w:tc>
          <w:tcPr>
            <w:tcW w:w="21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(2,075</w:t>
            </w:r>
          </w:p>
        </w:tc>
        <w:tc>
          <w:tcPr>
            <w:tcW w:w="21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(1,478</w:t>
            </w:r>
          </w:p>
        </w:tc>
        <w:tc>
          <w:tcPr>
            <w:tcW w:w="30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22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Free Cash Flow</w:t>
            </w:r>
          </w:p>
        </w:tc>
        <w:tc>
          <w:tcPr>
            <w:tcW w:w="60" w:type="dxa"/>
            <w:tcBorders/>
            <w:vAlign w:val="bottom"/>
          </w:tcPr>
          <w:p>
            <w:pPr>
              <w:pStyle w:val="TableContents"/>
              <w:bidi w:val="0"/>
              <w:spacing w:before="0" w:after="283"/>
              <w:jc w:val="left"/>
              <w:rPr/>
            </w:pPr>
            <w:r>
              <w:rPr/>
              <w:t> </w:t>
            </w:r>
          </w:p>
        </w:tc>
        <w:tc>
          <w:tcPr>
            <w:tcW w:w="16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03"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11,148</w:t>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61"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5,174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27,785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35"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(3,105</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522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Plus: Merger transaction costs</w:t>
            </w:r>
          </w:p>
        </w:tc>
        <w:tc>
          <w:tcPr>
            <w:tcW w:w="6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207</w:t>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61"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w:t>
            </w:r>
          </w:p>
        </w:tc>
        <w:tc>
          <w:tcPr>
            <w:tcW w:w="305" w:type="dxa"/>
            <w:tcBorders/>
            <w:vAlign w:val="bottom"/>
          </w:tcPr>
          <w:p>
            <w:pPr>
              <w:pStyle w:val="TableContents"/>
              <w:bidi w:val="0"/>
              <w:spacing w:before="0" w:after="283"/>
              <w:jc w:val="left"/>
              <w:rPr/>
            </w:pPr>
            <w:r>
              <w:rPr/>
              <w:t> </w:t>
            </w:r>
          </w:p>
        </w:tc>
      </w:tr>
      <w:tr>
        <w:trPr/>
        <w:tc>
          <w:tcPr>
            <w:tcW w:w="522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Free Cash Flow excluding merger transaction costs</w:t>
            </w:r>
          </w:p>
        </w:tc>
        <w:tc>
          <w:tcPr>
            <w:tcW w:w="60" w:type="dxa"/>
            <w:tcBorders/>
            <w:shd w:fill="CCEEFF" w:val="clear"/>
            <w:vAlign w:val="bottom"/>
          </w:tcPr>
          <w:p>
            <w:pPr>
              <w:pStyle w:val="TableContents"/>
              <w:bidi w:val="0"/>
              <w:spacing w:before="0" w:after="283"/>
              <w:jc w:val="left"/>
              <w:rPr/>
            </w:pPr>
            <w:r>
              <w:rPr/>
              <w:t> </w:t>
            </w:r>
          </w:p>
        </w:tc>
        <w:tc>
          <w:tcPr>
            <w:tcW w:w="16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80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11,355</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6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5,174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27,992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35"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(3,105</w:t>
            </w:r>
          </w:p>
        </w:tc>
        <w:tc>
          <w:tcPr>
            <w:tcW w:w="305" w:type="dxa"/>
            <w:tcBorders/>
            <w:shd w:fill="CCEEFF" w:val="clear"/>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r>
        <w:trPr/>
        <w:tc>
          <w:tcPr>
            <w:tcW w:w="522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Free Cash Flow margin</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16</w:t>
            </w:r>
          </w:p>
        </w:tc>
        <w:tc>
          <w:tcPr>
            <w:tcW w:w="253"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8</w:t>
            </w:r>
          </w:p>
        </w:tc>
        <w:tc>
          <w:tcPr>
            <w:tcW w:w="21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20</w:t>
            </w:r>
          </w:p>
        </w:tc>
        <w:tc>
          <w:tcPr>
            <w:tcW w:w="21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lineRule="auto" w:line="300" w:before="0" w:after="0"/>
              <w:jc w:val="right"/>
              <w:rPr>
                <w:rFonts w:ascii="Times New Roman;Times;serif" w:hAnsi="Times New Roman;Times;serif"/>
                <w:color w:val="000000"/>
              </w:rPr>
            </w:pPr>
            <w:r>
              <w:rPr>
                <w:rFonts w:ascii="Times New Roman;Times;serif" w:hAnsi="Times New Roman;Times;serif"/>
                <w:color w:val="000000"/>
              </w:rPr>
              <w:t>(2</w:t>
            </w:r>
          </w:p>
        </w:tc>
        <w:tc>
          <w:tcPr>
            <w:tcW w:w="305" w:type="dxa"/>
            <w:tcBorders/>
            <w:vAlign w:val="bottom"/>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altName w:val="Times"/>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4450</Words>
  <Characters>24608</Characters>
  <CharactersWithSpaces>30039</CharactersWithSpaces>
  <Paragraphs>3170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