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spacing w:lineRule="auto" w:line="300"/>
        <w:rPr/>
      </w:pPr>
      <w:r>
        <w:rPr/>
      </w:r>
      <w:bookmarkStart w:id="0" w:name="zk2329546.htm"/>
      <w:bookmarkStart w:id="1" w:name="kszk2329546"/>
      <w:bookmarkStart w:id="2" w:name="zk2329546.htm"/>
      <w:bookmarkStart w:id="3" w:name="kszk2329546"/>
      <w:bookmarkEnd w:id="2"/>
      <w:bookmarkEnd w:id="3"/>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UNITED STATES</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SECURITIES AND EXCHANGE COMMISSION</w:t>
      </w:r>
    </w:p>
    <w:p>
      <w:pPr>
        <w:pStyle w:val="TextBody"/>
        <w:spacing w:lineRule="auto" w:line="300" w:before="0" w:after="0"/>
        <w:jc w:val="center"/>
        <w:rPr>
          <w:b/>
        </w:rPr>
      </w:pPr>
      <w:r>
        <w:rPr>
          <w:b/>
        </w:rPr>
        <w:t>Washington, D.C. 20549</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FORM 6-K</w:t>
      </w:r>
    </w:p>
    <w:p>
      <w:pPr>
        <w:pStyle w:val="TextBody"/>
        <w:spacing w:lineRule="auto" w:line="300" w:before="0" w:after="0"/>
        <w:rPr/>
      </w:pPr>
      <w:r>
        <w:rPr/>
        <w:t> </w:t>
      </w:r>
    </w:p>
    <w:p>
      <w:pPr>
        <w:pStyle w:val="TextBody"/>
        <w:spacing w:lineRule="auto" w:line="300" w:before="0" w:after="0"/>
        <w:jc w:val="center"/>
        <w:rPr>
          <w:b/>
        </w:rPr>
      </w:pPr>
      <w:r>
        <w:rPr>
          <w:b/>
        </w:rPr>
        <w:t>REPORT OF FOREIGN PRIVATE ISSUER</w:t>
      </w:r>
    </w:p>
    <w:p>
      <w:pPr>
        <w:pStyle w:val="TextBody"/>
        <w:spacing w:lineRule="auto" w:line="300" w:before="0" w:after="0"/>
        <w:jc w:val="center"/>
        <w:rPr>
          <w:b/>
        </w:rPr>
      </w:pPr>
      <w:r>
        <w:rPr>
          <w:b/>
        </w:rPr>
        <w:t>PURSUANT TO SECTION 13A-16 OR 15D-16</w:t>
      </w:r>
    </w:p>
    <w:p>
      <w:pPr>
        <w:pStyle w:val="TextBody"/>
        <w:spacing w:lineRule="auto" w:line="300" w:before="0" w:after="0"/>
        <w:jc w:val="center"/>
        <w:rPr>
          <w:b/>
        </w:rPr>
      </w:pPr>
      <w:r>
        <w:rPr>
          <w:b/>
        </w:rPr>
        <w:t>UNDER THE SECURITIES EXCHANGE ACT OF 1934</w:t>
      </w:r>
    </w:p>
    <w:p>
      <w:pPr>
        <w:pStyle w:val="TextBody"/>
        <w:spacing w:lineRule="auto" w:line="300" w:before="0" w:after="0"/>
        <w:rPr/>
      </w:pPr>
      <w:r>
        <w:rPr/>
        <w:t> </w:t>
      </w:r>
    </w:p>
    <w:p>
      <w:pPr>
        <w:pStyle w:val="TextBody"/>
        <w:spacing w:lineRule="auto" w:line="300" w:before="0" w:after="0"/>
        <w:jc w:val="center"/>
        <w:rPr>
          <w:b/>
        </w:rPr>
      </w:pPr>
      <w:r>
        <w:rPr>
          <w:b/>
        </w:rPr>
        <w:t>For the month of April 2023</w:t>
      </w:r>
    </w:p>
    <w:p>
      <w:pPr>
        <w:pStyle w:val="TextBody"/>
        <w:spacing w:lineRule="auto" w:line="300" w:before="0" w:after="0"/>
        <w:rPr/>
      </w:pPr>
      <w:r>
        <w:rPr/>
        <w:t> </w:t>
      </w:r>
    </w:p>
    <w:p>
      <w:pPr>
        <w:pStyle w:val="TextBody"/>
        <w:spacing w:lineRule="auto" w:line="300" w:before="0" w:after="0"/>
        <w:jc w:val="center"/>
        <w:rPr>
          <w:b/>
        </w:rPr>
      </w:pPr>
      <w:r>
        <w:rPr>
          <w:b/>
        </w:rPr>
        <w:t>Commission File Number: 001-40490</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32"/>
          <w:highlight w:val="white"/>
        </w:rPr>
      </w:pPr>
      <w:r>
        <w:rPr>
          <w:rFonts w:ascii="Times New Roman;Times;serif" w:hAnsi="Times New Roman;Times;serif"/>
          <w:b/>
          <w:i w:val="false"/>
          <w:caps w:val="false"/>
          <w:smallCaps w:val="false"/>
          <w:color w:val="000000"/>
          <w:sz w:val="32"/>
          <w:highlight w:val="white"/>
        </w:rPr>
        <w:t>WalkMe Ltd.</w:t>
      </w:r>
    </w:p>
    <w:p>
      <w:pPr>
        <w:pStyle w:val="TextBody"/>
        <w:spacing w:lineRule="auto" w:line="300" w:before="0" w:after="0"/>
        <w:jc w:val="center"/>
        <w:rPr>
          <w:b/>
        </w:rPr>
      </w:pPr>
      <w:r>
        <w:rPr>
          <w:b/>
        </w:rPr>
        <w:t>(Translation of registrant’s name into English)</w:t>
      </w:r>
    </w:p>
    <w:p>
      <w:pPr>
        <w:pStyle w:val="TextBody"/>
        <w:spacing w:lineRule="auto" w:line="300" w:before="0" w:after="0"/>
        <w:rPr/>
      </w:pPr>
      <w:r>
        <w:rPr/>
      </w:r>
    </w:p>
    <w:p>
      <w:pPr>
        <w:pStyle w:val="TextBody"/>
        <w:spacing w:lineRule="auto" w:line="300" w:before="0" w:after="0"/>
        <w:jc w:val="center"/>
        <w:rPr>
          <w:b/>
        </w:rPr>
      </w:pPr>
      <w:r>
        <w:rPr>
          <w:b/>
        </w:rPr>
        <w:t>1 Walter Moses St.</w:t>
      </w:r>
    </w:p>
    <w:p>
      <w:pPr>
        <w:pStyle w:val="TextBody"/>
        <w:spacing w:lineRule="auto" w:line="300" w:before="0" w:after="0"/>
        <w:jc w:val="center"/>
        <w:rPr>
          <w:b/>
        </w:rPr>
      </w:pPr>
      <w:r>
        <w:rPr>
          <w:b/>
        </w:rPr>
        <w:t>Tel Aviv 6789903, Israel</w:t>
      </w:r>
    </w:p>
    <w:p>
      <w:pPr>
        <w:pStyle w:val="TextBody"/>
        <w:spacing w:lineRule="auto" w:line="300" w:before="0" w:after="0"/>
        <w:jc w:val="center"/>
        <w:rPr>
          <w:b/>
        </w:rPr>
      </w:pPr>
      <w:r>
        <w:rPr>
          <w:b/>
        </w:rPr>
        <w:t>+972 (3) 763-0333</w:t>
      </w:r>
    </w:p>
    <w:p>
      <w:pPr>
        <w:pStyle w:val="TextBody"/>
        <w:spacing w:lineRule="auto" w:line="300" w:before="0" w:after="0"/>
        <w:jc w:val="center"/>
        <w:rPr>
          <w:b/>
        </w:rPr>
      </w:pPr>
      <w:r>
        <w:rPr>
          <w:b/>
        </w:rPr>
        <w:t>(Address of principal executive office)</w:t>
      </w:r>
    </w:p>
    <w:p>
      <w:pPr>
        <w:pStyle w:val="TextBody"/>
        <w:spacing w:lineRule="auto" w:line="300" w:before="0" w:after="0"/>
        <w:rPr/>
      </w:pPr>
      <w:r>
        <w:rPr/>
        <w:t> </w:t>
      </w:r>
    </w:p>
    <w:p>
      <w:pPr>
        <w:pStyle w:val="TextBody"/>
        <w:spacing w:lineRule="auto" w:line="300" w:before="0" w:after="0"/>
        <w:rPr/>
      </w:pPr>
      <w:r>
        <w:rPr/>
        <w:t>Indicate by check mark whether the registrant files or will file annual reports under cover of Form 20-F or Form 40-F.</w:t>
      </w:r>
    </w:p>
    <w:p>
      <w:pPr>
        <w:pStyle w:val="TextBody"/>
        <w:spacing w:lineRule="auto" w:line="300" w:before="0" w:after="0"/>
        <w:rPr/>
      </w:pPr>
      <w:r>
        <w:rPr/>
        <w:t> </w:t>
      </w:r>
    </w:p>
    <w:p>
      <w:pPr>
        <w:pStyle w:val="TextBody"/>
        <w:spacing w:lineRule="auto" w:line="300" w:before="0" w:after="0"/>
        <w:jc w:val="center"/>
        <w:rPr/>
      </w:pPr>
      <w:r>
        <w:rPr/>
        <w:t>Form 20-F ☒         Form 40-F ☐</w:t>
      </w:r>
    </w:p>
    <w:p>
      <w:pPr>
        <w:pStyle w:val="TextBody"/>
        <w:spacing w:lineRule="auto" w:line="300" w:before="0" w:after="0"/>
        <w:rPr/>
      </w:pPr>
      <w:r>
        <w:rPr/>
        <w:t> </w:t>
      </w:r>
    </w:p>
    <w:p>
      <w:pPr>
        <w:pStyle w:val="HorizontalLine"/>
        <w:pBdr>
          <w:bottom w:val="single" w:sz="20" w:space="0" w:color="808080"/>
        </w:pBdr>
        <w:spacing w:before="200" w:after="200"/>
        <w:rPr/>
      </w:pPr>
      <w:r>
        <w:rPr/>
      </w:r>
    </w:p>
    <w:p>
      <w:pPr>
        <w:pStyle w:val="TextBody"/>
        <w:spacing w:before="0" w:after="0"/>
        <w:rPr/>
      </w:pPr>
      <w:r>
        <w:rPr/>
      </w:r>
    </w:p>
    <w:p>
      <w:pPr>
        <w:pStyle w:val="TextBody"/>
        <w:spacing w:lineRule="auto" w:line="300" w:before="0" w:after="0"/>
        <w:jc w:val="center"/>
        <w:rPr>
          <w:b/>
        </w:rPr>
      </w:pPr>
      <w:r>
        <w:rPr>
          <w:b/>
        </w:rPr>
      </w:r>
    </w:p>
    <w:p>
      <w:pPr>
        <w:pStyle w:val="TextBody"/>
        <w:spacing w:lineRule="auto" w:line="300" w:before="0" w:after="0"/>
        <w:jc w:val="center"/>
        <w:rPr>
          <w:b/>
        </w:rPr>
      </w:pPr>
      <w:r>
        <w:rPr>
          <w:b/>
        </w:rPr>
        <w:t>EXPLANATORY NOTE</w:t>
      </w:r>
    </w:p>
    <w:p>
      <w:pPr>
        <w:pStyle w:val="TextBody"/>
        <w:spacing w:lineRule="auto" w:line="300" w:before="0" w:after="0"/>
        <w:rPr/>
      </w:pPr>
      <w:r>
        <w:rPr/>
      </w:r>
    </w:p>
    <w:p>
      <w:pPr>
        <w:pStyle w:val="TextBody"/>
        <w:spacing w:lineRule="auto" w:line="300" w:before="0" w:after="0"/>
        <w:jc w:val="both"/>
        <w:rPr/>
      </w:pPr>
      <w:r>
        <w:rPr/>
        <w:t>On April 18, 2023, WalkMe Ltd. (the “Company”) announced that it undertook certain actions (the “Restructuring Initiatives”) to reduce operating expenses by initiating a reduction in force that is expected to impact approximately 112 employees, representing approximately 10% of the Company’s workforce.  A copy of the Company’s announcement is furnished hereto as Exhibit 99.1.</w:t>
      </w:r>
    </w:p>
    <w:p>
      <w:pPr>
        <w:pStyle w:val="TextBody"/>
        <w:spacing w:lineRule="auto" w:line="300" w:before="0" w:after="0"/>
        <w:rPr/>
      </w:pPr>
      <w:r>
        <w:rPr/>
      </w:r>
    </w:p>
    <w:p>
      <w:pPr>
        <w:pStyle w:val="TextBody"/>
        <w:spacing w:lineRule="auto" w:line="300" w:before="0" w:after="0"/>
        <w:jc w:val="both"/>
        <w:rPr/>
      </w:pPr>
      <w:r>
        <w:rPr/>
        <w:t>This Report on Form 6-K (other than Exhibit 99.1) is incorporated by reference into the Company’s Registration Statements on Form S-8 (File Nos. 333-257354, 333-263823 and 333-270537).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spacing w:lineRule="auto" w:line="300" w:before="0" w:after="0"/>
        <w:rPr/>
      </w:pPr>
      <w:r>
        <w:rPr/>
      </w:r>
    </w:p>
    <w:p>
      <w:pPr>
        <w:pStyle w:val="TextBody"/>
        <w:spacing w:lineRule="auto" w:line="300" w:before="0" w:after="0"/>
        <w:jc w:val="both"/>
        <w:rPr>
          <w:b/>
        </w:rPr>
      </w:pPr>
      <w:r>
        <w:rPr>
          <w:b/>
        </w:rPr>
        <w:t>Forward-Looking Statements</w:t>
      </w:r>
    </w:p>
    <w:p>
      <w:pPr>
        <w:pStyle w:val="TextBody"/>
        <w:spacing w:lineRule="auto" w:line="300" w:before="0" w:after="0"/>
        <w:rPr/>
      </w:pPr>
      <w:r>
        <w:rPr/>
      </w:r>
    </w:p>
    <w:p>
      <w:pPr>
        <w:pStyle w:val="TextBody"/>
        <w:spacing w:lineRule="auto" w:line="300" w:before="0" w:after="0"/>
        <w:jc w:val="both"/>
        <w:rPr/>
      </w:pPr>
      <w:r>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our reduction in force and expected impact therefrom, and the anticipated benefits thereof,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future financial performance, including our expectations regarding our revenue, cost of revenue, gross margin, operating expenses, cash flow and deferred revenue; our estimates of, and future expectations regarding, our market opportunity; the impact of adverse macro-economic changes on our business, financial condition and results of operations; our ability to keep pace with technological and competitive developments and develop or otherwise introduce new products and solutions and enhancements to our existing offerings; and our relationships with, and dependence on, various third-party service providers; and other risk factors set forth in the section titled “Risk Factors” in our Annual Report on form 20-F filed with the Securities and Exchange Commission on March 14, 2023, and other documents filed with or furnished to the Securities and Exchange Commission. These statements reflect management’s current expectations regarding future events and operating performance and speak only as of the date of this Report on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spacing w:lineRule="auto" w:line="300" w:before="0" w:after="0"/>
        <w:jc w:val="both"/>
        <w:rPr/>
      </w:pPr>
      <w:r>
        <w:rPr/>
      </w:r>
    </w:p>
    <w:p>
      <w:pPr>
        <w:pStyle w:val="HorizontalLine"/>
        <w:pBdr>
          <w:bottom w:val="single" w:sz="20" w:space="0" w:color="808080"/>
        </w:pBdr>
        <w:spacing w:before="200" w:after="200"/>
        <w:rPr/>
      </w:pPr>
      <w:r>
        <w:rPr/>
      </w:r>
    </w:p>
    <w:p>
      <w:pPr>
        <w:pStyle w:val="TextBody"/>
        <w:spacing w:lineRule="auto" w:line="300" w:before="0" w:after="0"/>
        <w:rPr/>
      </w:pPr>
      <w:r>
        <w:rPr/>
      </w:r>
    </w:p>
    <w:p>
      <w:pPr>
        <w:pStyle w:val="TextBody"/>
        <w:spacing w:lineRule="auto" w:line="300" w:before="0" w:after="0"/>
        <w:jc w:val="center"/>
        <w:rPr>
          <w:b/>
        </w:rPr>
      </w:pPr>
      <w:r>
        <w:rPr>
          <w:b/>
        </w:rPr>
        <w:t>EXHIBIT INDEX</w:t>
      </w:r>
    </w:p>
    <w:p>
      <w:pPr>
        <w:pStyle w:val="TextBody"/>
        <w:spacing w:lineRule="auto" w:line="300" w:before="0" w:after="0"/>
        <w:rPr/>
      </w:pPr>
      <w:r>
        <w:rPr/>
      </w:r>
    </w:p>
    <w:p>
      <w:pPr>
        <w:pStyle w:val="TextBody"/>
        <w:spacing w:lineRule="auto" w:line="300" w:before="0" w:after="0"/>
        <w:rPr/>
      </w:pPr>
      <w:r>
        <w:rPr/>
        <w:t>The following exhibit is furnished as part of this Form 6-K:</w:t>
      </w:r>
    </w:p>
    <w:p>
      <w:pPr>
        <w:pStyle w:val="TextBody"/>
        <w:spacing w:lineRule="auto" w:line="300" w:before="0" w:after="0"/>
        <w:rPr/>
      </w:pPr>
      <w:r>
        <w:rPr/>
      </w:r>
    </w:p>
    <w:p>
      <w:pPr>
        <w:pStyle w:val="Normal"/>
        <w:spacing w:before="0" w:after="0"/>
        <w:rPr>
          <w:sz w:val="4"/>
          <w:szCs w:val="4"/>
        </w:rPr>
      </w:pPr>
      <w:r>
        <w:rPr>
          <w:sz w:val="4"/>
          <w:szCs w:val="4"/>
        </w:rPr>
      </w:r>
      <w:bookmarkStart w:id="4" w:name="z1b36b6490f57411faad6cbf125178adc"/>
      <w:bookmarkStart w:id="5" w:name="z1b36b6490f57411faad6cbf125178adc"/>
      <w:bookmarkEnd w:id="5"/>
    </w:p>
    <w:tbl>
      <w:tblPr>
        <w:tblW w:w="10205" w:type="dxa"/>
        <w:jc w:val="left"/>
        <w:tblInd w:w="0" w:type="dxa"/>
        <w:tblCellMar>
          <w:top w:w="0" w:type="dxa"/>
          <w:left w:w="0" w:type="dxa"/>
          <w:bottom w:w="0" w:type="dxa"/>
          <w:right w:w="0" w:type="dxa"/>
        </w:tblCellMar>
      </w:tblPr>
      <w:tblGrid>
        <w:gridCol w:w="785"/>
        <w:gridCol w:w="60"/>
        <w:gridCol w:w="9360"/>
      </w:tblGrid>
      <w:tr>
        <w:trPr/>
        <w:tc>
          <w:tcPr>
            <w:tcW w:w="785" w:type="dxa"/>
            <w:tcBorders/>
            <w:shd w:fill="auto" w:val="clear"/>
            <w:vAlign w:val="center"/>
          </w:tcPr>
          <w:p>
            <w:pPr>
              <w:pStyle w:val="TableContents"/>
              <w:spacing w:lineRule="auto" w:line="300" w:before="0" w:after="0"/>
              <w:rPr>
                <w:b/>
              </w:rPr>
            </w:pPr>
            <w:r>
              <w:rPr>
                <w:b/>
              </w:rPr>
              <w:t>Exhibit</w:t>
              <w:br/>
              <w:t>No.</w:t>
            </w:r>
          </w:p>
        </w:tc>
        <w:tc>
          <w:tcPr>
            <w:tcW w:w="6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lineRule="auto" w:line="300" w:before="0" w:after="0"/>
              <w:rPr>
                <w:b/>
              </w:rPr>
            </w:pPr>
            <w:r>
              <w:rPr>
                <w:b/>
              </w:rPr>
              <w:t>Description</w:t>
            </w:r>
          </w:p>
        </w:tc>
      </w:tr>
      <w:tr>
        <w:trPr/>
        <w:tc>
          <w:tcPr>
            <w:tcW w:w="785" w:type="dxa"/>
            <w:tcBorders/>
            <w:shd w:fill="auto" w:val="clear"/>
            <w:vAlign w:val="center"/>
          </w:tcPr>
          <w:p>
            <w:pPr>
              <w:pStyle w:val="TableContents"/>
              <w:spacing w:before="0" w:after="283"/>
              <w:rPr/>
            </w:pPr>
            <w:r>
              <w:rPr/>
              <w:t> </w:t>
            </w:r>
          </w:p>
        </w:tc>
        <w:tc>
          <w:tcPr>
            <w:tcW w:w="9420" w:type="dxa"/>
            <w:gridSpan w:val="2"/>
            <w:tcBorders/>
            <w:shd w:fill="auto" w:val="clear"/>
            <w:vAlign w:val="center"/>
          </w:tcPr>
          <w:p>
            <w:pPr>
              <w:pStyle w:val="TableContents"/>
              <w:spacing w:before="0" w:after="283"/>
              <w:rPr/>
            </w:pPr>
            <w:r>
              <w:rPr/>
              <w:t> </w:t>
            </w:r>
          </w:p>
        </w:tc>
      </w:tr>
      <w:tr>
        <w:trPr/>
        <w:tc>
          <w:tcPr>
            <w:tcW w:w="785" w:type="dxa"/>
            <w:tcBorders/>
            <w:shd w:fill="auto" w:val="clear"/>
            <w:vAlign w:val="center"/>
          </w:tcPr>
          <w:p>
            <w:pPr>
              <w:pStyle w:val="TableContents"/>
              <w:spacing w:lineRule="auto" w:line="300" w:before="0" w:after="0"/>
              <w:rPr/>
            </w:pPr>
            <w:hyperlink w:anchor="exhibit_99-1.htm">
              <w:r>
                <w:rPr>
                  <w:rStyle w:val="InternetLink"/>
                  <w:rFonts w:ascii="Times New Roman;Times;serif" w:hAnsi="Times New Roman;Times;serif"/>
                </w:rPr>
                <w:t>99.1</w:t>
              </w:r>
            </w:hyperlink>
          </w:p>
        </w:tc>
        <w:tc>
          <w:tcPr>
            <w:tcW w:w="60" w:type="dxa"/>
            <w:tcBorders/>
            <w:shd w:fill="auto" w:val="clear"/>
            <w:vAlign w:val="center"/>
          </w:tcPr>
          <w:p>
            <w:pPr>
              <w:pStyle w:val="TableContents"/>
              <w:spacing w:before="0" w:after="283"/>
              <w:rPr/>
            </w:pPr>
            <w:r>
              <w:rPr/>
            </w:r>
          </w:p>
        </w:tc>
        <w:tc>
          <w:tcPr>
            <w:tcW w:w="9360" w:type="dxa"/>
            <w:tcBorders/>
            <w:shd w:fill="auto" w:val="clear"/>
            <w:vAlign w:val="center"/>
          </w:tcPr>
          <w:p>
            <w:pPr>
              <w:pStyle w:val="TableContents"/>
              <w:spacing w:lineRule="auto" w:line="300" w:before="0" w:after="0"/>
              <w:rPr/>
            </w:pPr>
            <w:hyperlink w:anchor="exhibit_99-1.htm">
              <w:r>
                <w:rPr>
                  <w:rStyle w:val="InternetLink"/>
                </w:rPr>
                <w:t>Blog Post dated April 18, 2023 titled “A Message to our Customers, Partners and Extended Community”</w:t>
              </w:r>
            </w:hyperlink>
          </w:p>
        </w:tc>
      </w:tr>
    </w:tbl>
    <w:p>
      <w:pPr>
        <w:pStyle w:val="TextBody"/>
        <w:spacing w:lineRule="auto" w:line="300" w:before="0" w:after="0"/>
        <w:rPr/>
      </w:pPr>
      <w:r>
        <w:rPr/>
      </w:r>
    </w:p>
    <w:p>
      <w:pPr>
        <w:pStyle w:val="HorizontalLine"/>
        <w:pBdr>
          <w:bottom w:val="single" w:sz="20" w:space="0" w:color="808080"/>
        </w:pBdr>
        <w:spacing w:before="200" w:after="200"/>
        <w:rPr/>
      </w:pPr>
      <w:r>
        <w:rPr/>
      </w:r>
    </w:p>
    <w:p>
      <w:pPr>
        <w:pStyle w:val="TextBody"/>
        <w:spacing w:lineRule="auto" w:line="300" w:before="0" w:after="0"/>
        <w:rPr/>
      </w:pPr>
      <w:r>
        <w:rPr/>
      </w:r>
    </w:p>
    <w:p>
      <w:pPr>
        <w:pStyle w:val="TextBody"/>
        <w:spacing w:lineRule="auto" w:line="300" w:before="0" w:after="0"/>
        <w:jc w:val="center"/>
        <w:rPr>
          <w:b/>
        </w:rPr>
      </w:pPr>
      <w:r>
        <w:rPr>
          <w:b/>
        </w:rPr>
        <w:t>SIGNATURES</w:t>
      </w:r>
    </w:p>
    <w:p>
      <w:pPr>
        <w:pStyle w:val="TextBody"/>
        <w:spacing w:lineRule="auto" w:line="300" w:before="0" w:after="0"/>
        <w:rPr/>
      </w:pPr>
      <w:r>
        <w:rPr/>
        <w:t> </w:t>
      </w:r>
    </w:p>
    <w:p>
      <w:pPr>
        <w:pStyle w:val="TextBody"/>
        <w:spacing w:lineRule="auto" w:line="300" w:before="0" w:after="0"/>
        <w:rPr/>
      </w:pPr>
      <w:r>
        <w:rPr/>
        <w:t>Pursuant to the requirements of the Securities Exchange Act of 1934, as amended, the registrant has duly caused this report to be signed on its behalf by the undersigned hereunto duly authorized.</w:t>
      </w:r>
    </w:p>
    <w:p>
      <w:pPr>
        <w:pStyle w:val="TextBody"/>
        <w:spacing w:lineRule="auto" w:line="300" w:before="0" w:after="0"/>
        <w:rPr/>
      </w:pPr>
      <w:r>
        <w:rPr/>
      </w:r>
    </w:p>
    <w:p>
      <w:pPr>
        <w:pStyle w:val="Normal"/>
        <w:spacing w:before="0" w:after="0"/>
        <w:rPr>
          <w:sz w:val="4"/>
          <w:szCs w:val="4"/>
        </w:rPr>
      </w:pPr>
      <w:r>
        <w:rPr>
          <w:sz w:val="4"/>
          <w:szCs w:val="4"/>
        </w:rPr>
      </w:r>
      <w:bookmarkStart w:id="6" w:name="zae444a6a37354a88a72742f05793df70"/>
      <w:bookmarkStart w:id="7" w:name="zae444a6a37354a88a72742f05793df70"/>
      <w:bookmarkEnd w:id="7"/>
    </w:p>
    <w:tbl>
      <w:tblPr>
        <w:tblW w:w="4905" w:type="dxa"/>
        <w:jc w:val="left"/>
        <w:tblInd w:w="0" w:type="dxa"/>
        <w:tblCellMar>
          <w:top w:w="0" w:type="dxa"/>
          <w:left w:w="0" w:type="dxa"/>
          <w:bottom w:w="0" w:type="dxa"/>
          <w:right w:w="0" w:type="dxa"/>
        </w:tblCellMar>
      </w:tblPr>
      <w:tblGrid>
        <w:gridCol w:w="2000"/>
        <w:gridCol w:w="60"/>
        <w:gridCol w:w="60"/>
        <w:gridCol w:w="60"/>
        <w:gridCol w:w="365"/>
        <w:gridCol w:w="60"/>
        <w:gridCol w:w="2300"/>
      </w:tblGrid>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25" w:type="dxa"/>
            <w:gridSpan w:val="3"/>
            <w:tcBorders/>
            <w:shd w:fill="auto" w:val="clear"/>
            <w:vAlign w:val="center"/>
          </w:tcPr>
          <w:p>
            <w:pPr>
              <w:pStyle w:val="TableContents"/>
              <w:spacing w:lineRule="auto" w:line="300" w:before="0" w:after="0"/>
              <w:rPr>
                <w:b/>
              </w:rPr>
            </w:pPr>
            <w:r>
              <w:rPr>
                <w:b/>
              </w:rPr>
              <w:t>WalkMe Ltd.</w:t>
            </w:r>
          </w:p>
        </w:tc>
      </w:tr>
      <w:tr>
        <w:trPr/>
        <w:tc>
          <w:tcPr>
            <w:tcW w:w="200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283"/>
              <w:rPr/>
            </w:pPr>
            <w:r>
              <w:rPr/>
              <w:t> </w:t>
            </w:r>
          </w:p>
        </w:tc>
        <w:tc>
          <w:tcPr>
            <w:tcW w:w="2360" w:type="dxa"/>
            <w:gridSpan w:val="2"/>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lineRule="auto" w:line="300" w:before="0" w:after="0"/>
              <w:rPr/>
            </w:pPr>
            <w:r>
              <w:rPr/>
              <w:t>Date: April 18,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uto" w:line="300" w:before="0" w:after="0"/>
              <w:rPr/>
            </w:pPr>
            <w:r>
              <w:rPr/>
              <w:t>By:</w:t>
            </w:r>
          </w:p>
        </w:tc>
        <w:tc>
          <w:tcPr>
            <w:tcW w:w="60" w:type="dxa"/>
            <w:tcBorders/>
            <w:shd w:fill="auto" w:val="clear"/>
            <w:vAlign w:val="center"/>
          </w:tcPr>
          <w:p>
            <w:pPr>
              <w:pStyle w:val="TableContents"/>
              <w:spacing w:before="0" w:after="283"/>
              <w:rPr/>
            </w:pPr>
            <w:r>
              <w:rPr/>
              <w:t> </w:t>
            </w:r>
          </w:p>
        </w:tc>
        <w:tc>
          <w:tcPr>
            <w:tcW w:w="2300" w:type="dxa"/>
            <w:tcBorders>
              <w:bottom w:val="single" w:sz="12" w:space="0" w:color="000000"/>
            </w:tcBorders>
            <w:shd w:fill="auto" w:val="clear"/>
            <w:tcMar>
              <w:bottom w:w="28" w:type="dxa"/>
            </w:tcMar>
            <w:vAlign w:val="center"/>
          </w:tcPr>
          <w:p>
            <w:pPr>
              <w:pStyle w:val="TableContents"/>
              <w:spacing w:lineRule="auto" w:line="300" w:before="0" w:after="0"/>
              <w:rPr/>
            </w:pPr>
            <w:r>
              <w:rPr/>
              <w:t>/s/ Dan Adika</w:t>
            </w:r>
          </w:p>
        </w:tc>
      </w:tr>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lineRule="auto" w:line="300" w:before="0" w:after="0"/>
              <w:rPr/>
            </w:pPr>
            <w:r>
              <w:rPr/>
              <w:t>Dan Adika</w:t>
            </w:r>
          </w:p>
        </w:tc>
      </w:tr>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lineRule="auto" w:line="300" w:before="0" w:after="0"/>
              <w:rPr/>
            </w:pPr>
            <w:r>
              <w:rPr/>
              <w:t>Chief Executive Officer</w:t>
            </w:r>
          </w:p>
        </w:tc>
      </w:tr>
    </w:tbl>
    <w:p>
      <w:pPr>
        <w:pStyle w:val="TextBody"/>
        <w:spacing w:lineRule="auto" w:line="300" w:before="0" w:after="0"/>
        <w:rPr/>
      </w:pPr>
      <w:r>
        <w:rPr/>
      </w:r>
    </w:p>
    <w:p>
      <w:pPr>
        <w:pStyle w:val="HorizontalLine"/>
        <w:spacing w:lineRule="auto" w:line="300"/>
        <w:rPr/>
      </w:pPr>
      <w:r>
        <w:rPr/>
      </w:r>
      <w:r>
        <w:br w:type="page"/>
      </w:r>
    </w:p>
    <w:p>
      <w:pPr>
        <w:pStyle w:val="HorizontalLine"/>
        <w:spacing w:lineRule="auto" w:line="300"/>
        <w:rPr/>
      </w:pPr>
      <w:r>
        <w:rPr/>
      </w:r>
      <w:bookmarkStart w:id="8" w:name="exhibit_99-1.htm"/>
      <w:bookmarkStart w:id="9" w:name="ksexhibit_991"/>
      <w:bookmarkStart w:id="10" w:name="exhibit_99-1.htm"/>
      <w:bookmarkStart w:id="11" w:name="ksexhibit_991"/>
      <w:bookmarkEnd w:id="10"/>
      <w:bookmarkEnd w:id="11"/>
    </w:p>
    <w:p>
      <w:pPr>
        <w:pStyle w:val="TextBody"/>
        <w:spacing w:lineRule="auto" w:line="300" w:before="0" w:after="0"/>
        <w:jc w:val="right"/>
        <w:rPr>
          <w:b/>
          <w:u w:val="single"/>
        </w:rPr>
      </w:pPr>
      <w:r>
        <w:rPr>
          <w:b/>
          <w:u w:val="single"/>
        </w:rPr>
        <w:t>Exhibit 99.1</w:t>
      </w:r>
    </w:p>
    <w:p>
      <w:pPr>
        <w:pStyle w:val="TextBody"/>
        <w:spacing w:lineRule="auto" w:line="300" w:before="0" w:after="0"/>
        <w:rPr/>
      </w:pPr>
      <w:r>
        <w:rPr/>
      </w:r>
    </w:p>
    <w:p>
      <w:pPr>
        <w:pStyle w:val="TextBody"/>
        <w:spacing w:lineRule="auto" w:line="300" w:before="0" w:after="0"/>
        <w:rPr/>
      </w:pPr>
      <w:r>
        <w:rPr/>
        <w:t>A message to our customers, partners, and extended community:</w:t>
      </w:r>
    </w:p>
    <w:p>
      <w:pPr>
        <w:pStyle w:val="TextBody"/>
        <w:spacing w:lineRule="auto" w:line="300" w:before="0" w:after="0"/>
        <w:rPr/>
      </w:pPr>
      <w:r>
        <w:rPr/>
      </w:r>
    </w:p>
    <w:p>
      <w:pPr>
        <w:pStyle w:val="TextBody"/>
        <w:spacing w:lineRule="auto" w:line="300" w:before="0" w:after="0"/>
        <w:rPr/>
      </w:pPr>
      <w:r>
        <w:rPr/>
        <w:t>We are more determined than ever as the DAP market leader to build a strong, sustainable business, even as we face strong macroeconomic headwinds. The path to profitability and long-term growth is paved with difficult decisions that we need to make in order to ensure our collective success.</w:t>
      </w:r>
    </w:p>
    <w:p>
      <w:pPr>
        <w:pStyle w:val="TextBody"/>
        <w:spacing w:lineRule="auto" w:line="300" w:before="0" w:after="0"/>
        <w:rPr/>
      </w:pPr>
      <w:r>
        <w:rPr/>
      </w:r>
    </w:p>
    <w:p>
      <w:pPr>
        <w:pStyle w:val="TextBody"/>
        <w:spacing w:lineRule="auto" w:line="300" w:before="0" w:after="0"/>
        <w:rPr/>
      </w:pPr>
      <w:r>
        <w:rPr/>
        <w:t>We took actions this week to create a leaner, more efficient organization that better reflects our near-term growth expectations, while setting us on a path to profitability and long-term growth. We have made the painful decision to reduce our workforce by 112 employees, representing approximately 10% of our organization, in order to meet our current business needs, better equip us for future scale, and deliver the utmost value to our customers.</w:t>
        <w:br/>
        <w:br/>
        <w:t>We will continue to innovate and deliver the value expected as the DAP leader.</w:t>
      </w:r>
    </w:p>
    <w:p>
      <w:pPr>
        <w:pStyle w:val="TextBody"/>
        <w:spacing w:lineRule="auto" w:line="300" w:before="0" w:after="0"/>
        <w:rPr/>
      </w:pPr>
      <w:r>
        <w:rPr/>
      </w:r>
    </w:p>
    <w:p>
      <w:pPr>
        <w:pStyle w:val="TextBody"/>
        <w:spacing w:lineRule="auto" w:line="300" w:before="0" w:after="0"/>
        <w:rPr/>
      </w:pPr>
      <w:r>
        <w:rPr/>
        <w:t>This means that some of our team members who have helped build this company and bring it to where it is today will be leaving us. This is a difficult week in WalkMe’s history, and not a decision I have taken lightly.</w:t>
      </w:r>
    </w:p>
    <w:p>
      <w:pPr>
        <w:pStyle w:val="TextBody"/>
        <w:spacing w:lineRule="auto" w:line="300" w:before="0" w:after="0"/>
        <w:rPr/>
      </w:pPr>
      <w:r>
        <w:rPr/>
      </w:r>
    </w:p>
    <w:p>
      <w:pPr>
        <w:pStyle w:val="TextBody"/>
        <w:spacing w:lineRule="auto" w:line="300" w:before="0" w:after="0"/>
        <w:rPr/>
      </w:pPr>
      <w:r>
        <w:rPr/>
        <w:t>I know how incredibly difficult it is for those impacted and also how it affects everyone who remains who have to part with their friends and colleagues.</w:t>
      </w:r>
    </w:p>
    <w:p>
      <w:pPr>
        <w:pStyle w:val="TextBody"/>
        <w:spacing w:lineRule="auto" w:line="300" w:before="0" w:after="0"/>
        <w:rPr/>
      </w:pPr>
      <w:r>
        <w:rPr/>
      </w:r>
    </w:p>
    <w:p>
      <w:pPr>
        <w:pStyle w:val="TextBody"/>
        <w:spacing w:lineRule="auto" w:line="300" w:before="0" w:after="0"/>
        <w:rPr/>
      </w:pPr>
      <w:r>
        <w:rPr/>
        <w:t>We cannot ignore the macroeconomic headwinds facing us and our customers right now. We built an organization based on market assumptions that are now very different from the economic reality we and many others find ourselves in. I take full responsibility for decisions that have now led us to the thoughtful yet difficult actions required to drive success.</w:t>
      </w:r>
    </w:p>
    <w:p>
      <w:pPr>
        <w:pStyle w:val="TextBody"/>
        <w:spacing w:lineRule="auto" w:line="300" w:before="0" w:after="0"/>
        <w:rPr/>
      </w:pPr>
      <w:r>
        <w:rPr/>
      </w:r>
    </w:p>
    <w:p>
      <w:pPr>
        <w:pStyle w:val="TextBody"/>
        <w:spacing w:lineRule="auto" w:line="300" w:before="0" w:after="0"/>
        <w:rPr/>
      </w:pPr>
      <w:r>
        <w:rPr/>
        <w:t>I want to assure you, our long-term strategy is unchanged. DAP is an inevitability. We believe it will become the standard for how enterprises overcome the massive friction created by tech overload.</w:t>
      </w:r>
    </w:p>
    <w:p>
      <w:pPr>
        <w:pStyle w:val="TextBody"/>
        <w:spacing w:lineRule="auto" w:line="300" w:before="0" w:after="0"/>
        <w:rPr/>
      </w:pPr>
      <w:r>
        <w:rPr/>
      </w:r>
    </w:p>
    <w:p>
      <w:pPr>
        <w:pStyle w:val="TextBody"/>
        <w:spacing w:lineRule="auto" w:line="300" w:before="0" w:after="0"/>
        <w:rPr/>
      </w:pPr>
      <w:r>
        <w:rPr/>
        <w:t>The DAP category is at a tipping point, and the opportunity ahead is massive. We are weeks away from one of our most exciting product launches of the year, giving customers the visibility they need to make more informed choices when optimizing software spend. And WalkMe is well positioned to be an essential player as generative AI transforms the way we interact with software.</w:t>
      </w:r>
    </w:p>
    <w:p>
      <w:pPr>
        <w:pStyle w:val="TextBody"/>
        <w:spacing w:lineRule="auto" w:line="300" w:before="0" w:after="0"/>
        <w:rPr/>
      </w:pPr>
      <w:r>
        <w:rPr/>
      </w:r>
    </w:p>
    <w:p>
      <w:pPr>
        <w:pStyle w:val="TextBody"/>
        <w:spacing w:lineRule="auto" w:line="300" w:before="0" w:after="0"/>
        <w:rPr/>
      </w:pPr>
      <w:r>
        <w:rPr/>
        <w:t>To our customers, partners, and extended community, WalkMe remains well-resourced to deliver on our commitments to you. Our team is wholly focused on building great products, meeting the unique scalability, security, and support demands of the enterprise, connecting you with the largest network of DAP professionals, and going to market together with partners to solve our joint customers’ biggest challenges. You are in good hands.</w:t>
      </w:r>
    </w:p>
    <w:p>
      <w:pPr>
        <w:pStyle w:val="TextBody"/>
        <w:spacing w:lineRule="auto" w:line="300" w:before="0" w:after="0"/>
        <w:rPr/>
      </w:pPr>
      <w:r>
        <w:rPr/>
      </w:r>
    </w:p>
    <w:p>
      <w:pPr>
        <w:pStyle w:val="TextBody"/>
        <w:spacing w:lineRule="auto" w:line="300" w:before="0" w:after="0"/>
        <w:rPr/>
      </w:pPr>
      <w:r>
        <w:rPr/>
        <w:t>These changes will help ensure WalkMe’s continued leadership in the DAP category, make us a leaner, more efficient business on the path to profitability, and better enable us to scale as the macroeconomic environment improves, customer needs evolve, and the category accelerates.</w:t>
      </w:r>
    </w:p>
    <w:p>
      <w:pPr>
        <w:pStyle w:val="TextBody"/>
        <w:spacing w:lineRule="auto" w:line="300" w:before="0" w:after="0"/>
        <w:rPr/>
      </w:pPr>
      <w:r>
        <w:rPr/>
      </w:r>
    </w:p>
    <w:p>
      <w:pPr>
        <w:pStyle w:val="TextBody"/>
        <w:spacing w:lineRule="auto" w:line="300" w:before="0" w:after="0"/>
        <w:rPr/>
      </w:pPr>
      <w:r>
        <w:rPr/>
        <w:t>We are excited to continue on that journey with you.</w:t>
      </w:r>
    </w:p>
    <w:p>
      <w:pPr>
        <w:pStyle w:val="TextBody"/>
        <w:spacing w:lineRule="auto" w:line="300" w:before="0" w:after="0"/>
        <w:rPr/>
      </w:pPr>
      <w:r>
        <w:rPr/>
      </w:r>
    </w:p>
    <w:p>
      <w:pPr>
        <w:pStyle w:val="TextBody"/>
        <w:spacing w:lineRule="auto" w:line="300" w:before="0" w:after="0"/>
        <w:rPr/>
      </w:pPr>
      <w:r>
        <w:rPr/>
        <w:t>Dan</w:t>
      </w:r>
    </w:p>
    <w:p>
      <w:pPr>
        <w:pStyle w:val="TextBody"/>
        <w:spacing w:lineRule="auto" w:line="300" w:before="0" w:after="0"/>
        <w:rPr/>
      </w:pPr>
      <w:r>
        <w:rPr/>
      </w:r>
    </w:p>
    <w:p>
      <w:pPr>
        <w:pStyle w:val="HorizontalLine"/>
        <w:pBdr>
          <w:bottom w:val="single" w:sz="20" w:space="0" w:color="808080"/>
        </w:pBdr>
        <w:spacing w:before="200" w:after="200"/>
        <w:rPr/>
      </w:pPr>
      <w:r>
        <w:rPr/>
      </w:r>
    </w:p>
    <w:p>
      <w:pPr>
        <w:pStyle w:val="TextBody"/>
        <w:spacing w:lineRule="auto" w:line="300" w:before="0" w:after="0"/>
        <w:rPr/>
      </w:pPr>
      <w:r>
        <w:rPr/>
      </w:r>
    </w:p>
    <w:p>
      <w:pPr>
        <w:pStyle w:val="TextBody"/>
        <w:spacing w:lineRule="auto" w:line="300" w:before="0" w:after="0"/>
        <w:rPr>
          <w:b/>
          <w:u w:val="single"/>
        </w:rPr>
      </w:pPr>
      <w:r>
        <w:rPr>
          <w:b/>
          <w:u w:val="single"/>
        </w:rPr>
        <w:t>Forward-Looking Statements</w:t>
      </w:r>
    </w:p>
    <w:p>
      <w:pPr>
        <w:pStyle w:val="TextBody"/>
        <w:spacing w:lineRule="auto" w:line="300" w:before="0" w:after="0"/>
        <w:rPr/>
      </w:pPr>
      <w:r>
        <w:rPr/>
      </w:r>
    </w:p>
    <w:p>
      <w:pPr>
        <w:pStyle w:val="TextBody"/>
        <w:spacing w:lineRule="auto" w:line="300" w:before="0" w:after="0"/>
        <w:rPr/>
      </w:pPr>
      <w:r>
        <w:rPr/>
        <w:t>This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release other than statements of historical fact, including, without limitation, statements regarding our reduction in force initiatives and expected impact therefrom, the Company’s expected future growth, financial performance and business strategy, and future product launches,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future financial performance, including our expectations regarding our revenue, cost of revenue, gross margin, operating expenses, cash flow and deferred revenue; our estimates of, and future expectations regarding, our market opportunity; the impact of adverse macroeconomic changes on our business, financial condition and results of operations; our ability to keep pace with technological and competitive developments and develop or otherwise introduce new products and solutions and enhancements to our existing offerings; and our relationships with, and dependence on, various third-party service providers; and other risk factors set forth in the section titled “Risk Factors” in our Annual Report on form 20-F filed with the Securities and Exchange Commission on March 14, 2023, and other documents filed with or furnished to the Securities and Exchange Commission. These statements reflect management’s current expectations regarding future events and operating performance and speak only as of the date of this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spacing w:lineRule="auto" w:line="300" w:before="0" w:after="0"/>
        <w:rPr/>
      </w:pPr>
      <w:r>
        <w:rPr/>
      </w:r>
    </w:p>
    <w:p>
      <w:pPr>
        <w:pStyle w:val="HorizontalLine"/>
        <w:spacing w:lineRule="auto" w:line="300"/>
        <w:rPr/>
      </w:pPr>
      <w:r>
        <w:rPr/>
      </w:r>
    </w:p>
    <w:p>
      <w:pPr>
        <w:pStyle w:val="TextBody"/>
        <w:spacing w:lineRule="auto" w:line="300" w:before="0" w:after="0"/>
        <w:rPr/>
      </w:pPr>
      <w:r>
        <w:rPr/>
      </w:r>
    </w:p>
    <w:p>
      <w:pPr>
        <w:pStyle w:val="TextBody"/>
        <w:spacing w:lineRule="auto" w:line="300" w:before="0" w:after="0"/>
        <w:rPr/>
      </w:pPr>
      <w:r>
        <w:rPr/>
      </w:r>
    </w:p>
    <w:p>
      <w:pPr>
        <w:pStyle w:val="TextBody"/>
        <w:spacing w:lineRule="auto" w:line="300" w:before="0" w:after="0"/>
        <w:rPr/>
      </w:pPr>
      <w:r>
        <w:rPr/>
      </w:r>
    </w:p>
    <w:p>
      <w:pPr>
        <w:pStyle w:val="TextBody"/>
        <w:spacing w:lineRule="auto" w:line="300" w:before="0" w:after="0"/>
        <w:ind w:left="720" w:right="0" w:hanging="0"/>
        <w:rPr/>
      </w:pPr>
      <w:r>
        <w:rPr/>
      </w:r>
    </w:p>
    <w:p>
      <w:pPr>
        <w:pStyle w:val="TextBody"/>
        <w:spacing w:lineRule="auto" w:line="300"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1686</Words>
  <CharactersWithSpaces>11330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