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431780.htm"/>
      <w:bookmarkStart w:id="1" w:name="kszk2431780"/>
      <w:bookmarkStart w:id="2" w:name="zk2431780.htm"/>
      <w:bookmarkStart w:id="3" w:name="kszk2431780"/>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August 2024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001-40490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WalkMe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 Walter Moses St.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Tel Aviv 6789903, Israel</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+972 (3) 763-0333</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(Address of principal executive office)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rFonts w:ascii="Segoe UI Symbol;sans-serif" w:hAnsi="Segoe UI Symbol;sans-serif"/>
        </w:rPr>
      </w:pPr>
      <w:r>
        <w:rPr>
          <w:rFonts w:ascii="Segoe UI Symbol;sans-serif" w:hAnsi="Segoe UI Symbol;sans-serif"/>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August 7, 2024 at 4:00 p.m. Israel Time (9:00 a.m. Eastern Time), WalkMe Ltd., a company organized under the laws of the State of Israel (the “</w:t>
      </w:r>
      <w:r>
        <w:rPr>
          <w:rFonts w:ascii="Times New Roman;Times;serif" w:hAnsi="Times New Roman;Times;serif"/>
          <w:color w:val="000000"/>
          <w:sz w:val="20"/>
          <w:u w:val="single"/>
        </w:rPr>
        <w:t>Company</w:t>
      </w:r>
      <w:r>
        <w:rPr>
          <w:rFonts w:ascii="Times New Roman;Times;serif" w:hAnsi="Times New Roman;Times;serif"/>
          <w:color w:val="000000"/>
          <w:sz w:val="20"/>
        </w:rPr>
        <w:t>”), held its special and annual general meeting of shareholders (the “</w:t>
      </w:r>
      <w:r>
        <w:rPr>
          <w:rFonts w:ascii="Times New Roman;Times;serif" w:hAnsi="Times New Roman;Times;serif"/>
          <w:color w:val="000000"/>
          <w:sz w:val="20"/>
          <w:u w:val="single"/>
        </w:rPr>
        <w:t>Meeting</w:t>
      </w:r>
      <w:r>
        <w:rPr>
          <w:rFonts w:ascii="Times New Roman;Times;serif" w:hAnsi="Times New Roman;Times;serif"/>
          <w:color w:val="000000"/>
          <w:sz w:val="20"/>
        </w:rPr>
        <w:t>”) at its principal executive office to consider certain proposals related to the Agreement and Plan of Merger, dated as of June 4, 2024, by and among the Company, SAP SE, a European stock corporation (</w:t>
      </w:r>
      <w:r>
        <w:rPr>
          <w:rFonts w:ascii="Times New Roman;Times;serif" w:hAnsi="Times New Roman;Times;serif"/>
          <w:i/>
          <w:color w:val="000000"/>
          <w:sz w:val="20"/>
        </w:rPr>
        <w:t>Societas Europaea</w:t>
      </w:r>
      <w:r>
        <w:rPr>
          <w:rFonts w:ascii="Times New Roman;Times;serif" w:hAnsi="Times New Roman;Times;serif"/>
          <w:color w:val="000000"/>
          <w:sz w:val="20"/>
        </w:rPr>
        <w:t>) under the laws of Germany and the European Union (“</w:t>
      </w:r>
      <w:r>
        <w:rPr>
          <w:rFonts w:ascii="Times New Roman;Times;serif" w:hAnsi="Times New Roman;Times;serif"/>
          <w:color w:val="000000"/>
          <w:sz w:val="20"/>
          <w:u w:val="single"/>
        </w:rPr>
        <w:t>Parent</w:t>
      </w:r>
      <w:r>
        <w:rPr>
          <w:rFonts w:ascii="Times New Roman;Times;serif" w:hAnsi="Times New Roman;Times;serif"/>
          <w:color w:val="000000"/>
          <w:sz w:val="20"/>
        </w:rPr>
        <w:t>”), and Hummingbird Acquisition Corp Ltd., a company organized under the laws of the State of Israel and a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(as amended from time to time,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upon the terms and subject to the conditions of the Merger Agreement, Merger Sub will merge with and into the Company, with the Company surviving the merger and becoming a wholly owned subsidiary of Parent (the “</w:t>
      </w:r>
      <w:r>
        <w:rPr>
          <w:rFonts w:ascii="Times New Roman;Times;serif" w:hAnsi="Times New Roman;Times;serif"/>
          <w:color w:val="000000"/>
          <w:sz w:val="20"/>
          <w:u w:val="single"/>
        </w:rPr>
        <w:t>Merger</w:t>
      </w:r>
      <w:r>
        <w:rPr>
          <w:rFonts w:ascii="Times New Roman;Times;serif" w:hAnsi="Times New Roman;Times;serif"/>
          <w:color w:val="000000"/>
          <w:sz w:val="20"/>
        </w:rPr>
        <w:t>”). At the Meeting, shareholders of the Company approved, by the requisite affirmative vote of at least a majority of the Company Shares (as defined in the Merger Agreement) represented at the Meeting, in person, by proxy or by electronic voting, and actually voting on the proposal (excluding abstentions and broker non-votes), the acquisition of the Company by Parent, including, among other things, the approval of: (a) the Merger Agreement; (b) the Merger itself; (c) the consideration to be received by the shareholders of the Company in the Merger, consisting of  $14.00 per share in cash, without interest, subject to adjustment under the Merger Agreement and less any applicable withholding taxes, for each ordinary share, no par value, of the Company owned immediately prior to the Effective Time (as defined in the Merger Agreement) of the Merger; (d) the treatment of equity awards of the Company in accordance with the terms of the Merger Agreement; (e) the purchase of a prepaid “tail” directors’ and officers’ liability insurance policy for a period of seven years commencing upon the closing of the Merger, as permitted under the Merger Agreement; and (f) all other transactions and arrangements contemplated by the Merger Agreement (collectively, the “</w:t>
      </w:r>
      <w:r>
        <w:rPr>
          <w:rFonts w:ascii="Times New Roman;Times;serif" w:hAnsi="Times New Roman;Times;serif"/>
          <w:color w:val="000000"/>
          <w:sz w:val="20"/>
          <w:u w:val="single"/>
        </w:rPr>
        <w:t>Merger Proposal</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approval of the Merger Proposal at the Meeting satisfies a condition necessary for the consummation of the Merger. Consummation of the Merger remains subject to other pending conditions described in the Merger Agreement furnished to the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on a Report of Foreign Private Issuer on Form 6-K on June 5, 2024.</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at the Meeting, the Company’s shareholders voted upon and approved, by the respective requisite affirmative vote of at least a majority of the Company Shares (as defined in the Merger Agreement) represented at the Meeting in person, by proxy or by electronic voting, and actually voting on the proposal (excluding abstentions and broker non-votes) in accordance with the Israeli Companies Law, 5759-1999, and the Company’s articles of association, all other proposals that were described in the Company’s proxy statement related to the Meeting, which was attached as Exhibit 99.1 to the Company’s Report of Foreign Private Issuer on Form 6-K furnished to the SEC on July 2, 2024.</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INCORPORATION BY REFERENCE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Report of Foreign Private Issuer on Form 6-K (including exhibits hereto) is hereby incorporated by reference into the Company’s previously filed Form S-8 Registration Statements (File Nos. 333-257354, 333-263823, 333-270537 and 333-278034).</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b/>
        </w:rPr>
      </w:pPr>
      <w:r>
        <w:rPr>
          <w:b/>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SPECIAL NOTE REGARDING 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This Report of Foreign Private Issuer on Form 6-K contains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the Company by Parent, the expected timing for completing the proposed transaction and the terms thereof, future financial and operating results, benefits and synergies of the transaction, future opportunities for the combined businesses and any other statements regarding events or developments that may occur in the future, may be “forward-looking statements” for purposes of federal and state securities laws. These forward-looking statements, involve a number of risks and uncertainties that could significantly affect the financial or operating results of Parent, the Company or the combined company. Words such as “expects,” “anticipates,” “intends,” “plans,” “believes,” “seeks,” “estimates,” “predicts,”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 Neither Parent nor the Company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proposed transaction; the satisfaction of the conditions to the consummation of the proposed transaction, including the receipt of certain regulatory approvals, and the timing of the closing of the proposed transaction; the occurrence of any event, change or other circumstance that could give rise to the termination of the proposed transaction; the potential that the Company’s shareholders may not approve the proposed transaction; the ability to successfully integrate operations and employees; the ability to realize anticipated benefits and synergies of the proposed transaction as rapidly or to the extent anticipated by financial analysts or investors; the potential impact of the announcement of the proposed transaction on operating results, business generally and business relationships, including with employees, customers, partners, suppliers and competitors; unanticipated restructuring costs may be incurred or undisclosed liabilities assumed; actual or threatened legal proceedings that have been or may be instituted against Parent or the Company in connection with the proposed transaction or otherwise; the ability and costs related to retaining key personnel and clients; risks related to diverting management’s attention from ongoing business operations; delays, challenges, costs, fees, expenses and charges related to the proposed transaction; actions by competitors; general adverse economic, political, social and security conditions in the regions and industries in which Parent and the Company operate, including relating to Israel’s ongoing war with Hamas and other terrorist organizations in the Middle East and general hostilities; exposure to inflation, currency rate and interest rate fluctuations and risks associated with doing business locally and internationally, as well as fluctuations in the market price of Parent and the Company’s respective traded securities; natural catastrophes, any pandemic, epidemic or outbreak of infectious disease, warfare, protests and riots, cybersecurity attack or ransomware request and terrorist attacks; and those additional risks and factors discussed in reports filed or furnished with the SEC by Parent and the Company, including Parent’s and the Company’s most recent respective Annual Reports on Form 20-F and in any subsequent reports on Form 6-K, each of which is on file with or furnished to the SEC and available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Reports filed or furnished with the SEC by Parent are also available on Parent’s website at </w:t>
      </w:r>
      <w:r>
        <w:rPr>
          <w:rFonts w:ascii="Times New Roman;Times;serif" w:hAnsi="Times New Roman;Times;serif"/>
          <w:i/>
          <w:color w:val="000000"/>
          <w:sz w:val="20"/>
        </w:rPr>
        <w:t>www.sap.com/investors/en.html</w:t>
      </w:r>
      <w:r>
        <w:rPr>
          <w:rFonts w:ascii="Times New Roman;Times;serif" w:hAnsi="Times New Roman;Times;serif"/>
          <w:color w:val="000000"/>
          <w:sz w:val="20"/>
        </w:rPr>
        <w:t xml:space="preserve"> and by the Company on the Company’s website at </w:t>
      </w:r>
      <w:r>
        <w:rPr>
          <w:rFonts w:ascii="Times New Roman;Times;serif" w:hAnsi="Times New Roman;Times;serif"/>
          <w:i/>
          <w:color w:val="000000"/>
          <w:sz w:val="20"/>
        </w:rPr>
        <w:t>ir.walkme.com</w:t>
      </w:r>
      <w:r>
        <w:rPr>
          <w:rFonts w:ascii="Times New Roman;Times;serif" w:hAnsi="Times New Roman;Times;serif"/>
          <w:color w:val="000000"/>
          <w:sz w:val="20"/>
        </w:rPr>
        <w:t>. Moreover, other risks and uncertainties of which Parent or the Company are not currently aware or may not currently consider material may also affect each party’s forward-looking statements and may cause actual results and the timing of events to differ materially from those anticipated. The forward-looking statements made in this Form 6-K are made only as of the date hereof or as of the dates indicated in the forward-looking statements, even if they are subsequently made available by Parent or the Company on their respective websites or otherwise. Neither Parent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NO OFFER OR SOLICITATION</w:t>
      </w:r>
    </w:p>
    <w:p>
      <w:pPr>
        <w:pStyle w:val="TextBody"/>
        <w:bidi w:val="0"/>
        <w:spacing w:lineRule="auto" w:line="300" w:before="0" w:after="0"/>
        <w:jc w:val="both"/>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communication is not intended to and shall not constitute an offer to sell, the solicitation of an offer to sell or an offer to buy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lineRule="auto" w:line="300" w:before="0" w:after="0"/>
        <w:jc w:val="both"/>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db9f1b91f80a4e808cb8372ca6d60fd5"/>
      <w:bookmarkStart w:id="5" w:name="zdb9f1b91f80a4e808cb8372ca6d60fd5"/>
      <w:bookmarkEnd w:id="5"/>
    </w:p>
    <w:tbl>
      <w:tblPr>
        <w:tblW w:w="4035" w:type="dxa"/>
        <w:jc w:val="left"/>
        <w:tblInd w:w="0" w:type="dxa"/>
        <w:tblLayout w:type="fixed"/>
        <w:tblCellMar>
          <w:top w:w="0" w:type="dxa"/>
          <w:left w:w="0" w:type="dxa"/>
          <w:bottom w:w="0" w:type="dxa"/>
          <w:right w:w="0" w:type="dxa"/>
        </w:tblCellMar>
      </w:tblPr>
      <w:tblGrid>
        <w:gridCol w:w="2060"/>
        <w:gridCol w:w="365"/>
        <w:gridCol w:w="1610"/>
      </w:tblGrid>
      <w:tr>
        <w:trPr/>
        <w:tc>
          <w:tcPr>
            <w:tcW w:w="2060" w:type="dxa"/>
            <w:tcBorders/>
            <w:vAlign w:val="center"/>
          </w:tcPr>
          <w:p>
            <w:pPr>
              <w:pStyle w:val="TableContents"/>
              <w:bidi w:val="0"/>
              <w:spacing w:lineRule="auto" w:line="300" w:before="0" w:after="0"/>
              <w:jc w:val="left"/>
              <w:rPr/>
            </w:pPr>
            <w:r>
              <w:rPr/>
              <w:t> </w:t>
            </w:r>
          </w:p>
        </w:tc>
        <w:tc>
          <w:tcPr>
            <w:tcW w:w="1975" w:type="dxa"/>
            <w:gridSpan w:val="2"/>
            <w:tcBorders/>
            <w:vAlign w:val="center"/>
          </w:tcPr>
          <w:p>
            <w:pPr>
              <w:pStyle w:val="TableContents"/>
              <w:bidi w:val="0"/>
              <w:spacing w:lineRule="auto" w:line="300" w:before="0" w:after="0"/>
              <w:jc w:val="left"/>
              <w:rPr>
                <w:b/>
              </w:rPr>
            </w:pPr>
            <w:r>
              <w:rPr>
                <w:b/>
              </w:rPr>
              <w:t>WalkMe Ltd.</w:t>
            </w:r>
          </w:p>
        </w:tc>
      </w:tr>
      <w:tr>
        <w:trPr/>
        <w:tc>
          <w:tcPr>
            <w:tcW w:w="2060" w:type="dxa"/>
            <w:tcBorders/>
            <w:vAlign w:val="center"/>
          </w:tcPr>
          <w:p>
            <w:pPr>
              <w:pStyle w:val="TableContents"/>
              <w:bidi w:val="0"/>
              <w:spacing w:lineRule="auto" w:line="300" w:before="0" w:after="0"/>
              <w:jc w:val="left"/>
              <w:rPr/>
            </w:pPr>
            <w:r>
              <w:rPr/>
              <w:t> </w:t>
            </w:r>
          </w:p>
        </w:tc>
        <w:tc>
          <w:tcPr>
            <w:tcW w:w="365" w:type="dxa"/>
            <w:tcBorders/>
            <w:vAlign w:val="center"/>
          </w:tcPr>
          <w:p>
            <w:pPr>
              <w:pStyle w:val="TableContents"/>
              <w:bidi w:val="0"/>
              <w:spacing w:lineRule="auto" w:line="300" w:before="0" w:after="0"/>
              <w:jc w:val="left"/>
              <w:rPr/>
            </w:pPr>
            <w:r>
              <w:rPr/>
              <w:t> </w:t>
            </w:r>
          </w:p>
        </w:tc>
        <w:tc>
          <w:tcPr>
            <w:tcW w:w="1610" w:type="dxa"/>
            <w:tcBorders/>
            <w:vAlign w:val="center"/>
          </w:tcPr>
          <w:p>
            <w:pPr>
              <w:pStyle w:val="TableContents"/>
              <w:bidi w:val="0"/>
              <w:spacing w:lineRule="auto" w:line="300" w:before="0" w:after="0"/>
              <w:jc w:val="left"/>
              <w:rPr/>
            </w:pPr>
            <w:r>
              <w:rPr/>
              <w:t> </w:t>
            </w:r>
          </w:p>
        </w:tc>
      </w:tr>
      <w:tr>
        <w:trPr/>
        <w:tc>
          <w:tcPr>
            <w:tcW w:w="2060" w:type="dxa"/>
            <w:tcBorders/>
            <w:vAlign w:val="center"/>
          </w:tcPr>
          <w:p>
            <w:pPr>
              <w:pStyle w:val="TableContents"/>
              <w:bidi w:val="0"/>
              <w:spacing w:lineRule="auto" w:line="300" w:before="0" w:after="0"/>
              <w:jc w:val="left"/>
              <w:rPr/>
            </w:pPr>
            <w:r>
              <w:rPr/>
              <w:t>Date: August 7, 2024</w:t>
            </w:r>
          </w:p>
        </w:tc>
        <w:tc>
          <w:tcPr>
            <w:tcW w:w="365" w:type="dxa"/>
            <w:tcBorders/>
            <w:vAlign w:val="center"/>
          </w:tcPr>
          <w:p>
            <w:pPr>
              <w:pStyle w:val="TableContents"/>
              <w:bidi w:val="0"/>
              <w:spacing w:lineRule="auto" w:line="300" w:before="0" w:after="0"/>
              <w:jc w:val="left"/>
              <w:rPr/>
            </w:pPr>
            <w:r>
              <w:rPr/>
              <w:t>By:</w:t>
            </w:r>
          </w:p>
        </w:tc>
        <w:tc>
          <w:tcPr>
            <w:tcW w:w="1610" w:type="dxa"/>
            <w:tcBorders>
              <w:bottom w:val="single" w:sz="12" w:space="0" w:color="000000"/>
            </w:tcBorders>
            <w:tcMar>
              <w:bottom w:w="28" w:type="dxa"/>
            </w:tcMar>
            <w:vAlign w:val="center"/>
          </w:tcPr>
          <w:p>
            <w:pPr>
              <w:pStyle w:val="TableContents"/>
              <w:bidi w:val="0"/>
              <w:spacing w:lineRule="auto" w:line="300" w:before="0" w:after="0"/>
              <w:jc w:val="left"/>
              <w:rPr/>
            </w:pPr>
            <w:r>
              <w:rPr/>
              <w:t>/s/ Paul Shinn</w:t>
            </w:r>
          </w:p>
        </w:tc>
      </w:tr>
      <w:tr>
        <w:trPr/>
        <w:tc>
          <w:tcPr>
            <w:tcW w:w="2060" w:type="dxa"/>
            <w:tcBorders/>
            <w:vAlign w:val="center"/>
          </w:tcPr>
          <w:p>
            <w:pPr>
              <w:pStyle w:val="TableContents"/>
              <w:bidi w:val="0"/>
              <w:spacing w:lineRule="auto" w:line="300" w:before="0" w:after="0"/>
              <w:jc w:val="left"/>
              <w:rPr/>
            </w:pPr>
            <w:r>
              <w:rPr/>
              <w:t> </w:t>
            </w:r>
          </w:p>
        </w:tc>
        <w:tc>
          <w:tcPr>
            <w:tcW w:w="365" w:type="dxa"/>
            <w:tcBorders/>
            <w:vAlign w:val="center"/>
          </w:tcPr>
          <w:p>
            <w:pPr>
              <w:pStyle w:val="TableContents"/>
              <w:bidi w:val="0"/>
              <w:spacing w:lineRule="auto" w:line="300" w:before="0" w:after="0"/>
              <w:jc w:val="left"/>
              <w:rPr/>
            </w:pPr>
            <w:r>
              <w:rPr/>
              <w:t> </w:t>
            </w:r>
          </w:p>
        </w:tc>
        <w:tc>
          <w:tcPr>
            <w:tcW w:w="1610" w:type="dxa"/>
            <w:tcBorders/>
            <w:vAlign w:val="center"/>
          </w:tcPr>
          <w:p>
            <w:pPr>
              <w:pStyle w:val="TableContents"/>
              <w:bidi w:val="0"/>
              <w:spacing w:lineRule="auto" w:line="300" w:before="0" w:after="0"/>
              <w:jc w:val="left"/>
              <w:rPr/>
            </w:pPr>
            <w:r>
              <w:rPr/>
              <w:t>Paul Shinn</w:t>
            </w:r>
          </w:p>
        </w:tc>
      </w:tr>
      <w:tr>
        <w:trPr/>
        <w:tc>
          <w:tcPr>
            <w:tcW w:w="2060" w:type="dxa"/>
            <w:tcBorders/>
            <w:vAlign w:val="center"/>
          </w:tcPr>
          <w:p>
            <w:pPr>
              <w:pStyle w:val="TableContents"/>
              <w:bidi w:val="0"/>
              <w:spacing w:lineRule="auto" w:line="300" w:before="0" w:after="0"/>
              <w:jc w:val="left"/>
              <w:rPr/>
            </w:pPr>
            <w:r>
              <w:rPr/>
              <w:t> </w:t>
            </w:r>
          </w:p>
        </w:tc>
        <w:tc>
          <w:tcPr>
            <w:tcW w:w="365" w:type="dxa"/>
            <w:tcBorders/>
            <w:vAlign w:val="center"/>
          </w:tcPr>
          <w:p>
            <w:pPr>
              <w:pStyle w:val="TableContents"/>
              <w:bidi w:val="0"/>
              <w:spacing w:lineRule="auto" w:line="300" w:before="0" w:after="0"/>
              <w:jc w:val="left"/>
              <w:rPr/>
            </w:pPr>
            <w:r>
              <w:rPr/>
              <w:t> </w:t>
            </w:r>
          </w:p>
        </w:tc>
        <w:tc>
          <w:tcPr>
            <w:tcW w:w="1610" w:type="dxa"/>
            <w:tcBorders/>
            <w:vAlign w:val="center"/>
          </w:tcPr>
          <w:p>
            <w:pPr>
              <w:pStyle w:val="TableContents"/>
              <w:bidi w:val="0"/>
              <w:spacing w:lineRule="auto" w:line="300" w:before="0" w:after="0"/>
              <w:jc w:val="left"/>
              <w:rPr/>
            </w:pPr>
            <w:r>
              <w:rPr/>
              <w:t>General Counsel</w:t>
            </w:r>
          </w:p>
        </w:tc>
      </w:tr>
    </w:tbl>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1578</Words>
  <Characters>8841</Characters>
  <CharactersWithSpaces>10401</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