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1"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3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27"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6-K</w:t>
      </w:r>
    </w:p>
    <w:p>
      <w:pPr>
        <w:spacing w:after="0" w:line="244"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SECTION 13A-16 OR 15D-16</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34"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 the month of November 2023</w:t>
      </w:r>
    </w:p>
    <w:p>
      <w:pPr>
        <w:spacing w:after="0" w:line="23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Commission File Number: 001-40490</w:t>
      </w:r>
    </w:p>
    <w:p>
      <w:pPr>
        <w:spacing w:after="0" w:line="238"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WalkMe Ltd.</w:t>
      </w:r>
    </w:p>
    <w:p>
      <w:pPr>
        <w:spacing w:after="0" w:line="4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29"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1 Walter Moses St.</w:t>
      </w:r>
    </w:p>
    <w:p>
      <w:pPr>
        <w:spacing w:after="0" w:line="27"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Tel Aviv 6789903, Israel</w:t>
      </w:r>
    </w:p>
    <w:p>
      <w:pPr>
        <w:spacing w:after="0" w:line="23"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+972 (3) 763-0333</w:t>
      </w:r>
    </w:p>
    <w:p>
      <w:pPr>
        <w:spacing w:after="0" w:line="23"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7"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51"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Results</w:t>
      </w: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On November 14, 2023, WalkMe Ltd. (the “Company”) issued a press release titled “WalkMe Ltd. Announces Third Quarter 2023 Financial Results.” A copy of the press release is furnished as Exhibit 99.1 herewith.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Other than as indicated below, the information in this Form 6-K (including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U.S. GAAP financial information contained in the (i) condensed consolidated statements of operations, (ii) condensed consolidated balance sheets and</w:t>
      </w:r>
    </w:p>
    <w:p>
      <w:pPr>
        <w:spacing w:after="0" w:line="46" w:lineRule="exact"/>
        <w:rPr>
          <w:sz w:val="20"/>
          <w:szCs w:val="20"/>
          <w:color w:val="auto"/>
        </w:rPr>
      </w:pPr>
    </w:p>
    <w:p>
      <w:pPr>
        <w:ind w:firstLine="8"/>
        <w:spacing w:after="0" w:line="323" w:lineRule="auto"/>
        <w:tabs>
          <w:tab w:leader="none" w:pos="354"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condensed consolidated statements of cash flow included in the press release attached as Exhibit 99.1 to this Report on Form 6-K is hereby incorporated by reference into the Company’s Registration Statements on Form S-8 (File Nos. 333-257354, 333-263823 and 333-270537).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t>EXHIBIT INDEX</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as part of this Form 6-K: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2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Press Release dated November 14, 2023 titled “WalkMe Ltd. Announces Third Quarter 2023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WalkMe Ltd.</w:t>
      </w:r>
    </w:p>
    <w:p>
      <w:pPr>
        <w:spacing w:after="0" w:line="243"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7"/>
          <w:szCs w:val="17"/>
          <w:color w:val="auto"/>
        </w:rPr>
        <w:t>By: /s/ Hagit Ynon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19202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Hagit Ynon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WalkMe Ltd. Announces Third Quarter 2023 Financial Results</w:t>
      </w:r>
    </w:p>
    <w:p>
      <w:pPr>
        <w:spacing w:after="0" w:line="246" w:lineRule="exact"/>
        <w:rPr>
          <w:sz w:val="20"/>
          <w:szCs w:val="20"/>
          <w:color w:val="auto"/>
        </w:rPr>
      </w:pPr>
    </w:p>
    <w:p>
      <w:pPr>
        <w:ind w:left="660" w:right="28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Achieved a record Non-GAAP operating income ahead of plan of $1.6M compared to a loss of ($12.5M) last year and GAAP operating loss of ($11.6M) compared to ($26.4M) last year.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Non-GAAP Net income Per Share of $0.04 and GAAP Net Loss Per Share of ($0.10).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Continued positive Free Cash Flow of $6.2M and 9% FCF margin.</w:t>
      </w:r>
    </w:p>
    <w:p>
      <w:pPr>
        <w:spacing w:after="0" w:line="22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SAN FRANCISCO, November 14, 2023 </w:t>
      </w:r>
      <w:r>
        <w:rPr>
          <w:rFonts w:ascii="Arial" w:cs="Arial" w:eastAsia="Arial" w:hAnsi="Arial"/>
          <w:sz w:val="18"/>
          <w:szCs w:val="18"/>
          <w:color w:val="auto"/>
        </w:rPr>
        <w:t>-- WalkMe Ltd. (NASDAQ:WKME), a leading provider of digital adoption solutions, today announced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its third quarter ended September 30, 2023.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243"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“Q3 was a milestone quarter as WalkMe achieved our goal of reaching profitability ahead of schedule. We believe our investments in our strategic growth drivers are paying off in the public sector and our partner ecosystem as we continue to deliver big value to our global customer base. With AI transformation on the rise, Digital Adoption is now more essential than ever. WalkMe is well positioned to help organizations drive productivity and manage change,” said Dan Adika, CEO of WalkMe.</w:t>
      </w:r>
    </w:p>
    <w:p>
      <w:pPr>
        <w:spacing w:after="0" w:line="193" w:lineRule="exact"/>
        <w:rPr>
          <w:sz w:val="20"/>
          <w:szCs w:val="20"/>
          <w:color w:val="auto"/>
        </w:rPr>
      </w:pPr>
    </w:p>
    <w:p>
      <w:pPr>
        <w:ind w:right="40"/>
        <w:spacing w:after="0" w:line="329" w:lineRule="auto"/>
        <w:rPr>
          <w:sz w:val="20"/>
          <w:szCs w:val="20"/>
          <w:color w:val="auto"/>
        </w:rPr>
      </w:pPr>
      <w:r>
        <w:rPr>
          <w:rFonts w:ascii="Arial" w:cs="Arial" w:eastAsia="Arial" w:hAnsi="Arial"/>
          <w:sz w:val="16"/>
          <w:szCs w:val="16"/>
          <w:color w:val="auto"/>
        </w:rPr>
        <w:t>"We are very pleased with the financial achievements, reaching non-GAAP profitability for the first time, reaching cash flow positive two quarters in a row and driving operational improvement despite lingering macro headwinds," said Hagit Ynon, CFO of WalkMe. “WalkMe continues to improve our underlying business, enhancing our business model, and we expect to end 2023 with positive free cash flow for the full year and improving profitability.”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2023 Financial Highlights:</w:t>
      </w:r>
    </w:p>
    <w:p>
      <w:pPr>
        <w:spacing w:after="0" w:line="239" w:lineRule="exact"/>
        <w:rPr>
          <w:sz w:val="20"/>
          <w:szCs w:val="20"/>
          <w:color w:val="auto"/>
        </w:rPr>
      </w:pPr>
    </w:p>
    <w:p>
      <w:pPr>
        <w:ind w:left="660" w:right="20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was $67.0 million, an increase of 6% year-over-year. Subscription revenue was $62.3 million, an increase of 10% year-over-year.</w:t>
      </w:r>
    </w:p>
    <w:p>
      <w:pPr>
        <w:ind w:left="660" w:right="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Gross Margin</w:t>
      </w:r>
      <w:r>
        <w:rPr>
          <w:rFonts w:ascii="Arial" w:cs="Arial" w:eastAsia="Arial" w:hAnsi="Arial"/>
          <w:sz w:val="18"/>
          <w:szCs w:val="18"/>
          <w:color w:val="auto"/>
        </w:rPr>
        <w:t>: GAAP Gross margin was 85% compared to 79% in the third quarter of 2022 and Non-GAAP Gross margin was 85%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80% in the third quarter of 2022.</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GAAP Operating Loss</w:t>
      </w:r>
      <w:r>
        <w:rPr>
          <w:rFonts w:ascii="Arial" w:cs="Arial" w:eastAsia="Arial" w:hAnsi="Arial"/>
          <w:sz w:val="18"/>
          <w:szCs w:val="18"/>
          <w:color w:val="auto"/>
        </w:rPr>
        <w:t>: was $11.6 million, or 17% of total revenue, compared to $26.4 million, or 42% in the third quarter of 2022.</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Non-GAAP Operating Income: </w:t>
      </w:r>
      <w:r>
        <w:rPr>
          <w:rFonts w:ascii="Arial" w:cs="Arial" w:eastAsia="Arial" w:hAnsi="Arial"/>
          <w:sz w:val="18"/>
          <w:szCs w:val="18"/>
          <w:color w:val="auto"/>
        </w:rPr>
        <w:t>was $1.6 million or 2% of total revenue, compared to a loss of ($12.5) million, or (20%) in the third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2022.</w:t>
      </w:r>
    </w:p>
    <w:p>
      <w:pPr>
        <w:ind w:left="660" w:right="3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Non-GAAP Net Income Per Share of $0.04 and GAAP Net Loss Per Share of ($0.10) compared to a loss of ($0.14) and</w:t>
      </w:r>
      <w:r>
        <w:rPr>
          <w:rFonts w:ascii="Arial" w:cs="Arial" w:eastAsia="Arial" w:hAnsi="Arial"/>
          <w:sz w:val="18"/>
          <w:szCs w:val="18"/>
          <w:b w:val="1"/>
          <w:bCs w:val="1"/>
          <w:color w:val="auto"/>
        </w:rPr>
        <w:t xml:space="preserve"> </w:t>
      </w:r>
      <w:r>
        <w:rPr>
          <w:rFonts w:ascii="Arial" w:cs="Arial" w:eastAsia="Arial" w:hAnsi="Arial"/>
          <w:sz w:val="18"/>
          <w:szCs w:val="18"/>
          <w:color w:val="auto"/>
        </w:rPr>
        <w:t>($0.27) in the third quarter of 2022 respectively.</w:t>
      </w:r>
    </w:p>
    <w:p>
      <w:pPr>
        <w:ind w:left="660" w:right="3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Operating Cash Flow</w:t>
      </w:r>
      <w:r>
        <w:rPr>
          <w:rFonts w:ascii="Arial" w:cs="Arial" w:eastAsia="Arial" w:hAnsi="Arial"/>
          <w:sz w:val="18"/>
          <w:szCs w:val="18"/>
          <w:color w:val="auto"/>
        </w:rPr>
        <w:t>: Net cash provided by operating activity was $7.4 million, or 11% of total revenue, compared to ($9.7) million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activity or (15%) in the third quarter of 2022.</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Free Cash Flow</w:t>
      </w:r>
      <w:r>
        <w:rPr>
          <w:rFonts w:ascii="Arial" w:cs="Arial" w:eastAsia="Arial" w:hAnsi="Arial"/>
          <w:sz w:val="16"/>
          <w:szCs w:val="16"/>
          <w:color w:val="auto"/>
        </w:rPr>
        <w:t>: was a positive $6.2 million or 9% of total revenue, compared to negative ($11.2) million, or (18%) in the third quarter of 2022.</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Cash, Cash Equivalents, Short-term Deposits and Long-Term Marketable Securities: </w:t>
      </w:r>
      <w:r>
        <w:rPr>
          <w:rFonts w:ascii="Arial" w:cs="Arial" w:eastAsia="Arial" w:hAnsi="Arial"/>
          <w:sz w:val="17"/>
          <w:szCs w:val="17"/>
          <w:color w:val="auto"/>
        </w:rPr>
        <w:t>were $311.5 million as of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Third Quarter and Recent Business Highlights:</w:t>
      </w:r>
    </w:p>
    <w:p>
      <w:pPr>
        <w:spacing w:after="0" w:line="243" w:lineRule="exact"/>
        <w:rPr>
          <w:sz w:val="20"/>
          <w:szCs w:val="20"/>
          <w:color w:val="auto"/>
        </w:rPr>
      </w:pPr>
    </w:p>
    <w:p>
      <w:pPr>
        <w:ind w:left="660" w:right="78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Added 11 net new Enterprise-Wide DAP customers during the third quarter for a total of 194 DAP customers as of September 30, 2023, representing DAP customer count growth of 25% year-over-year.</w:t>
      </w:r>
    </w:p>
    <w:p>
      <w:pPr>
        <w:spacing w:after="0" w:line="1"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with over $1 million in ARR grew 11% year-over-year to 39. Customers with over $100,000 in ARR grew 5% year-over-year to 539 customers as of the quarter end.</w:t>
      </w:r>
    </w:p>
    <w:p>
      <w:pPr>
        <w:ind w:left="660" w:right="5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WalkMe Discovery and Data AI solutions showed continued momentum with the number of employees covered growing 85% quarter over quarter.</w:t>
      </w:r>
    </w:p>
    <w:p>
      <w:pPr>
        <w:ind w:left="660" w:right="5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Launched Propel, a program that provides partners the foundation to unlock enterprise-scale revenue streams by enhancing enablement and speeding go to market</w:t>
      </w:r>
    </w:p>
    <w:p>
      <w:pPr>
        <w:ind w:left="660" w:right="4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Hosted Realize, the premier Digital Adoption Customer and Partner event with presentations from Nestlé, Cisco, Gap Inc., ServiceNow, and Deloitte Consulting LLP, among others</w:t>
      </w:r>
    </w:p>
    <w:p>
      <w:pPr>
        <w:ind w:left="660" w:right="22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Launched its first ever ESG Report highlighting WalkMe’s commitment to the environment, a diverse and inclusive workforce, and governance best practices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For the fourth quarter of 2023, the Company currently expects:</w:t>
      </w:r>
    </w:p>
    <w:p>
      <w:pPr>
        <w:spacing w:after="0" w:line="25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of $67 to $68 million, representing a growth rate of 3% to 5% year-over-year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Non-GAAP Operating income of $1.3 to $2.3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2023, the Company currently expects:</w:t>
      </w:r>
    </w:p>
    <w:p>
      <w:pPr>
        <w:spacing w:after="0" w:line="25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of $266.1 to $267.1 million, representing a growth rate of 9% year-over-year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Non-GAAP Operating Loss of $8.3 to $7.3 million</w:t>
      </w:r>
    </w:p>
    <w:p>
      <w:pPr>
        <w:spacing w:after="0" w:line="211"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The section titled “Non-GAAP Financial Measures and Key Performance Indicators” below contains a description of the non-GAAP financial measures and Key Performance Indicators discussed in this press release and reconciliations between historical GAAP and non-GAAP information are contained in the tables below. The Company is unable to provide a reconciliation of non-GAAP Operating Income (Loss) to Operating Income (Loss), its most directly comparable GAAP financial measure, on a forward-looking basis without unreasonable effort, because items that impact this GAAP financial measure are not within the Company’s control and/or cannot be reasonably predicted. These items may include, but are not limited to, predicting forward-looking share-based compensation. Such information may have a significant, and potentially unpredictable, impact on the Company’s future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ind w:right="60"/>
        <w:spacing w:after="0" w:line="271" w:lineRule="auto"/>
        <w:rPr>
          <w:sz w:val="20"/>
          <w:szCs w:val="20"/>
          <w:color w:val="auto"/>
        </w:rPr>
      </w:pPr>
      <w:r>
        <w:rPr>
          <w:rFonts w:ascii="Arial" w:cs="Arial" w:eastAsia="Arial" w:hAnsi="Arial"/>
          <w:sz w:val="18"/>
          <w:szCs w:val="18"/>
          <w:color w:val="auto"/>
        </w:rPr>
        <w:t>Throughout this press release, we provide a number of key performance indicators used by our management and often used by competitors in our industry. These and other key performance indicators are discussed in more detail in the section entitled “Non-GAAP Financial Measures and Key Performance Indicators” in this press release.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43" w:lineRule="exact"/>
        <w:rPr>
          <w:sz w:val="20"/>
          <w:szCs w:val="20"/>
          <w:color w:val="auto"/>
        </w:rPr>
      </w:pPr>
    </w:p>
    <w:p>
      <w:pPr>
        <w:spacing w:after="0" w:line="324" w:lineRule="auto"/>
        <w:rPr>
          <w:sz w:val="20"/>
          <w:szCs w:val="20"/>
          <w:color w:val="auto"/>
        </w:rPr>
      </w:pPr>
      <w:r>
        <w:rPr>
          <w:rFonts w:ascii="Arial" w:cs="Arial" w:eastAsia="Arial" w:hAnsi="Arial"/>
          <w:sz w:val="17"/>
          <w:szCs w:val="17"/>
          <w:color w:val="auto"/>
        </w:rPr>
        <w:t>WalkMe will host a conference call and live webcast for analysts and investors at 5:00 a.m. Pacific Time on November 14, 2023. The press release with the financial results as well as the investor presentation materials will be accessible from the Company’s website prior to the conference call.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live webcast of the conference call will be accessible on the WalkMe investor relations website at https://ir.walkme.com.</w:t>
      </w:r>
    </w:p>
    <w:p>
      <w:pPr>
        <w:spacing w:after="0" w:line="239"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color w:val="auto"/>
        </w:rPr>
        <w:t>Approximately one hour after completion of the live call and for at least 30 days thereafter, an archived version of the webcast will be available on the Company’s investor relations website at https://ir.walkme.com.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Financial and Other Information:</w:t>
      </w:r>
    </w:p>
    <w:p>
      <w:pPr>
        <w:spacing w:after="0" w:line="2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intend to announce material information to the public through the WalkMe Investor Relations website at ir.walkme.com, SEC filings, press releases, public conference calls, and public webcasts. We use these channels to communicate with our investors, customers, and the public about our company, our offerings, and other issues. As such, we encourage investors, the media, and others to follow the channels listed above, and to review the information disclosed through such channels.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Any updates to the list of disclosure channels through which we will announce information will be posted on the investor relations page of our website.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 and Key Performance Indicators:</w:t>
      </w:r>
    </w:p>
    <w:p>
      <w:pPr>
        <w:spacing w:after="0" w:line="243"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color w:val="auto"/>
        </w:rPr>
        <w:t>In addition to our financial results reported in accordance with GAAP, this press release and the accompanying tables and related presentation materials may contain one or more of the following non-GAAP financial measures: Non-GAAP Gross Profit, Non-GAAP Gross Margin, Non-GAAP Operating Income (Loss), Non-GAAP Operating Margin, Non-GAAP Net Income (Loss) attributable to WalkMe Ltd., Non-GAAP Net Income (Loss) per share attributable to WalkMe Ltd. and Free Cash Flow, all of which are non-GAAP financial measures. We believe that these measures provide useful information about operating results, enhance the overall understanding of past financial performance and future prospects, and allow for greater transparency with respect to key measures used by management in its financial and operational decision making. Non-GAAP financial measures have limitations as analytical tools and may differ from similarly titled measures presented by other companies. The presentation of this financial information is not intended to be considered as a substitute for the financial information prepared and presented in accordance with GAAP.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 w:name="page8"/>
    <w:bookmarkEnd w:id="7"/>
    <w:p>
      <w:pPr>
        <w:ind w:right="140"/>
        <w:spacing w:after="0" w:line="268" w:lineRule="auto"/>
        <w:rPr>
          <w:sz w:val="20"/>
          <w:szCs w:val="20"/>
          <w:color w:val="auto"/>
        </w:rPr>
      </w:pPr>
      <w:r>
        <w:rPr>
          <w:rFonts w:ascii="Arial" w:cs="Arial" w:eastAsia="Arial" w:hAnsi="Arial"/>
          <w:sz w:val="18"/>
          <w:szCs w:val="18"/>
          <w:i w:val="1"/>
          <w:iCs w:val="1"/>
          <w:color w:val="auto"/>
        </w:rPr>
        <w:t>Non-GAAP Gross Profit and Non-GAAP Gross Margin</w:t>
      </w:r>
      <w:r>
        <w:rPr>
          <w:rFonts w:ascii="Arial" w:cs="Arial" w:eastAsia="Arial" w:hAnsi="Arial"/>
          <w:sz w:val="18"/>
          <w:szCs w:val="18"/>
          <w:color w:val="auto"/>
        </w:rPr>
        <w:t>. We define Non-GAAP Gross Profit as gross profit excluding share-based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acquired intangibles and restructuring expenses. We exclude these items because they occur for reasons that may be unrelated to our core operating performance during the period, and because we believe that such items may obscure underlying business trends and make comparisons of long-term performance difficult. We use Non-GAAP Gross Profit with traditional GAAP measures to evaluate our financial performance. Non-GAAP Gross Margin is calculated as a percentage of revenues.</w:t>
      </w:r>
    </w:p>
    <w:p>
      <w:pPr>
        <w:spacing w:after="0" w:line="194"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i w:val="1"/>
          <w:iCs w:val="1"/>
          <w:color w:val="auto"/>
        </w:rPr>
        <w:t xml:space="preserve">Non-GAAP Operating Income (Loss) and Non-GAAP Operating Margin. </w:t>
      </w:r>
      <w:r>
        <w:rPr>
          <w:rFonts w:ascii="Arial" w:cs="Arial" w:eastAsia="Arial" w:hAnsi="Arial"/>
          <w:sz w:val="16"/>
          <w:szCs w:val="16"/>
          <w:color w:val="auto"/>
        </w:rPr>
        <w:t>We define Non-GAAP Operating Income (Loss) as net income (loss) from</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excluding share-based compensation, amortization and impairment of acquired intangible assets and restructuring expenses. We exclude these items because they occur for reasons that may be unrelated to our core operating performance during the period, and because we believe that such items may obscure underlying business trends and make comparisons of long-term performance difficult. We use Non-GAAP Operating Income (Loss) with traditional GAAP measures to evaluate our financial performance. Non-GAAP Operating Margin is calculated as a percentage of revenues.</w:t>
      </w:r>
    </w:p>
    <w:p>
      <w:pPr>
        <w:spacing w:after="0" w:line="162" w:lineRule="exact"/>
        <w:rPr>
          <w:sz w:val="20"/>
          <w:szCs w:val="20"/>
          <w:color w:val="auto"/>
        </w:rPr>
      </w:pPr>
    </w:p>
    <w:p>
      <w:pPr>
        <w:spacing w:after="0" w:line="265" w:lineRule="auto"/>
        <w:rPr>
          <w:sz w:val="20"/>
          <w:szCs w:val="20"/>
          <w:color w:val="auto"/>
        </w:rPr>
      </w:pPr>
      <w:r>
        <w:rPr>
          <w:rFonts w:ascii="Arial" w:cs="Arial" w:eastAsia="Arial" w:hAnsi="Arial"/>
          <w:sz w:val="18"/>
          <w:szCs w:val="18"/>
          <w:i w:val="1"/>
          <w:iCs w:val="1"/>
          <w:color w:val="auto"/>
        </w:rPr>
        <w:t>Non-GAAP Net Income (Loss) attributable to WalkMe Ltd</w:t>
      </w:r>
      <w:r>
        <w:rPr>
          <w:rFonts w:ascii="Arial" w:cs="Arial" w:eastAsia="Arial" w:hAnsi="Arial"/>
          <w:sz w:val="18"/>
          <w:szCs w:val="18"/>
          <w:color w:val="auto"/>
        </w:rPr>
        <w:t>. We define Non-GAAP Net Income (Loss) attributable to WalkMe Ltd. as Net Income (Loss)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WalkMe Ltd. excluding share-based compensation, amortization and impairment of acquired intangibles, restructuring expenses and adjustment attributable to non-controlling interest. We exclude these items because they occur for reasons that may be unrelated to our core operating performance during the period, and because we believe that such items may obscure underlying business trends and make comparisons of long-term performance difficult. We use Non-GAAP Net Income (Loss) attributable to WalkMe Ltd. with traditional GAAP measures to evaluate our financial performance. Non-GAAP Net Income (Loss) per Share attributable to WalkMe Ltd. is calculated based on the periodic weighted average of ordinary shares basic and diluted.</w:t>
      </w:r>
    </w:p>
    <w:p>
      <w:pPr>
        <w:spacing w:after="0" w:line="196"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We define Free Cash Flow as net cash provided by (used in) operating activities, less cash used for purchases of property and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capitalized internal-use software development costs. We believe that Free Cash Flow is a useful indicator of liquidity that provides information to management and investors, even if negative, about the amount of cash used in our business. Our Free Cash Flow may vary from period to period and be impacted as we continue to invest for growth in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ind w:right="40"/>
        <w:spacing w:after="0" w:line="283" w:lineRule="auto"/>
        <w:rPr>
          <w:sz w:val="20"/>
          <w:szCs w:val="20"/>
          <w:color w:val="auto"/>
        </w:rPr>
      </w:pPr>
      <w:r>
        <w:rPr>
          <w:rFonts w:ascii="Arial" w:cs="Arial" w:eastAsia="Arial" w:hAnsi="Arial"/>
          <w:sz w:val="17"/>
          <w:szCs w:val="17"/>
          <w:i w:val="1"/>
          <w:iCs w:val="1"/>
          <w:color w:val="auto"/>
        </w:rPr>
        <w:t xml:space="preserve">ARR. </w:t>
      </w:r>
      <w:r>
        <w:rPr>
          <w:rFonts w:ascii="Arial" w:cs="Arial" w:eastAsia="Arial" w:hAnsi="Arial"/>
          <w:sz w:val="17"/>
          <w:szCs w:val="17"/>
          <w:color w:val="auto"/>
        </w:rPr>
        <w:t>We define ARR as the annualized value of customer subscription contracts as of the measurement date, assuming any contract that expires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next 12 months is renewed on its existing terms (including contracts for which we are negotiating a renewal). Our calculation of ARR is not adjusted for the impact of any known or projected future events (such as customer cancellations, upgrades or downgrades, or price increases or decreases) that may cause any such contract not to be renewed on its existing terms. In addition, the amount of actual revenue that we recognize over any 12-month period is likely to differ from ARR at the beginning of that period, sometimes significantly. This may occur due to new bookings, cancellations, upgrades, downgrades or other changes in pending renewals, as well as the effects of professional services revenue and acquisitions or divestitures. As a result, ARR should be viewed independently of, and not as a substitute for or forecast of, revenue and deferred revenue. Our calculation of ARR may differ from similarly titled metrics presented by other companies.</w:t>
      </w:r>
    </w:p>
    <w:p>
      <w:pPr>
        <w:spacing w:after="0" w:line="181"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i w:val="1"/>
          <w:iCs w:val="1"/>
          <w:color w:val="auto"/>
        </w:rPr>
        <w:t xml:space="preserve">Enterprise-Wide DAP Customers: </w:t>
      </w:r>
      <w:r>
        <w:rPr>
          <w:rFonts w:ascii="Arial" w:cs="Arial" w:eastAsia="Arial" w:hAnsi="Arial"/>
          <w:sz w:val="18"/>
          <w:szCs w:val="18"/>
          <w:color w:val="auto"/>
        </w:rPr>
        <w:t>We define Enterprise-Wide DAP Customers as those who have purchased enterprise-wide subscriptions or who have</w:t>
      </w:r>
      <w:r>
        <w:rPr>
          <w:rFonts w:ascii="Arial" w:cs="Arial" w:eastAsia="Arial" w:hAnsi="Arial"/>
          <w:sz w:val="18"/>
          <w:szCs w:val="18"/>
          <w:i w:val="1"/>
          <w:iCs w:val="1"/>
          <w:color w:val="auto"/>
        </w:rPr>
        <w:t xml:space="preserve"> </w:t>
      </w:r>
      <w:r>
        <w:rPr>
          <w:rFonts w:ascii="Arial" w:cs="Arial" w:eastAsia="Arial" w:hAnsi="Arial"/>
          <w:sz w:val="18"/>
          <w:szCs w:val="18"/>
          <w:color w:val="auto"/>
        </w:rPr>
        <w:t>department-wide usage of our Digital Adoption Platform across four or more applications. We believe these customers are an indication of the success of our customer acquisition and expansion strategy and demonstrate the strategic demand for our Digital Adoption Platform, the growth of our business and our potential future business opportunities.</w:t>
      </w:r>
    </w:p>
    <w:p>
      <w:pPr>
        <w:spacing w:after="0" w:line="193"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For more information on the non-GAAP financial measures, please see the reconciliation tables provided in this press release. The accompanying reconciliation tables have more details on the GAAP financial measures that are most directly comparable to non-GAAP financial measures and the related reconciliations between these financial measures.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contained in this press release other than statements of historical fact, including, without limitation, statements regarding the ongoing impact of the conflict in Israel on our business and financial performance; the Company’s future financial results, including revenue and non-GAAP operating loss guidance, and expectations regarding the Company’s operations and future profitability; the capabilities of and demand for the Company’s services; the growth and evolution of the digital adoption platform industry; the Company's future financial strategy and competitive market position within the industry are all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 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following: our ability to manage our growth effectively, sustain our historical growth rate in the future or achieve or maintain profitability; the impact of adverse macro-economic changes on our business, financial condition and results of operations; the growth and expansion of the markets for our offerings and our ability to adapt and respond effectively to evolving market conditions; our estimates of, and future expectations regarding, our market opportunity; our ability to keep pace with technological and competitive developments and develop or otherwise introduce new products and solutions and enhancements to our existing offerings; our ability to maintain the interoperability of our offerings across devices, operating systems and third-party applications and to maintain and expand our relationships with third-party technology partners; the effects of increased competition in our target markets and our ability to compete effectively; our ability to attract and retain new customers and to expand within our existing customer base; the success of our sales and marketing operations, including our ability to realize efficiencies and reduce customer acquisition costs; risks related to the war in Israel and the related challenges to the political, economic and security conditions in Israel and its impact on our business, financial performance and our actions designed to mitigate such impact; our ability to meet the service-level commitments under our customer agreements and the effects on our business if we are unable to do so; our relationships with, and dependence on, various third-party service providers; our ability to maintain and enhance awareness of our brand; our ability to offer high quality customer support; our ability to effectively develop and expand our marketing and sales capabilities; our ability to maintain the sales prices of our offerings and the effects of pricing fluctuations; the sustainability of, and fluctuations in, our gross margin; risks related to our international operations and our ability to expand our international business operations; the effects of currency exchange rate fluctuations on our results of operations, including recent declines in the value of the Israeli shekel following Hamas’ attacks against Israel; challenges and risks related to our sales to government entities; our ability to consummate acquisitions at our historical rate and at acceptable prices, to enter into other strategic transactions and relationships, and to manage the risks related to these transactions and arrangements; our ability to protect our proprietary technology, or to obtain, maintain, protect and enforce sufficiently broad intellectual property rights therein; our ability to maintain the security and availability of our platform, products and solutions; our ability to comply with current and future legislation and governmental regulations to which we are subject or may become subject in the future; changes in applicable tax law, the stability of effective tax rates and adverse outcomes resulting from examination of our income or other tax returns; the effects of unfavorable conditions in our industry or the global economy or reductions in information technology spending; factors that may affect the future trading prices of our ordinary shares; and other risk factors set forth in the section titled “Risk Factors” in our Annual Report on form 20-F filed with the Securities and Exchange Commission on March 14, 2023, and other documents filed with or furnished to the SEC. These statements reflect management’s current expectations regarding future events and operating performance and speak only as 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About WalkMe</w:t>
      </w:r>
    </w:p>
    <w:p>
      <w:pPr>
        <w:spacing w:after="0" w:line="24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WalkMe’s cloud-based Digital Adoption Platform enables organizations to measure, drive and act to ultimately accelerate their digital transformations and better realize the value of their software investments. Our platform leverages proprietary technology to provide visibility to an organization’s Chief Information Officer and business leaders, while improving user experience, productivity and efficiency for employees and customers. Alongside walkthroughs and third-party integration capabilities, our platform can be customized to fit an organization’s needs.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Christina Knittel</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press@walkme.com</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John Streppa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investors@walkme.com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51"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WalkMe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data; 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200" w:type="dxa"/>
            <w:vAlign w:val="bottom"/>
          </w:tcPr>
          <w:p>
            <w:pPr>
              <w:spacing w:after="0"/>
              <w:rPr>
                <w:sz w:val="19"/>
                <w:szCs w:val="19"/>
                <w:color w:val="auto"/>
              </w:rPr>
            </w:pPr>
          </w:p>
        </w:tc>
        <w:tc>
          <w:tcPr>
            <w:tcW w:w="23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2"/>
                <w:szCs w:val="22"/>
                <w:color w:val="auto"/>
              </w:rPr>
            </w:pPr>
          </w:p>
        </w:tc>
        <w:tc>
          <w:tcPr>
            <w:tcW w:w="23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Subscription</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62,340</w:t>
            </w:r>
          </w:p>
        </w:tc>
        <w:tc>
          <w:tcPr>
            <w:tcW w:w="2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56,681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184,364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162,270</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6,672</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14,701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17,873</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67,015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63,353</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199,065</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180,143</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line="230" w:lineRule="exact"/>
              <w:rPr>
                <w:sz w:val="20"/>
                <w:szCs w:val="20"/>
                <w:color w:val="auto"/>
              </w:rPr>
            </w:pPr>
            <w:r>
              <w:rPr>
                <w:rFonts w:ascii="Arial" w:cs="Arial" w:eastAsia="Arial" w:hAnsi="Arial"/>
                <w:sz w:val="16"/>
                <w:szCs w:val="16"/>
                <w:color w:val="auto"/>
              </w:rPr>
              <w:t>Subscription</w:t>
            </w:r>
            <w:r>
              <w:rPr>
                <w:rFonts w:ascii="Arial" w:cs="Arial" w:eastAsia="Arial" w:hAnsi="Arial"/>
                <w:sz w:val="26"/>
                <w:szCs w:val="26"/>
                <w:color w:val="auto"/>
                <w:vertAlign w:val="superscript"/>
              </w:rPr>
              <w:t>(1)(2)(3)</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6,481</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18,957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20,052</w:t>
            </w:r>
          </w:p>
        </w:tc>
        <w:tc>
          <w:tcPr>
            <w:tcW w:w="0" w:type="dxa"/>
            <w:vAlign w:val="bottom"/>
          </w:tcPr>
          <w:p>
            <w:pPr>
              <w:spacing w:after="0"/>
              <w:rPr>
                <w:sz w:val="1"/>
                <w:szCs w:val="1"/>
                <w:color w:val="auto"/>
              </w:rPr>
            </w:pPr>
          </w:p>
        </w:tc>
      </w:tr>
      <w:tr>
        <w:trPr>
          <w:trHeight w:val="237"/>
        </w:trPr>
        <w:tc>
          <w:tcPr>
            <w:tcW w:w="5980" w:type="dxa"/>
            <w:vAlign w:val="bottom"/>
          </w:tcPr>
          <w:p>
            <w:pPr>
              <w:ind w:left="140"/>
              <w:spacing w:after="0" w:line="230" w:lineRule="exact"/>
              <w:rPr>
                <w:sz w:val="20"/>
                <w:szCs w:val="20"/>
                <w:color w:val="auto"/>
              </w:rPr>
            </w:pPr>
            <w:r>
              <w:rPr>
                <w:rFonts w:ascii="Arial" w:cs="Arial" w:eastAsia="Arial" w:hAnsi="Arial"/>
                <w:sz w:val="16"/>
                <w:szCs w:val="16"/>
                <w:color w:val="auto"/>
              </w:rPr>
              <w:t>Professional services</w:t>
            </w:r>
            <w:r>
              <w:rPr>
                <w:rFonts w:ascii="Arial" w:cs="Arial" w:eastAsia="Arial" w:hAnsi="Arial"/>
                <w:sz w:val="26"/>
                <w:szCs w:val="26"/>
                <w:color w:val="auto"/>
                <w:vertAlign w:val="superscript"/>
              </w:rPr>
              <w:t>(1)(3)</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7,096</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15,431</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21,383</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10,341</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13,577</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34,388</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41,435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56,674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49,776</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164,677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138,708</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40"/>
              <w:spacing w:after="0" w:line="230"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6"/>
                <w:szCs w:val="26"/>
                <w:color w:val="auto"/>
                <w:vertAlign w:val="superscript"/>
              </w:rPr>
              <w:t>(1)(3)</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13,259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13,909</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41,743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45,504</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line="230"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6"/>
                <w:szCs w:val="26"/>
                <w:color w:val="auto"/>
                <w:vertAlign w:val="superscript"/>
              </w:rPr>
              <w:t>(1)(3)</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39,118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45,801</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123,035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130,993</w:t>
            </w:r>
          </w:p>
        </w:tc>
        <w:tc>
          <w:tcPr>
            <w:tcW w:w="0" w:type="dxa"/>
            <w:vAlign w:val="bottom"/>
          </w:tcPr>
          <w:p>
            <w:pPr>
              <w:spacing w:after="0"/>
              <w:rPr>
                <w:sz w:val="1"/>
                <w:szCs w:val="1"/>
                <w:color w:val="auto"/>
              </w:rPr>
            </w:pPr>
          </w:p>
        </w:tc>
      </w:tr>
      <w:tr>
        <w:trPr>
          <w:trHeight w:val="236"/>
        </w:trPr>
        <w:tc>
          <w:tcPr>
            <w:tcW w:w="5980" w:type="dxa"/>
            <w:vAlign w:val="bottom"/>
          </w:tcPr>
          <w:p>
            <w:pPr>
              <w:ind w:left="140"/>
              <w:spacing w:after="0" w:line="230"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6"/>
                <w:szCs w:val="26"/>
                <w:color w:val="auto"/>
                <w:vertAlign w:val="superscript"/>
              </w:rPr>
              <w:t>(1)(2)(3)</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15,865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16,483</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53,086</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49,501</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68,242</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76,193</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217,864</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225,998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Operating loss</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(11,568)</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(26,417)</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(53,187)</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(87,290)</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Financial income, net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1,241</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10,098</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(7,959)</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(25,176)</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(43,089)</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(84,922)</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(1,420)</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(942)</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(9,379)</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(26,118)</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(47,006)</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(87,022)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Adjustment attributable to non-controlling interest</w:t>
            </w: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(3,010)</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1,680</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(12,642)</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WalkMe Ltd.</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(8,762)</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(23,090)</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(48,489)</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(74,013)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Net loss per share attributable to WalkMe Ltd. basic and 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(0.27)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(0.55)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59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Weighted-average shares used in computing net loss per share attributable to</w:t>
            </w:r>
          </w:p>
        </w:tc>
        <w:tc>
          <w:tcPr>
            <w:tcW w:w="20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ordinary shareholders, basic and diluted</w:t>
            </w:r>
          </w:p>
        </w:tc>
        <w:tc>
          <w:tcPr>
            <w:tcW w:w="20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89,374,207</w:t>
            </w: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85,508,974</w:t>
            </w:r>
          </w:p>
        </w:tc>
        <w:tc>
          <w:tcPr>
            <w:tcW w:w="2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88,429,867</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84,739,275</w:t>
            </w:r>
          </w:p>
        </w:tc>
        <w:tc>
          <w:tcPr>
            <w:tcW w:w="0" w:type="dxa"/>
            <w:vAlign w:val="bottom"/>
          </w:tcPr>
          <w:p>
            <w:pPr>
              <w:spacing w:after="0"/>
              <w:rPr>
                <w:sz w:val="1"/>
                <w:szCs w:val="1"/>
                <w:color w:val="auto"/>
              </w:rPr>
            </w:pPr>
          </w:p>
        </w:tc>
      </w:tr>
      <w:tr>
        <w:trPr>
          <w:trHeight w:val="575"/>
        </w:trPr>
        <w:tc>
          <w:tcPr>
            <w:tcW w:w="5980" w:type="dxa"/>
            <w:vAlign w:val="bottom"/>
            <w:tcBorders>
              <w:top w:val="single" w:sz="8" w:color="CCEEFF"/>
            </w:tcBorders>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Includes share-based compensation expense as follows:</w:t>
            </w: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200" w:type="dxa"/>
            <w:vAlign w:val="bottom"/>
          </w:tcPr>
          <w:p>
            <w:pPr>
              <w:spacing w:after="0"/>
              <w:rPr>
                <w:sz w:val="24"/>
                <w:szCs w:val="24"/>
                <w:color w:val="auto"/>
              </w:rPr>
            </w:pPr>
          </w:p>
        </w:tc>
        <w:tc>
          <w:tcPr>
            <w:tcW w:w="23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2"/>
                <w:szCs w:val="22"/>
                <w:color w:val="auto"/>
              </w:rPr>
            </w:pPr>
          </w:p>
        </w:tc>
        <w:tc>
          <w:tcPr>
            <w:tcW w:w="23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subscription revenues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Cost of professional services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782</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1,279</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1,756</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7,948</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5,396</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4,578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5,478</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13,133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13,935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5,505</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18,817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15,891</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13,089</w:t>
            </w:r>
          </w:p>
        </w:tc>
        <w:tc>
          <w:tcPr>
            <w:tcW w:w="2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13,814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41,959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38,108</w:t>
            </w: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Includes amortization and impairment of acquired intangibles as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5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follows: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200" w:type="dxa"/>
            <w:vAlign w:val="bottom"/>
          </w:tcPr>
          <w:p>
            <w:pPr>
              <w:spacing w:after="0"/>
              <w:rPr>
                <w:sz w:val="24"/>
                <w:szCs w:val="24"/>
                <w:color w:val="auto"/>
              </w:rPr>
            </w:pPr>
          </w:p>
        </w:tc>
        <w:tc>
          <w:tcPr>
            <w:tcW w:w="23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2"/>
                <w:szCs w:val="22"/>
                <w:color w:val="auto"/>
              </w:rPr>
            </w:pPr>
          </w:p>
        </w:tc>
        <w:tc>
          <w:tcPr>
            <w:tcW w:w="23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7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amortization and impairment</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5980" w:type="dxa"/>
            <w:vAlign w:val="bottom"/>
          </w:tcPr>
          <w:p>
            <w:pPr>
              <w:spacing w:after="0"/>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Includes restructuring expense as follows: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200" w:type="dxa"/>
            <w:vAlign w:val="bottom"/>
          </w:tcPr>
          <w:p>
            <w:pPr>
              <w:spacing w:after="0"/>
              <w:rPr>
                <w:sz w:val="24"/>
                <w:szCs w:val="24"/>
                <w:color w:val="auto"/>
              </w:rPr>
            </w:pPr>
          </w:p>
        </w:tc>
        <w:tc>
          <w:tcPr>
            <w:tcW w:w="23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2"/>
                <w:szCs w:val="22"/>
                <w:color w:val="auto"/>
              </w:rPr>
            </w:pPr>
          </w:p>
        </w:tc>
        <w:tc>
          <w:tcPr>
            <w:tcW w:w="23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subscription revenues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Cost of professional services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964</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1" w:right="339" w:bottom="0" w:gutter="0" w:footer="0" w:header="0"/>
        </w:sectPr>
      </w:pPr>
    </w:p>
    <w:bookmarkStart w:id="11" w:name="page12"/>
    <w:bookmarkEnd w:id="11"/>
    <w:p>
      <w:pPr>
        <w:spacing w:after="0"/>
        <w:tabs>
          <w:tab w:leader="none" w:pos="5960" w:val="left"/>
          <w:tab w:leader="none" w:pos="7020" w:val="left"/>
          <w:tab w:leader="none" w:pos="7340" w:val="left"/>
          <w:tab w:leader="none" w:pos="8400" w:val="left"/>
          <w:tab w:leader="none" w:pos="8680" w:val="left"/>
          <w:tab w:leader="none" w:pos="9380" w:val="left"/>
          <w:tab w:leader="none" w:pos="10000" w:val="left"/>
          <w:tab w:leader="none" w:pos="11060" w:val="left"/>
        </w:tabs>
        <w:rPr>
          <w:sz w:val="20"/>
          <w:szCs w:val="20"/>
          <w:color w:val="auto"/>
        </w:rPr>
      </w:pPr>
      <w:r>
        <w:rPr>
          <w:rFonts w:ascii="Arial" w:cs="Arial" w:eastAsia="Arial" w:hAnsi="Arial"/>
          <w:sz w:val="18"/>
          <w:szCs w:val="18"/>
          <w:color w:val="auto"/>
        </w:rPr>
        <w:t>Total restructuring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1,473</w:t>
        <w:tab/>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274695"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469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WalkMe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55"/>
        </w:trPr>
        <w:tc>
          <w:tcPr>
            <w:tcW w:w="8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2"/>
                <w:szCs w:val="22"/>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192,500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94,105</w:t>
            </w: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Short-term deposits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31,496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125,231</w:t>
            </w: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33,796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42,187</w:t>
            </w: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Trade receivables, net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38,242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45,024</w:t>
            </w: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26,518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26,287</w:t>
            </w: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8,553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6,243</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331,105</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339,077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53,747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43,334</w:t>
            </w: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Deferred contract acquisition costs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31,764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40,110</w:t>
            </w: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12,503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13,268</w:t>
            </w: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7,003</w:t>
            </w: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Goodwill and Intangible assets, net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1,830</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113,308</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106,129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r>
      <w:tr>
        <w:trPr>
          <w:trHeight w:val="27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444,413</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445,206</w:t>
            </w:r>
          </w:p>
        </w:tc>
      </w:tr>
      <w:tr>
        <w:trPr>
          <w:trHeight w:val="223"/>
        </w:trPr>
        <w:tc>
          <w:tcPr>
            <w:tcW w:w="868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non-controlling interest and shareholders’ equity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5,957</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42,235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53,414</w:t>
            </w: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112,722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108,097</w:t>
            </w:r>
          </w:p>
        </w:tc>
      </w:tr>
      <w:tr>
        <w:trPr>
          <w:trHeight w:val="237"/>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158,845</w:t>
            </w:r>
          </w:p>
        </w:tc>
        <w:tc>
          <w:tcPr>
            <w:tcW w:w="22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167,468</w:t>
            </w:r>
          </w:p>
        </w:tc>
        <w:tc>
          <w:tcPr>
            <w:tcW w:w="100" w:type="dxa"/>
            <w:vAlign w:val="bottom"/>
            <w:tcBorders>
              <w:top w:val="single" w:sz="8" w:color="CCEEFF"/>
            </w:tcBorders>
          </w:tcPr>
          <w:p>
            <w:pPr>
              <w:spacing w:after="0"/>
              <w:rPr>
                <w:sz w:val="20"/>
                <w:szCs w:val="20"/>
                <w:color w:val="auto"/>
              </w:rPr>
            </w:pPr>
          </w:p>
        </w:tc>
      </w:tr>
      <w:tr>
        <w:trPr>
          <w:trHeight w:val="230"/>
        </w:trPr>
        <w:tc>
          <w:tcPr>
            <w:tcW w:w="8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Long-term liabilities: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Deferred revenues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1,613</w:t>
            </w: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12,916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10,038</w:t>
            </w: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8,340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3,833</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181,549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182,952</w:t>
            </w:r>
          </w:p>
        </w:tc>
        <w:tc>
          <w:tcPr>
            <w:tcW w:w="100" w:type="dxa"/>
            <w:vAlign w:val="bottom"/>
          </w:tcPr>
          <w:p>
            <w:pPr>
              <w:spacing w:after="0"/>
              <w:rPr>
                <w:sz w:val="20"/>
                <w:szCs w:val="20"/>
                <w:color w:val="auto"/>
              </w:rPr>
            </w:pPr>
          </w:p>
        </w:tc>
      </w:tr>
      <w:tr>
        <w:trPr>
          <w:trHeight w:val="230"/>
        </w:trPr>
        <w:tc>
          <w:tcPr>
            <w:tcW w:w="8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Redeemable non-controlling interest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9,517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8,080</w:t>
            </w: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Share capital and additional paid-in capital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735,733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688,636</w:t>
            </w: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(1,817)</w:t>
            </w: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(479,454)</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(432,645)</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253,347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254,174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redeemable non-controlling interest and shareholders’ equity</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444,413</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445,206</w:t>
            </w:r>
          </w:p>
        </w:tc>
      </w:tr>
      <w:tr>
        <w:trPr>
          <w:trHeight w:val="405"/>
        </w:trPr>
        <w:tc>
          <w:tcPr>
            <w:tcW w:w="86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WalkMe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2"/>
                <w:szCs w:val="22"/>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(9,379)</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(26,118)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(47,006)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(87,022)</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w w:val="97"/>
              </w:rPr>
              <w:t>Adjustments to reconcile net loss to net cash provided by (used in) operating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activities: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13,089</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13,814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41,959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38,108</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Depreciation, amortization and impairment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2,690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4,583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and liabilities,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(577)</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Finance income</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(498)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553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w w:val="93"/>
              </w:rPr>
              <w:t>Amortization of premium and accretion of discount on marketable securities,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Decrease in trade receivables,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5,650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5,778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6,782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w w:val="90"/>
              </w:rPr>
              <w:t>Decrease (increase) in prepaid expenses and other current and non-current assets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371</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Decrease (increase) in deferred contract acquisition costs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(630)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8,115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trade payables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Decrease in accrued expenses and other current liabilities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(2,415)</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(3,046)</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(10,204)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deferred revenues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(3,894)</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(1,925)</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17,873</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Arial" w:cs="Arial" w:eastAsia="Arial" w:hAnsi="Arial"/>
                <w:sz w:val="18"/>
                <w:szCs w:val="18"/>
                <w:color w:val="auto"/>
              </w:rPr>
              <w:t>Increase in other long-term liabilities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921</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2,926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(635)</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Investment in short-term deposits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(97,000)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(140,500)</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short-term deposits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20,000</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93,500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92,257</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Investment in marketable securities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(19,521)</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(43,330)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maturity of marketable securities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14,881</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41,464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Proceeds from restricted deposits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of software development costs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(1,005)</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14,173</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(63,514)</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88,640</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(53,685)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Proceeds from exercise of options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475</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787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1,496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employees share purchase plan</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841</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8,223</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2,276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4,638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10,808</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w w:val="92"/>
              </w:rPr>
              <w:t>Effect of foreign currency exchange rate changes on cash, cash equivalents, and</w:t>
            </w:r>
          </w:p>
        </w:tc>
        <w:tc>
          <w:tcPr>
            <w:tcW w:w="24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(319)</w:t>
            </w:r>
          </w:p>
        </w:tc>
        <w:tc>
          <w:tcPr>
            <w:tcW w:w="24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(1,330)</w:t>
            </w:r>
          </w:p>
        </w:tc>
        <w:tc>
          <w:tcPr>
            <w:tcW w:w="2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22,547</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(71,254)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98,072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(82,031)</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169,953</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266,474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94,428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277,251</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192,500</w:t>
            </w:r>
          </w:p>
        </w:tc>
        <w:tc>
          <w:tcPr>
            <w:tcW w:w="26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195,220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192,500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195,220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5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WalkMe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GAAP to Non-GAAP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data;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60" w:type="dxa"/>
            <w:vAlign w:val="bottom"/>
            <w:gridSpan w:val="5"/>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9"/>
                <w:szCs w:val="19"/>
                <w:color w:val="auto"/>
              </w:rPr>
            </w:pPr>
          </w:p>
        </w:tc>
        <w:tc>
          <w:tcPr>
            <w:tcW w:w="2540" w:type="dxa"/>
            <w:vAlign w:val="bottom"/>
            <w:gridSpan w:val="5"/>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55"/>
        </w:trPr>
        <w:tc>
          <w:tcPr>
            <w:tcW w:w="5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60" w:type="dxa"/>
            <w:vAlign w:val="bottom"/>
            <w:gridSpan w:val="5"/>
          </w:tcPr>
          <w:p>
            <w:pPr>
              <w:jc w:val="right"/>
              <w:ind w:right="95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2"/>
                <w:szCs w:val="22"/>
                <w:color w:val="auto"/>
              </w:rPr>
            </w:pPr>
          </w:p>
        </w:tc>
        <w:tc>
          <w:tcPr>
            <w:tcW w:w="2540" w:type="dxa"/>
            <w:vAlign w:val="bottom"/>
            <w:gridSpan w:val="5"/>
          </w:tcPr>
          <w:p>
            <w:pPr>
              <w:jc w:val="right"/>
              <w:ind w:right="83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56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r>
      <w:tr>
        <w:trPr>
          <w:trHeight w:val="229"/>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gross profit and gross margin</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GAAP gross profit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56,674</w:t>
            </w:r>
          </w:p>
        </w:tc>
        <w:tc>
          <w:tcPr>
            <w:tcW w:w="30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50"/>
              <w:spacing w:after="0"/>
              <w:rPr>
                <w:sz w:val="20"/>
                <w:szCs w:val="20"/>
                <w:color w:val="auto"/>
              </w:rPr>
            </w:pPr>
            <w:r>
              <w:rPr>
                <w:rFonts w:ascii="Arial" w:cs="Arial" w:eastAsia="Arial" w:hAnsi="Arial"/>
                <w:sz w:val="18"/>
                <w:szCs w:val="18"/>
                <w:color w:val="auto"/>
              </w:rPr>
              <w:t>49,776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50"/>
              <w:spacing w:after="0"/>
              <w:rPr>
                <w:sz w:val="20"/>
                <w:szCs w:val="20"/>
                <w:color w:val="auto"/>
              </w:rPr>
            </w:pPr>
            <w:r>
              <w:rPr>
                <w:rFonts w:ascii="Arial" w:cs="Arial" w:eastAsia="Arial" w:hAnsi="Arial"/>
                <w:sz w:val="18"/>
                <w:szCs w:val="18"/>
                <w:color w:val="auto"/>
              </w:rPr>
              <w:t>164,677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138,708</w:t>
            </w:r>
          </w:p>
        </w:tc>
      </w:tr>
      <w:tr>
        <w:trPr>
          <w:trHeight w:val="23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Plus: Share-based compensation expense</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1,075</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2,061</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2,886</w:t>
            </w: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Plus: Amortization of acquired intangibles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5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1240" w:type="dxa"/>
            <w:vAlign w:val="bottom"/>
            <w:gridSpan w:val="2"/>
          </w:tcPr>
          <w:p>
            <w:pPr>
              <w:jc w:val="right"/>
              <w:ind w:right="25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9"/>
                <w:szCs w:val="19"/>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420</w:t>
            </w:r>
          </w:p>
        </w:tc>
      </w:tr>
      <w:tr>
        <w:trPr>
          <w:trHeight w:val="23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Plus: Restructuring expense</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263</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Non-GAAP gross profit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57,231</w:t>
            </w:r>
          </w:p>
        </w:tc>
        <w:tc>
          <w:tcPr>
            <w:tcW w:w="30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50"/>
              <w:spacing w:after="0"/>
              <w:rPr>
                <w:sz w:val="20"/>
                <w:szCs w:val="20"/>
                <w:color w:val="auto"/>
              </w:rPr>
            </w:pPr>
            <w:r>
              <w:rPr>
                <w:rFonts w:ascii="Arial" w:cs="Arial" w:eastAsia="Arial" w:hAnsi="Arial"/>
                <w:sz w:val="18"/>
                <w:szCs w:val="18"/>
                <w:color w:val="auto"/>
              </w:rPr>
              <w:t>50,919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50"/>
              <w:spacing w:after="0"/>
              <w:rPr>
                <w:sz w:val="20"/>
                <w:szCs w:val="20"/>
                <w:color w:val="auto"/>
              </w:rPr>
            </w:pPr>
            <w:r>
              <w:rPr>
                <w:rFonts w:ascii="Arial" w:cs="Arial" w:eastAsia="Arial" w:hAnsi="Arial"/>
                <w:sz w:val="18"/>
                <w:szCs w:val="18"/>
                <w:color w:val="auto"/>
              </w:rPr>
              <w:t>167,205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142,014</w:t>
            </w:r>
          </w:p>
        </w:tc>
      </w:tr>
      <w:tr>
        <w:trPr>
          <w:trHeight w:val="21"/>
        </w:trPr>
        <w:tc>
          <w:tcPr>
            <w:tcW w:w="5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GAAP gross margin</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Non-GAAP gross margin</w:t>
            </w:r>
          </w:p>
        </w:tc>
        <w:tc>
          <w:tcPr>
            <w:tcW w:w="180" w:type="dxa"/>
            <w:vAlign w:val="bottom"/>
          </w:tcPr>
          <w:p>
            <w:pPr>
              <w:spacing w:after="0"/>
              <w:rPr>
                <w:sz w:val="19"/>
                <w:szCs w:val="19"/>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9"/>
                <w:szCs w:val="19"/>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9"/>
                <w:szCs w:val="19"/>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5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b w:val="1"/>
                <w:bCs w:val="1"/>
                <w:color w:val="auto"/>
              </w:rPr>
              <w:t>Reconciliation of operating expenses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GAAP research and development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13,259</w:t>
            </w: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13,909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41,743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45,504</w:t>
            </w: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Less: Share-based compensation expenses</w:t>
            </w:r>
          </w:p>
        </w:tc>
        <w:tc>
          <w:tcPr>
            <w:tcW w:w="180" w:type="dxa"/>
            <w:vAlign w:val="bottom"/>
          </w:tcPr>
          <w:p>
            <w:pPr>
              <w:spacing w:after="0"/>
              <w:rPr>
                <w:sz w:val="19"/>
                <w:szCs w:val="19"/>
                <w:color w:val="auto"/>
              </w:rPr>
            </w:pP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(3,030)</w:t>
            </w:r>
          </w:p>
        </w:tc>
        <w:tc>
          <w:tcPr>
            <w:tcW w:w="180" w:type="dxa"/>
            <w:vAlign w:val="bottom"/>
          </w:tcPr>
          <w:p>
            <w:pPr>
              <w:spacing w:after="0"/>
              <w:rPr>
                <w:sz w:val="19"/>
                <w:szCs w:val="19"/>
                <w:color w:val="auto"/>
              </w:rPr>
            </w:pP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(1,756)</w:t>
            </w:r>
          </w:p>
        </w:tc>
        <w:tc>
          <w:tcPr>
            <w:tcW w:w="180" w:type="dxa"/>
            <w:vAlign w:val="bottom"/>
          </w:tcPr>
          <w:p>
            <w:pPr>
              <w:spacing w:after="0"/>
              <w:rPr>
                <w:sz w:val="19"/>
                <w:szCs w:val="19"/>
                <w:color w:val="auto"/>
              </w:rPr>
            </w:pP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(7,948)</w:t>
            </w:r>
          </w:p>
        </w:tc>
        <w:tc>
          <w:tcPr>
            <w:tcW w:w="180" w:type="dxa"/>
            <w:vAlign w:val="bottom"/>
          </w:tcPr>
          <w:p>
            <w:pPr>
              <w:spacing w:after="0"/>
              <w:rPr>
                <w:sz w:val="19"/>
                <w:szCs w:val="19"/>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(5,396)</w:t>
            </w:r>
          </w:p>
        </w:tc>
      </w:tr>
      <w:tr>
        <w:trPr>
          <w:trHeight w:val="23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Less: Restructuring expense</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Non-GAAP research and development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10,229</w:t>
            </w:r>
          </w:p>
        </w:tc>
        <w:tc>
          <w:tcPr>
            <w:tcW w:w="30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50"/>
              <w:spacing w:after="0"/>
              <w:rPr>
                <w:sz w:val="20"/>
                <w:szCs w:val="20"/>
                <w:color w:val="auto"/>
              </w:rPr>
            </w:pPr>
            <w:r>
              <w:rPr>
                <w:rFonts w:ascii="Arial" w:cs="Arial" w:eastAsia="Arial" w:hAnsi="Arial"/>
                <w:sz w:val="18"/>
                <w:szCs w:val="18"/>
                <w:color w:val="auto"/>
              </w:rPr>
              <w:t>12,153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50"/>
              <w:spacing w:after="0"/>
              <w:rPr>
                <w:sz w:val="20"/>
                <w:szCs w:val="20"/>
                <w:color w:val="auto"/>
              </w:rPr>
            </w:pPr>
            <w:r>
              <w:rPr>
                <w:rFonts w:ascii="Arial" w:cs="Arial" w:eastAsia="Arial" w:hAnsi="Arial"/>
                <w:sz w:val="18"/>
                <w:szCs w:val="18"/>
                <w:color w:val="auto"/>
              </w:rPr>
              <w:t>33,709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40,108</w:t>
            </w:r>
          </w:p>
        </w:tc>
      </w:tr>
      <w:tr>
        <w:trPr>
          <w:trHeight w:val="20"/>
        </w:trPr>
        <w:tc>
          <w:tcPr>
            <w:tcW w:w="5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5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spacing w:after="0"/>
              <w:rPr>
                <w:sz w:val="19"/>
                <w:szCs w:val="19"/>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GAAP sales and marketing</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39,118</w:t>
            </w:r>
          </w:p>
        </w:tc>
        <w:tc>
          <w:tcPr>
            <w:tcW w:w="30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50"/>
              <w:spacing w:after="0"/>
              <w:rPr>
                <w:sz w:val="20"/>
                <w:szCs w:val="20"/>
                <w:color w:val="auto"/>
              </w:rPr>
            </w:pPr>
            <w:r>
              <w:rPr>
                <w:rFonts w:ascii="Arial" w:cs="Arial" w:eastAsia="Arial" w:hAnsi="Arial"/>
                <w:sz w:val="18"/>
                <w:szCs w:val="18"/>
                <w:color w:val="auto"/>
              </w:rPr>
              <w:t>45,801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50"/>
              <w:spacing w:after="0"/>
              <w:rPr>
                <w:sz w:val="20"/>
                <w:szCs w:val="20"/>
                <w:color w:val="auto"/>
              </w:rPr>
            </w:pPr>
            <w:r>
              <w:rPr>
                <w:rFonts w:ascii="Arial" w:cs="Arial" w:eastAsia="Arial" w:hAnsi="Arial"/>
                <w:sz w:val="18"/>
                <w:szCs w:val="18"/>
                <w:color w:val="auto"/>
              </w:rPr>
              <w:t>123,035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130,993</w:t>
            </w:r>
          </w:p>
        </w:tc>
      </w:tr>
      <w:tr>
        <w:trPr>
          <w:trHeight w:val="23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Less: Share-based compensation expenses</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(4,578)</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(5,478)</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(13,133)</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(13,935)</w:t>
            </w:r>
          </w:p>
        </w:tc>
      </w:tr>
      <w:tr>
        <w:trPr>
          <w:trHeight w:val="236"/>
        </w:trPr>
        <w:tc>
          <w:tcPr>
            <w:tcW w:w="5680" w:type="dxa"/>
            <w:vAlign w:val="bottom"/>
          </w:tcPr>
          <w:p>
            <w:pPr>
              <w:spacing w:after="0"/>
              <w:rPr>
                <w:sz w:val="20"/>
                <w:szCs w:val="20"/>
                <w:color w:val="auto"/>
              </w:rPr>
            </w:pPr>
            <w:r>
              <w:rPr>
                <w:rFonts w:ascii="Arial" w:cs="Arial" w:eastAsia="Arial" w:hAnsi="Arial"/>
                <w:sz w:val="18"/>
                <w:szCs w:val="18"/>
                <w:color w:val="auto"/>
              </w:rPr>
              <w:t>Less: Restructuring expense</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(964)</w:t>
            </w:r>
          </w:p>
        </w:tc>
        <w:tc>
          <w:tcPr>
            <w:tcW w:w="180" w:type="dxa"/>
            <w:vAlign w:val="bottom"/>
          </w:tcPr>
          <w:p>
            <w:pPr>
              <w:spacing w:after="0"/>
              <w:rPr>
                <w:sz w:val="20"/>
                <w:szCs w:val="20"/>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r>
        <w:trPr>
          <w:trHeight w:val="270"/>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sales and marketing</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34,540</w:t>
            </w:r>
          </w:p>
        </w:tc>
        <w:tc>
          <w:tcPr>
            <w:tcW w:w="300" w:type="dxa"/>
            <w:vAlign w:val="bottom"/>
            <w:tcBorders>
              <w:bottom w:val="single" w:sz="8" w:color="CCEEFF"/>
              <w:right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40,323</w:t>
            </w: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108,938</w:t>
            </w:r>
          </w:p>
        </w:tc>
        <w:tc>
          <w:tcPr>
            <w:tcW w:w="340" w:type="dxa"/>
            <w:vAlign w:val="bottom"/>
            <w:tcBorders>
              <w:bottom w:val="single" w:sz="8" w:color="CCEEFF"/>
              <w:right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117,058</w:t>
            </w:r>
          </w:p>
        </w:tc>
        <w:tc>
          <w:tcPr>
            <w:tcW w:w="220" w:type="dxa"/>
            <w:vAlign w:val="bottom"/>
            <w:tcBorders>
              <w:bottom w:val="single" w:sz="8" w:color="CCEEFF"/>
            </w:tcBorders>
            <w:shd w:val="clear" w:color="auto" w:fill="CCEEFF"/>
          </w:tcPr>
          <w:p>
            <w:pPr>
              <w:spacing w:after="0"/>
              <w:rPr>
                <w:sz w:val="23"/>
                <w:szCs w:val="23"/>
                <w:color w:val="auto"/>
              </w:rPr>
            </w:pPr>
          </w:p>
        </w:tc>
      </w:tr>
      <w:tr>
        <w:trPr>
          <w:trHeight w:val="223"/>
        </w:trPr>
        <w:tc>
          <w:tcPr>
            <w:tcW w:w="5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r>
      <w:tr>
        <w:trPr>
          <w:trHeight w:val="23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GAAP general and administrative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15,865</w:t>
            </w: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16,483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53,086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49,501</w:t>
            </w: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Less: Share-based compensation expenses</w:t>
            </w:r>
          </w:p>
        </w:tc>
        <w:tc>
          <w:tcPr>
            <w:tcW w:w="180" w:type="dxa"/>
            <w:vAlign w:val="bottom"/>
          </w:tcPr>
          <w:p>
            <w:pPr>
              <w:spacing w:after="0"/>
              <w:rPr>
                <w:sz w:val="19"/>
                <w:szCs w:val="19"/>
                <w:color w:val="auto"/>
              </w:rPr>
            </w:pP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(4,992)</w:t>
            </w:r>
          </w:p>
        </w:tc>
        <w:tc>
          <w:tcPr>
            <w:tcW w:w="180" w:type="dxa"/>
            <w:vAlign w:val="bottom"/>
          </w:tcPr>
          <w:p>
            <w:pPr>
              <w:spacing w:after="0"/>
              <w:rPr>
                <w:sz w:val="19"/>
                <w:szCs w:val="19"/>
                <w:color w:val="auto"/>
              </w:rPr>
            </w:pP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(5,505)</w:t>
            </w:r>
          </w:p>
        </w:tc>
        <w:tc>
          <w:tcPr>
            <w:tcW w:w="180" w:type="dxa"/>
            <w:vAlign w:val="bottom"/>
          </w:tcPr>
          <w:p>
            <w:pPr>
              <w:spacing w:after="0"/>
              <w:rPr>
                <w:sz w:val="19"/>
                <w:szCs w:val="19"/>
                <w:color w:val="auto"/>
              </w:rPr>
            </w:pP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(18,817)</w:t>
            </w:r>
          </w:p>
        </w:tc>
        <w:tc>
          <w:tcPr>
            <w:tcW w:w="180" w:type="dxa"/>
            <w:vAlign w:val="bottom"/>
          </w:tcPr>
          <w:p>
            <w:pPr>
              <w:spacing w:after="0"/>
              <w:rPr>
                <w:sz w:val="19"/>
                <w:szCs w:val="19"/>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(15,891)</w:t>
            </w:r>
          </w:p>
        </w:tc>
      </w:tr>
      <w:tr>
        <w:trPr>
          <w:trHeight w:val="23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Less: impairment of acquired intangibles</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(979)</w:t>
            </w: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Less: Restructuring expense</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20"/>
                <w:szCs w:val="20"/>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r>
        <w:trPr>
          <w:trHeight w:val="27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Non-GAAP general and administrative</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10,873</w:t>
            </w:r>
          </w:p>
        </w:tc>
        <w:tc>
          <w:tcPr>
            <w:tcW w:w="300" w:type="dxa"/>
            <w:vAlign w:val="bottom"/>
            <w:tcBorders>
              <w:right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10,978</w:t>
            </w:r>
          </w:p>
        </w:tc>
        <w:tc>
          <w:tcPr>
            <w:tcW w:w="340" w:type="dxa"/>
            <w:vAlign w:val="bottom"/>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34,109</w:t>
            </w:r>
          </w:p>
        </w:tc>
        <w:tc>
          <w:tcPr>
            <w:tcW w:w="340" w:type="dxa"/>
            <w:vAlign w:val="bottom"/>
            <w:tcBorders>
              <w:right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32,631</w:t>
            </w:r>
          </w:p>
        </w:tc>
        <w:tc>
          <w:tcPr>
            <w:tcW w:w="220" w:type="dxa"/>
            <w:vAlign w:val="bottom"/>
            <w:shd w:val="clear" w:color="auto" w:fill="CCEEFF"/>
          </w:tcPr>
          <w:p>
            <w:pPr>
              <w:spacing w:after="0"/>
              <w:rPr>
                <w:sz w:val="23"/>
                <w:szCs w:val="23"/>
                <w:color w:val="auto"/>
              </w:rPr>
            </w:pPr>
          </w:p>
        </w:tc>
      </w:tr>
      <w:tr>
        <w:trPr>
          <w:trHeight w:val="223"/>
        </w:trPr>
        <w:tc>
          <w:tcPr>
            <w:tcW w:w="568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29"/>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operating loss and operating margin</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GAAP operating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(11,568)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(26,417)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(53,187)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(87,290)</w:t>
            </w:r>
          </w:p>
        </w:tc>
      </w:tr>
      <w:tr>
        <w:trPr>
          <w:trHeight w:val="23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Plus: Share-based compensation expense</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13,089</w:t>
            </w: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13,814</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41,959</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38,108</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Plus: Amortization and impairment of acquired intangibles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5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1240" w:type="dxa"/>
            <w:vAlign w:val="bottom"/>
            <w:gridSpan w:val="2"/>
          </w:tcPr>
          <w:p>
            <w:pPr>
              <w:jc w:val="right"/>
              <w:ind w:right="25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9"/>
                <w:szCs w:val="19"/>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1,399</w:t>
            </w:r>
          </w:p>
        </w:tc>
      </w:tr>
      <w:tr>
        <w:trPr>
          <w:trHeight w:val="23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Plus: Restructuring expense</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1,473</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Non-GAAP operating income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1,589</w:t>
            </w:r>
          </w:p>
        </w:tc>
        <w:tc>
          <w:tcPr>
            <w:tcW w:w="30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(12,535)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(9,551)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(47,783)</w:t>
            </w:r>
          </w:p>
        </w:tc>
      </w:tr>
      <w:tr>
        <w:trPr>
          <w:trHeight w:val="20"/>
        </w:trPr>
        <w:tc>
          <w:tcPr>
            <w:tcW w:w="5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margin</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Non-GAAP operating margin</w:t>
            </w:r>
          </w:p>
        </w:tc>
        <w:tc>
          <w:tcPr>
            <w:tcW w:w="180" w:type="dxa"/>
            <w:vAlign w:val="bottom"/>
          </w:tcPr>
          <w:p>
            <w:pPr>
              <w:spacing w:after="0"/>
              <w:rPr>
                <w:sz w:val="19"/>
                <w:szCs w:val="19"/>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5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b w:val="1"/>
                <w:bCs w:val="1"/>
                <w:color w:val="auto"/>
              </w:rPr>
              <w:t>Reconciliation of net loss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GAAP net loss attributable to WalkMe Ltd.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(8,762)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(23,090)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(48,489)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(74,013)</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Plus: Share-based compensation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13,089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50"/>
              <w:spacing w:after="0"/>
              <w:rPr>
                <w:sz w:val="20"/>
                <w:szCs w:val="20"/>
                <w:color w:val="auto"/>
              </w:rPr>
            </w:pPr>
            <w:r>
              <w:rPr>
                <w:rFonts w:ascii="Arial" w:cs="Arial" w:eastAsia="Arial" w:hAnsi="Arial"/>
                <w:sz w:val="18"/>
                <w:szCs w:val="18"/>
                <w:color w:val="auto"/>
              </w:rPr>
              <w:t>13,814</w:t>
            </w:r>
          </w:p>
        </w:tc>
        <w:tc>
          <w:tcPr>
            <w:tcW w:w="180" w:type="dxa"/>
            <w:vAlign w:val="bottom"/>
          </w:tcPr>
          <w:p>
            <w:pPr>
              <w:spacing w:after="0"/>
              <w:rPr>
                <w:sz w:val="19"/>
                <w:szCs w:val="19"/>
                <w:color w:val="auto"/>
              </w:rPr>
            </w:pPr>
          </w:p>
        </w:tc>
        <w:tc>
          <w:tcPr>
            <w:tcW w:w="1240" w:type="dxa"/>
            <w:vAlign w:val="bottom"/>
            <w:gridSpan w:val="2"/>
          </w:tcPr>
          <w:p>
            <w:pPr>
              <w:jc w:val="right"/>
              <w:ind w:right="250"/>
              <w:spacing w:after="0"/>
              <w:rPr>
                <w:sz w:val="20"/>
                <w:szCs w:val="20"/>
                <w:color w:val="auto"/>
              </w:rPr>
            </w:pPr>
            <w:r>
              <w:rPr>
                <w:rFonts w:ascii="Arial" w:cs="Arial" w:eastAsia="Arial" w:hAnsi="Arial"/>
                <w:sz w:val="18"/>
                <w:szCs w:val="18"/>
                <w:color w:val="auto"/>
              </w:rPr>
              <w:t>41,959</w:t>
            </w:r>
          </w:p>
        </w:tc>
        <w:tc>
          <w:tcPr>
            <w:tcW w:w="180" w:type="dxa"/>
            <w:vAlign w:val="bottom"/>
          </w:tcPr>
          <w:p>
            <w:pPr>
              <w:spacing w:after="0"/>
              <w:rPr>
                <w:sz w:val="19"/>
                <w:szCs w:val="19"/>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38,108</w:t>
            </w:r>
          </w:p>
        </w:tc>
      </w:tr>
      <w:tr>
        <w:trPr>
          <w:trHeight w:val="23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Plus: Amortization and impairment of acquired intangibles</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1,399</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Plus: Restructuring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250"/>
              <w:spacing w:after="0"/>
              <w:rPr>
                <w:sz w:val="20"/>
                <w:szCs w:val="20"/>
                <w:color w:val="auto"/>
              </w:rPr>
            </w:pPr>
            <w:r>
              <w:rPr>
                <w:rFonts w:ascii="Arial" w:cs="Arial" w:eastAsia="Arial" w:hAnsi="Arial"/>
                <w:sz w:val="18"/>
                <w:szCs w:val="18"/>
                <w:color w:val="auto"/>
              </w:rPr>
              <w:t>1,473</w:t>
            </w:r>
          </w:p>
        </w:tc>
        <w:tc>
          <w:tcPr>
            <w:tcW w:w="180" w:type="dxa"/>
            <w:vAlign w:val="bottom"/>
          </w:tcPr>
          <w:p>
            <w:pPr>
              <w:spacing w:after="0"/>
              <w:rPr>
                <w:sz w:val="19"/>
                <w:szCs w:val="19"/>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Plus: Adjustment attributable to non-controlling interest</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(567)</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(3,010)</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1,680</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(12,642)</w:t>
            </w:r>
          </w:p>
        </w:tc>
      </w:tr>
      <w:tr>
        <w:trPr>
          <w:trHeight w:val="27"/>
        </w:trPr>
        <w:tc>
          <w:tcPr>
            <w:tcW w:w="5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Non-GAAP net income (loss) attributable to WalkMe Ltd.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3,828</w:t>
            </w:r>
          </w:p>
        </w:tc>
        <w:tc>
          <w:tcPr>
            <w:tcW w:w="30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(12,218)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(3,173)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(47,148)</w:t>
            </w:r>
          </w:p>
        </w:tc>
      </w:tr>
      <w:tr>
        <w:trPr>
          <w:trHeight w:val="20"/>
        </w:trPr>
        <w:tc>
          <w:tcPr>
            <w:tcW w:w="5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5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Non-GAAP net income (loss) per share attributable to WalkMe Ltd.</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5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(0.56)</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0.04</w:t>
            </w:r>
          </w:p>
        </w:tc>
        <w:tc>
          <w:tcPr>
            <w:tcW w:w="30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(0.14)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(0.04)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(0.56)</w:t>
            </w:r>
          </w:p>
        </w:tc>
      </w:tr>
      <w:tr>
        <w:trPr>
          <w:trHeight w:val="21"/>
        </w:trPr>
        <w:tc>
          <w:tcPr>
            <w:tcW w:w="5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5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Shares used in non-GAAP per share calculations: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5"/>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3"/>
              </w:rPr>
              <w:t>Non-GAAP weighted-average shares used to compute net income (loss) per</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18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4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89,374,207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50"/>
              <w:spacing w:after="0"/>
              <w:rPr>
                <w:sz w:val="20"/>
                <w:szCs w:val="20"/>
                <w:color w:val="auto"/>
              </w:rPr>
            </w:pPr>
            <w:r>
              <w:rPr>
                <w:rFonts w:ascii="Arial" w:cs="Arial" w:eastAsia="Arial" w:hAnsi="Arial"/>
                <w:sz w:val="18"/>
                <w:szCs w:val="18"/>
                <w:color w:val="auto"/>
                <w:w w:val="97"/>
              </w:rPr>
              <w:t>85,508,974</w:t>
            </w:r>
          </w:p>
        </w:tc>
        <w:tc>
          <w:tcPr>
            <w:tcW w:w="180" w:type="dxa"/>
            <w:vAlign w:val="bottom"/>
          </w:tcPr>
          <w:p>
            <w:pPr>
              <w:spacing w:after="0"/>
              <w:rPr>
                <w:sz w:val="19"/>
                <w:szCs w:val="19"/>
                <w:color w:val="auto"/>
              </w:rPr>
            </w:pPr>
          </w:p>
        </w:tc>
        <w:tc>
          <w:tcPr>
            <w:tcW w:w="1240" w:type="dxa"/>
            <w:vAlign w:val="bottom"/>
            <w:gridSpan w:val="2"/>
          </w:tcPr>
          <w:p>
            <w:pPr>
              <w:jc w:val="right"/>
              <w:ind w:right="250"/>
              <w:spacing w:after="0"/>
              <w:rPr>
                <w:sz w:val="20"/>
                <w:szCs w:val="20"/>
                <w:color w:val="auto"/>
              </w:rPr>
            </w:pPr>
            <w:r>
              <w:rPr>
                <w:rFonts w:ascii="Arial" w:cs="Arial" w:eastAsia="Arial" w:hAnsi="Arial"/>
                <w:sz w:val="18"/>
                <w:szCs w:val="18"/>
                <w:color w:val="auto"/>
                <w:w w:val="97"/>
              </w:rPr>
              <w:t>88,429,867</w:t>
            </w:r>
          </w:p>
        </w:tc>
        <w:tc>
          <w:tcPr>
            <w:tcW w:w="180" w:type="dxa"/>
            <w:vAlign w:val="bottom"/>
          </w:tcPr>
          <w:p>
            <w:pPr>
              <w:spacing w:after="0"/>
              <w:rPr>
                <w:sz w:val="19"/>
                <w:szCs w:val="19"/>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w w:val="97"/>
              </w:rPr>
              <w:t>84,739,275</w:t>
            </w:r>
          </w:p>
        </w:tc>
      </w:tr>
      <w:tr>
        <w:trPr>
          <w:trHeight w:val="23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92,730,007</w:t>
            </w: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7"/>
              </w:rPr>
              <w:t>85,508,974</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7"/>
              </w:rPr>
              <w:t>88,429,867</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7"/>
              </w:rPr>
              <w:t>84,739,275</w:t>
            </w:r>
          </w:p>
        </w:tc>
      </w:tr>
      <w:tr>
        <w:trPr>
          <w:trHeight w:val="412"/>
        </w:trPr>
        <w:tc>
          <w:tcPr>
            <w:tcW w:w="5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WalkMe Ltd.</w:t>
      </w:r>
    </w:p>
    <w:p>
      <w:pPr>
        <w:spacing w:after="0" w:line="27" w:lineRule="exact"/>
        <w:rPr>
          <w:sz w:val="20"/>
          <w:szCs w:val="20"/>
          <w:color w:val="auto"/>
        </w:rPr>
      </w:pPr>
    </w:p>
    <w:p>
      <w:pPr>
        <w:ind w:right="5060"/>
        <w:spacing w:after="0" w:line="292" w:lineRule="auto"/>
        <w:rPr>
          <w:sz w:val="20"/>
          <w:szCs w:val="20"/>
          <w:color w:val="auto"/>
        </w:rPr>
      </w:pPr>
      <w:r>
        <w:rPr>
          <w:rFonts w:ascii="Arial" w:cs="Arial" w:eastAsia="Arial" w:hAnsi="Arial"/>
          <w:sz w:val="18"/>
          <w:szCs w:val="18"/>
          <w:b w:val="1"/>
          <w:bCs w:val="1"/>
          <w:color w:val="auto"/>
        </w:rPr>
        <w:t>Reconciliation of GAAP Cash Flow from Operating Activities to Free Cash Flow (in thousands; 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55"/>
        </w:trPr>
        <w:tc>
          <w:tcPr>
            <w:tcW w:w="5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2"/>
                <w:szCs w:val="22"/>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(38,009)</w:t>
            </w:r>
          </w:p>
        </w:tc>
        <w:tc>
          <w:tcPr>
            <w:tcW w:w="100" w:type="dxa"/>
            <w:vAlign w:val="bottom"/>
            <w:shd w:val="clear" w:color="auto" w:fill="CCEEFF"/>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Less: Purchases of property and equipment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(635)</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(511)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(2,673)</w:t>
            </w: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 Capitalized software development costs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(1,005)</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(3,064)</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6,235</w:t>
            </w:r>
          </w:p>
        </w:tc>
        <w:tc>
          <w:tcPr>
            <w:tcW w:w="26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(11,211)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(43,746)</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5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3"/>
        </w:trPr>
        <w:tc>
          <w:tcPr>
            <w:tcW w:w="5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3"/>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2023-11-14T06:15:53Z</dcterms:created>
  <dcterms:modified xsi:type="dcterms:W3CDTF">2023-11-14T06:15:53Z</dcterms:modified>
</cp:coreProperties>
</file>