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157480</wp:posOffset>
            </wp:positionV>
            <wp:extent cx="7132320" cy="342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277495</wp:posOffset>
            </wp:positionV>
            <wp:extent cx="71323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FORM 15</w:t>
      </w: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2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CERTIFICATION AND NOTICE OF TERMINATION OF REGISTRATION UNDER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2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SECTION 12(g) OF THE SECURITIES EXCHANGE ACT OF 1934 OR SUSPENSION OF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22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DUTY TO FILE REPORTS UNDER SECTIONS 13 AND 15(d) OF THE SECURITIES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EXCHANGE ACT OF 1934.</w:t>
      </w: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Commission File Number: 001-40490</w:t>
      </w: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WalkMe Ltd.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(Exact name of registrant as specified in its charter)</w:t>
      </w: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1 Walter Moses St.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Tel Aviv 6789903, Israel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+972 (3) 763-0333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(Address, including zip code, and telephone number, including area code, of registrant’s principal executive offices)</w:t>
      </w: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Ordinary shares, no par value per share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(Title of each class of securities covered by this Form)</w:t>
      </w: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None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(Titles of all other classes of securities for which a duty to file reports under Section 13(a) or 15(d) remains)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Please place an X in the box(es) to designate the appropriate rule provision(s) relied upon to terminate or suspend the duty to file reports: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8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Rule 12g-4(a)(1)</w:t>
            </w:r>
          </w:p>
        </w:tc>
        <w:tc>
          <w:tcPr>
            <w:tcW w:w="3200" w:type="dxa"/>
            <w:vAlign w:val="bottom"/>
          </w:tcPr>
          <w:p>
            <w:pPr>
              <w:ind w:left="272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MS PGothic" w:cs="MS PGothic" w:eastAsia="MS PGothic" w:hAnsi="MS PGothic"/>
                <w:sz w:val="18"/>
                <w:szCs w:val="18"/>
                <w:color w:val="auto"/>
              </w:rPr>
              <w:t>☒</w:t>
            </w:r>
          </w:p>
        </w:tc>
      </w:tr>
      <w:tr>
        <w:trPr>
          <w:trHeight w:val="230"/>
        </w:trPr>
        <w:tc>
          <w:tcPr>
            <w:tcW w:w="8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Rule 12g-4(a)(2)</w:t>
            </w:r>
          </w:p>
        </w:tc>
        <w:tc>
          <w:tcPr>
            <w:tcW w:w="3200" w:type="dxa"/>
            <w:vAlign w:val="bottom"/>
          </w:tcPr>
          <w:p>
            <w:pPr>
              <w:ind w:left="272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MS PGothic" w:cs="MS PGothic" w:eastAsia="MS PGothic" w:hAnsi="MS PGothic"/>
                <w:sz w:val="18"/>
                <w:szCs w:val="18"/>
                <w:color w:val="auto"/>
              </w:rPr>
              <w:t>☐</w:t>
            </w:r>
          </w:p>
        </w:tc>
      </w:tr>
      <w:tr>
        <w:trPr>
          <w:trHeight w:val="229"/>
        </w:trPr>
        <w:tc>
          <w:tcPr>
            <w:tcW w:w="8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Rule 12h-3(b)(1)(i)</w:t>
            </w:r>
          </w:p>
        </w:tc>
        <w:tc>
          <w:tcPr>
            <w:tcW w:w="3200" w:type="dxa"/>
            <w:vAlign w:val="bottom"/>
          </w:tcPr>
          <w:p>
            <w:pPr>
              <w:ind w:left="272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MS PGothic" w:cs="MS PGothic" w:eastAsia="MS PGothic" w:hAnsi="MS PGothic"/>
                <w:sz w:val="18"/>
                <w:szCs w:val="18"/>
                <w:color w:val="auto"/>
              </w:rPr>
              <w:t>☒</w:t>
            </w:r>
          </w:p>
        </w:tc>
      </w:tr>
      <w:tr>
        <w:trPr>
          <w:trHeight w:val="230"/>
        </w:trPr>
        <w:tc>
          <w:tcPr>
            <w:tcW w:w="8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Rule 12h-3(b)(1)(ii)</w:t>
            </w:r>
          </w:p>
        </w:tc>
        <w:tc>
          <w:tcPr>
            <w:tcW w:w="3200" w:type="dxa"/>
            <w:vAlign w:val="bottom"/>
          </w:tcPr>
          <w:p>
            <w:pPr>
              <w:ind w:left="272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MS PGothic" w:cs="MS PGothic" w:eastAsia="MS PGothic" w:hAnsi="MS PGothic"/>
                <w:sz w:val="18"/>
                <w:szCs w:val="18"/>
                <w:color w:val="auto"/>
              </w:rPr>
              <w:t>☐</w:t>
            </w:r>
          </w:p>
        </w:tc>
      </w:tr>
      <w:tr>
        <w:trPr>
          <w:trHeight w:val="230"/>
        </w:trPr>
        <w:tc>
          <w:tcPr>
            <w:tcW w:w="8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Rule 15d-6</w:t>
            </w:r>
          </w:p>
        </w:tc>
        <w:tc>
          <w:tcPr>
            <w:tcW w:w="3200" w:type="dxa"/>
            <w:vAlign w:val="bottom"/>
          </w:tcPr>
          <w:p>
            <w:pPr>
              <w:ind w:left="272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MS PGothic" w:cs="MS PGothic" w:eastAsia="MS PGothic" w:hAnsi="MS PGothic"/>
                <w:sz w:val="18"/>
                <w:szCs w:val="18"/>
                <w:color w:val="auto"/>
              </w:rPr>
              <w:t>☐</w:t>
            </w:r>
          </w:p>
        </w:tc>
      </w:tr>
      <w:tr>
        <w:trPr>
          <w:trHeight w:val="303"/>
        </w:trPr>
        <w:tc>
          <w:tcPr>
            <w:tcW w:w="8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Rule 15d-22(b)</w:t>
            </w:r>
          </w:p>
        </w:tc>
        <w:tc>
          <w:tcPr>
            <w:tcW w:w="3200" w:type="dxa"/>
            <w:vAlign w:val="bottom"/>
          </w:tcPr>
          <w:p>
            <w:pPr>
              <w:ind w:left="272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MS PGothic" w:cs="MS PGothic" w:eastAsia="MS PGothic" w:hAnsi="MS PGothic"/>
                <w:sz w:val="18"/>
                <w:szCs w:val="18"/>
                <w:color w:val="auto"/>
              </w:rPr>
              <w:t>☐</w:t>
            </w:r>
          </w:p>
        </w:tc>
      </w:tr>
      <w:tr>
        <w:trPr>
          <w:trHeight w:val="451"/>
        </w:trPr>
        <w:tc>
          <w:tcPr>
            <w:tcW w:w="8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Approximate number of holders of record as of the certification or notice date:</w:t>
            </w:r>
          </w:p>
        </w:tc>
        <w:tc>
          <w:tcPr>
            <w:tcW w:w="3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One (1)*</w:t>
            </w:r>
          </w:p>
        </w:tc>
      </w:tr>
    </w:tbl>
    <w:p>
      <w:pPr>
        <w:spacing w:after="0" w:line="211" w:lineRule="exact"/>
        <w:rPr>
          <w:sz w:val="24"/>
          <w:szCs w:val="24"/>
          <w:color w:val="auto"/>
        </w:rPr>
      </w:pPr>
    </w:p>
    <w:p>
      <w:pPr>
        <w:jc w:val="both"/>
        <w:ind w:firstLine="8"/>
        <w:spacing w:after="0" w:line="270" w:lineRule="auto"/>
        <w:tabs>
          <w:tab w:leader="none" w:pos="14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On September 12, 2024, pursuant to the terms of that certain Agreement and Plan of Merger, dated as of June 4, 2024, by and among WalkMe Ltd., a company organized under the laws of the State of Israel (the “</w:t>
      </w: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auto"/>
        </w:rPr>
        <w:t>Company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”), SAP SE, a European stock corporation (</w:t>
      </w: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auto"/>
        </w:rPr>
        <w:t>Societas Europaea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) under the laws of Germany and the European Union (“</w:t>
      </w: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auto"/>
        </w:rPr>
        <w:t>Parent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”), and Hummingbird Acquisition Corp Ltd., a company organized under the laws of the State of Israel and a wholly owned subsidiary of Parent (“</w:t>
      </w: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auto"/>
        </w:rPr>
        <w:t>Merger Sub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”), Merger Sub was merged with and into the Company, with the Company surviving the merger and becoming a wholly owned subsidiary of Parent (the “</w:t>
      </w: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auto"/>
        </w:rPr>
        <w:t>Merger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104140</wp:posOffset>
            </wp:positionV>
            <wp:extent cx="7132320" cy="17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40"/>
          </w:cols>
          <w:pgMar w:left="320" w:top="745" w:right="339" w:bottom="1440" w:gutter="0" w:footer="0" w:header="0"/>
        </w:sectPr>
      </w:pPr>
    </w:p>
    <w:bookmarkStart w:id="1" w:name="page2"/>
    <w:bookmarkEnd w:id="1"/>
    <w:p>
      <w:pPr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requirements of the Securities Exchange Act of 1934, WalkMe Ltd. has caused this certification/notice to be signed on its behalf by the undersigned duly authorized person.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33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Date: September 23, 2024</w:t>
            </w:r>
          </w:p>
        </w:tc>
        <w:tc>
          <w:tcPr>
            <w:tcW w:w="7860" w:type="dxa"/>
            <w:vAlign w:val="bottom"/>
            <w:gridSpan w:val="3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By:  /s/ Dan Adika</w:t>
            </w:r>
          </w:p>
        </w:tc>
      </w:tr>
      <w:tr>
        <w:trPr>
          <w:trHeight w:val="20"/>
        </w:trPr>
        <w:tc>
          <w:tcPr>
            <w:tcW w:w="3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3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Name: Dan Adika</w:t>
            </w:r>
          </w:p>
        </w:tc>
      </w:tr>
      <w:tr>
        <w:trPr>
          <w:trHeight w:val="234"/>
        </w:trPr>
        <w:tc>
          <w:tcPr>
            <w:tcW w:w="3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Title:  Chief Executive Officer</w:t>
            </w:r>
          </w:p>
        </w:tc>
      </w:tr>
      <w:tr>
        <w:trPr>
          <w:trHeight w:val="324"/>
        </w:trPr>
        <w:tc>
          <w:tcPr>
            <w:tcW w:w="3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3"/>
        </w:trPr>
        <w:tc>
          <w:tcPr>
            <w:tcW w:w="3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240"/>
      </w:cols>
      <w:pgMar w:left="320" w:top="351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2024-09-23T05:15:12Z</dcterms:created>
  <dcterms:modified xsi:type="dcterms:W3CDTF">2024-09-23T05:15:12Z</dcterms:modified>
</cp:coreProperties>
</file>