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 filed with the Securities and Exchange Commission on September 12, 2024</w:t>
      </w:r>
    </w:p>
    <w:p>
      <w:pPr>
        <w:spacing w:after="0" w:line="239"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Registration No. 333-257354</w:t>
      </w:r>
    </w:p>
    <w:p>
      <w:pPr>
        <w:spacing w:after="0" w:line="31"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Registration No. 333-263823</w:t>
      </w:r>
    </w:p>
    <w:p>
      <w:pPr>
        <w:spacing w:after="0" w:line="23"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Registration No. 333-270537</w:t>
      </w:r>
    </w:p>
    <w:p>
      <w:pPr>
        <w:spacing w:after="0" w:line="9"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Registration No. 333-278034</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333-257354</w:t>
      </w:r>
    </w:p>
    <w:p>
      <w:pPr>
        <w:spacing w:after="0" w:line="2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333-263823</w:t>
      </w:r>
    </w:p>
    <w:p>
      <w:pPr>
        <w:spacing w:after="0" w:line="2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333-270537</w:t>
      </w:r>
    </w:p>
    <w:p>
      <w:pPr>
        <w:spacing w:after="0" w:line="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333-278034</w:t>
      </w:r>
    </w:p>
    <w:p>
      <w:pPr>
        <w:spacing w:after="0" w:line="2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WalkMe Ltd.</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3" w:lineRule="exact"/>
        <w:rPr>
          <w:sz w:val="24"/>
          <w:szCs w:val="24"/>
          <w:color w:val="auto"/>
        </w:rPr>
      </w:pPr>
    </w:p>
    <w:tbl>
      <w:tblPr>
        <w:tblLayout w:type="fixed"/>
        <w:tblInd w:w="1740" w:type="dxa"/>
        <w:tblCellMar>
          <w:top w:w="0" w:type="dxa"/>
          <w:left w:w="0" w:type="dxa"/>
          <w:bottom w:w="0" w:type="dxa"/>
          <w:right w:w="0" w:type="dxa"/>
        </w:tblCellMar>
      </w:tblPr>
      <w:tr>
        <w:trPr>
          <w:trHeight w:val="233"/>
        </w:trPr>
        <w:tc>
          <w:tcPr>
            <w:tcW w:w="400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rPr>
              <w:t>State of Israel</w:t>
            </w:r>
          </w:p>
        </w:tc>
        <w:tc>
          <w:tcPr>
            <w:tcW w:w="352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30"/>
        </w:trPr>
        <w:tc>
          <w:tcPr>
            <w:tcW w:w="400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0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 Walter Moses St.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Tel Aviv 6789903, Israel</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+972 (3) 763-0333</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3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WalkMe Ltd. Restated 2012 Share Option Plan</w:t>
      </w:r>
    </w:p>
    <w:p>
      <w:pPr>
        <w:spacing w:after="0" w:line="3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WalkMe Ltd. 2021 Share Incentive Plan</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WalkMe Ltd. 2021 Employee Share Purchase Plan</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30"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WalkMe, Inc.</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71 Stevenson Street, Floor 20</w:t>
      </w:r>
    </w:p>
    <w:p>
      <w:pPr>
        <w:spacing w:after="0" w:line="2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San Francisco, CA 94105</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(855) 492-5563</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30" w:lineRule="exact"/>
        <w:rPr>
          <w:sz w:val="24"/>
          <w:szCs w:val="24"/>
          <w:color w:val="auto"/>
        </w:rPr>
      </w:pPr>
    </w:p>
    <w:tbl>
      <w:tblPr>
        <w:tblLayout w:type="fixed"/>
        <w:tblInd w:w="168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4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37"/>
        </w:trPr>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Tad J. Freese</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Shachar Hadar</w:t>
            </w:r>
          </w:p>
        </w:tc>
      </w:tr>
      <w:tr>
        <w:trPr>
          <w:trHeight w:val="230"/>
        </w:trPr>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Mark M. Bekheit</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Matthew Rudolph</w:t>
            </w:r>
          </w:p>
        </w:tc>
      </w:tr>
      <w:tr>
        <w:trPr>
          <w:trHeight w:val="230"/>
        </w:trPr>
        <w:tc>
          <w:tcPr>
            <w:tcW w:w="292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Meitar | Law Offices</w:t>
            </w:r>
          </w:p>
        </w:tc>
      </w:tr>
      <w:tr>
        <w:trPr>
          <w:trHeight w:val="216"/>
        </w:trPr>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140 Scott Drive</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16 Abba Hillel Road</w:t>
            </w:r>
          </w:p>
        </w:tc>
      </w:tr>
      <w:tr>
        <w:trPr>
          <w:trHeight w:val="229"/>
        </w:trPr>
        <w:tc>
          <w:tcPr>
            <w:tcW w:w="292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Menlo Park, California 94025</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Ramat Gan, 5250608, Israel</w:t>
            </w:r>
          </w:p>
        </w:tc>
      </w:tr>
      <w:tr>
        <w:trPr>
          <w:trHeight w:val="216"/>
        </w:trPr>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Tel: (650) 328-4600</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8"/>
              </w:rPr>
              <w:t>Tel: +972 (3) 610-3100</w:t>
            </w:r>
          </w:p>
        </w:tc>
      </w:tr>
      <w:tr>
        <w:trPr>
          <w:trHeight w:val="238"/>
        </w:trPr>
        <w:tc>
          <w:tcPr>
            <w:tcW w:w="2920" w:type="dxa"/>
            <w:vAlign w:val="bottom"/>
          </w:tcPr>
          <w:p>
            <w:pPr>
              <w:spacing w:after="0"/>
              <w:rPr>
                <w:sz w:val="20"/>
                <w:szCs w:val="20"/>
                <w:color w:val="auto"/>
              </w:rPr>
            </w:pP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8"/>
              </w:rPr>
              <w:t>Fax: +972 (3) 610-3111</w:t>
            </w:r>
          </w:p>
        </w:tc>
      </w:tr>
    </w:tbl>
    <w:p>
      <w:pPr>
        <w:spacing w:after="0" w:line="225"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738" w:right="499" w:bottom="797" w:gutter="0" w:footer="0" w:header="0"/>
        </w:sectPr>
      </w:pPr>
    </w:p>
    <w:p>
      <w:pPr>
        <w:spacing w:after="0" w:line="177" w:lineRule="exact"/>
        <w:rPr>
          <w:sz w:val="24"/>
          <w:szCs w:val="24"/>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6800" w:space="720"/>
            <w:col w:w="3560"/>
          </w:cols>
          <w:pgMar w:left="320" w:top="738" w:right="499" w:bottom="797" w:gutter="0" w:footer="0" w:header="0"/>
          <w:type w:val="continuous"/>
        </w:sect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2" w:lineRule="exact"/>
        <w:rPr>
          <w:sz w:val="24"/>
          <w:szCs w:val="24"/>
          <w:color w:val="auto"/>
        </w:rPr>
      </w:pPr>
    </w:p>
    <w:p>
      <w:pPr>
        <w:sectPr>
          <w:pgSz w:w="11900" w:h="16838" w:orient="portrait"/>
          <w:cols w:equalWidth="0" w:num="2">
            <w:col w:w="6800" w:space="720"/>
            <w:col w:w="3560"/>
          </w:cols>
          <w:pgMar w:left="320" w:top="738" w:right="499" w:bottom="797" w:gutter="0" w:footer="0" w:header="0"/>
          <w:type w:val="continuous"/>
        </w:sectPr>
      </w:pPr>
    </w:p>
    <w:p>
      <w:pPr>
        <w:ind w:left="75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080"/>
          </w:cols>
          <w:pgMar w:left="320" w:top="738" w:right="499" w:bottom="797" w:gutter="0" w:footer="0" w:header="0"/>
          <w:type w:val="continuous"/>
        </w:sectPr>
      </w:pPr>
    </w:p>
    <w:p>
      <w:pPr>
        <w:spacing w:after="0" w:line="312" w:lineRule="exact"/>
        <w:rPr>
          <w:sz w:val="24"/>
          <w:szCs w:val="24"/>
          <w:color w:val="auto"/>
        </w:rPr>
      </w:pPr>
    </w:p>
    <w:p>
      <w:pPr>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38" w:right="499" w:bottom="797"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3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This filing (the “</w:t>
      </w:r>
      <w:r>
        <w:rPr>
          <w:rFonts w:ascii="Times New Roman" w:cs="Times New Roman" w:eastAsia="Times New Roman" w:hAnsi="Times New Roman"/>
          <w:sz w:val="18"/>
          <w:szCs w:val="18"/>
          <w:u w:val="single" w:color="auto"/>
          <w:color w:val="auto"/>
        </w:rPr>
        <w:t>Post-Effective Amendment</w:t>
      </w:r>
      <w:r>
        <w:rPr>
          <w:rFonts w:ascii="Times New Roman" w:cs="Times New Roman" w:eastAsia="Times New Roman" w:hAnsi="Times New Roman"/>
          <w:sz w:val="18"/>
          <w:szCs w:val="18"/>
          <w:color w:val="auto"/>
        </w:rPr>
        <w:t>”) relates to the following registration statements on Form S-8 (collectively,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filed by WalkMe Ltd., a company organized under the laws of the State of Israel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left="98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333-257354 filed with the SEC on June 24, 2021, pertaining to the registration of 15,060,484 ordinary shares, no par value per share, of the Company (each, an “</w:t>
      </w:r>
      <w:r>
        <w:rPr>
          <w:rFonts w:ascii="Times New Roman" w:cs="Times New Roman" w:eastAsia="Times New Roman" w:hAnsi="Times New Roman"/>
          <w:sz w:val="18"/>
          <w:szCs w:val="18"/>
          <w:u w:val="single" w:color="auto"/>
          <w:color w:val="auto"/>
        </w:rPr>
        <w:t>Ordinary Share</w:t>
      </w:r>
      <w:r>
        <w:rPr>
          <w:rFonts w:ascii="Times New Roman" w:cs="Times New Roman" w:eastAsia="Times New Roman" w:hAnsi="Times New Roman"/>
          <w:sz w:val="18"/>
          <w:szCs w:val="18"/>
          <w:color w:val="auto"/>
        </w:rPr>
        <w:t>”) under the WalkMe Ltd. Restated 2012 Share Option Plan (the “</w:t>
      </w:r>
      <w:r>
        <w:rPr>
          <w:rFonts w:ascii="Times New Roman" w:cs="Times New Roman" w:eastAsia="Times New Roman" w:hAnsi="Times New Roman"/>
          <w:sz w:val="18"/>
          <w:szCs w:val="18"/>
          <w:u w:val="single" w:color="auto"/>
          <w:color w:val="auto"/>
        </w:rPr>
        <w:t>2012 Plan</w:t>
      </w:r>
      <w:r>
        <w:rPr>
          <w:rFonts w:ascii="Times New Roman" w:cs="Times New Roman" w:eastAsia="Times New Roman" w:hAnsi="Times New Roman"/>
          <w:sz w:val="18"/>
          <w:szCs w:val="18"/>
          <w:color w:val="auto"/>
        </w:rPr>
        <w:t>”), 9,955,667 Ordinary Shares under the WalkMe Ltd. 2021 Share Incentive Plan (the “</w:t>
      </w:r>
      <w:r>
        <w:rPr>
          <w:rFonts w:ascii="Times New Roman" w:cs="Times New Roman" w:eastAsia="Times New Roman" w:hAnsi="Times New Roman"/>
          <w:sz w:val="18"/>
          <w:szCs w:val="18"/>
          <w:u w:val="single" w:color="auto"/>
          <w:color w:val="auto"/>
        </w:rPr>
        <w:t>2021 Plan</w:t>
      </w:r>
      <w:r>
        <w:rPr>
          <w:rFonts w:ascii="Times New Roman" w:cs="Times New Roman" w:eastAsia="Times New Roman" w:hAnsi="Times New Roman"/>
          <w:sz w:val="18"/>
          <w:szCs w:val="18"/>
          <w:color w:val="auto"/>
        </w:rPr>
        <w:t>”) and 1,824,988 Ordinary Shares under the WalkMe Ltd. 2021 Employee Share Purchase Plan (the “</w:t>
      </w:r>
      <w:r>
        <w:rPr>
          <w:rFonts w:ascii="Times New Roman" w:cs="Times New Roman" w:eastAsia="Times New Roman" w:hAnsi="Times New Roman"/>
          <w:sz w:val="18"/>
          <w:szCs w:val="18"/>
          <w:u w:val="single" w:color="auto"/>
          <w:color w:val="auto"/>
        </w:rPr>
        <w:t>2021 ESPP</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333-263823 filed with the SEC on March 24, 2022, pertaining to the registration of an additional 4,187,700 Ordinary Shares under the 2021 Plan and 1,002,812 Ordinary Shares under the 2021 ESPP.</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333-270537 filed with the SEC on March 14, 2023, pertaining to the registration of an additional 4,339,004 Ordinary Shares under the 2021 Plan and 1,057,521 Ordinary Shares under the 2021 ESPP.</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333-278034 filed with the SEC on March 18, 2024, pertaining to the registration of an additional 4,543,233 Ordinary Shares under the 2021 Plan and 1,089,308 Ordinary Shares under the 2021 ESPP.</w:t>
      </w:r>
    </w:p>
    <w:p>
      <w:pPr>
        <w:spacing w:after="0" w:line="17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On June 4, 2024, the Company entered into an Agreement and Plan of Merger with SAP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Hummingbird Acquisition Corp Ltd., a company organized under the laws of the State of Israel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(as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the Merger Agreement, on September 12, 2024, Merger Sub merged with and into the Company, with the Company surviving the merger and becoming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Merger, the Company has terminated all offerings of its Ordinary Shares pursuant to each of the Registration Statements under the Securities Act of 1933, as amended. In accordance with an undertaking made by the Company in each of the Registration Statements to remove from registration, by means of a post-effective amendment, any Ordinary Shares which remain unsold at the termination of the offering, the Company hereby removes from registration all Ordinary Shares registered under the Registration Statements that remain unsold as of the date hereof, if any, and terminates the effectiveness of each of the Registration Statements. The Registration Statements are hereby amended, as appropriate, to reflect the deregistration of all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Tel Aviv, Israel, on this 12th day of September.</w:t>
      </w:r>
    </w:p>
    <w:p>
      <w:pPr>
        <w:spacing w:after="0" w:line="1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By:/s/ Paul Shinn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486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Paul Shinn</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0" w:lineRule="exact"/>
        <w:rPr>
          <w:sz w:val="20"/>
          <w:szCs w:val="20"/>
          <w:color w:val="auto"/>
        </w:rPr>
      </w:pPr>
    </w:p>
    <w:p>
      <w:pPr>
        <w:spacing w:after="0" w:line="22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in reliance on Rule 478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20"/>
      </w:cols>
      <w:pgMar w:left="320" w:top="34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2024-09-12T08:25:16Z</dcterms:created>
  <dcterms:modified xsi:type="dcterms:W3CDTF">2024-09-12T08:25:16Z</dcterms:modified>
</cp:coreProperties>
</file>