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157480</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191770</wp:posOffset>
            </wp:positionV>
            <wp:extent cx="71323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890"/>
                    </a:xfrm>
                    <a:prstGeom prst="rect">
                      <a:avLst/>
                    </a:prstGeom>
                    <a:noFill/>
                  </pic:spPr>
                </pic:pic>
              </a:graphicData>
            </a:graphic>
          </wp:anchor>
        </w:drawing>
        <w:t>UNITED STATES</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SECURITIES AND EXCHANGE COMMISSION</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Washington, D.C. 20549</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SCHEDULE 13D</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(Amendment No. 2)*</w:t>
      </w:r>
    </w:p>
    <w:p>
      <w:pPr>
        <w:spacing w:after="0" w:line="203"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WalkMe Ltd.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(Name of Issuer)</w:t>
      </w:r>
    </w:p>
    <w:p>
      <w:pPr>
        <w:spacing w:after="0" w:line="22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Ordinary shares, no par value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(Title of Class of Securities)</w:t>
      </w:r>
    </w:p>
    <w:p>
      <w:pPr>
        <w:spacing w:after="0" w:line="22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M97628107</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36830</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4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(CUSIP Number)</w:t>
      </w:r>
    </w:p>
    <w:p>
      <w:pPr>
        <w:spacing w:after="0" w:line="22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Christopher Arthur Bulger</w:t>
      </w:r>
    </w:p>
    <w:p>
      <w:pPr>
        <w:spacing w:after="0" w:line="31"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Vitruvian Partners LLP</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b w:val="1"/>
          <w:bCs w:val="1"/>
          <w:color w:val="auto"/>
        </w:rPr>
        <w:t>105 Wigmore Street</w:t>
      </w:r>
    </w:p>
    <w:p>
      <w:pPr>
        <w:spacing w:after="0" w:line="9" w:lineRule="exact"/>
        <w:rPr>
          <w:sz w:val="24"/>
          <w:szCs w:val="24"/>
          <w:color w:val="auto"/>
        </w:rPr>
      </w:pPr>
    </w:p>
    <w:p>
      <w:pPr>
        <w:ind w:left="4900"/>
        <w:spacing w:after="0"/>
        <w:rPr>
          <w:sz w:val="20"/>
          <w:szCs w:val="20"/>
          <w:color w:val="auto"/>
        </w:rPr>
      </w:pPr>
      <w:r>
        <w:rPr>
          <w:rFonts w:ascii="Times New Roman" w:cs="Times New Roman" w:eastAsia="Times New Roman" w:hAnsi="Times New Roman"/>
          <w:sz w:val="18"/>
          <w:szCs w:val="18"/>
          <w:b w:val="1"/>
          <w:bCs w:val="1"/>
          <w:color w:val="auto"/>
        </w:rPr>
        <w:t>London W1U 1QY</w:t>
      </w:r>
    </w:p>
    <w:p>
      <w:pPr>
        <w:spacing w:after="0" w:line="9" w:lineRule="exact"/>
        <w:rPr>
          <w:sz w:val="24"/>
          <w:szCs w:val="24"/>
          <w:color w:val="auto"/>
        </w:rPr>
      </w:pPr>
    </w:p>
    <w:p>
      <w:pPr>
        <w:ind w:left="4840"/>
        <w:spacing w:after="0"/>
        <w:rPr>
          <w:sz w:val="20"/>
          <w:szCs w:val="20"/>
          <w:color w:val="auto"/>
        </w:rPr>
      </w:pPr>
      <w:r>
        <w:rPr>
          <w:rFonts w:ascii="Times New Roman" w:cs="Times New Roman" w:eastAsia="Times New Roman" w:hAnsi="Times New Roman"/>
          <w:sz w:val="18"/>
          <w:szCs w:val="18"/>
          <w:b w:val="1"/>
          <w:bCs w:val="1"/>
          <w:color w:val="auto"/>
        </w:rPr>
        <w:t>+44 (0) 20 7518 2800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(Name, Address and Telephone Number of Person Authorized to Receive Notices and Communications)</w:t>
      </w:r>
    </w:p>
    <w:p>
      <w:pPr>
        <w:spacing w:after="0" w:line="2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Copies to:</w:t>
      </w:r>
    </w:p>
    <w:p>
      <w:pPr>
        <w:spacing w:after="0" w:line="27"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Jennifer J. Carlson</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Willkie, Farr &amp; Gallagher LLP</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300 North LaSalle Dr.</w:t>
      </w:r>
    </w:p>
    <w:p>
      <w:pPr>
        <w:spacing w:after="0" w:line="9"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Chicago, IL 60654</w:t>
      </w:r>
    </w:p>
    <w:p>
      <w:pPr>
        <w:spacing w:after="0" w:line="9" w:lineRule="exact"/>
        <w:rPr>
          <w:sz w:val="24"/>
          <w:szCs w:val="24"/>
          <w:color w:val="auto"/>
        </w:rPr>
      </w:pPr>
    </w:p>
    <w:p>
      <w:pPr>
        <w:ind w:left="5500" w:hanging="431"/>
        <w:spacing w:after="0"/>
        <w:tabs>
          <w:tab w:leader="none" w:pos="550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728 9000</w:t>
      </w:r>
    </w:p>
    <w:p>
      <w:pPr>
        <w:spacing w:after="0" w:line="9" w:lineRule="exact"/>
        <w:rPr>
          <w:rFonts w:ascii="Times New Roman" w:cs="Times New Roman" w:eastAsia="Times New Roman" w:hAnsi="Times New Roman"/>
          <w:sz w:val="18"/>
          <w:szCs w:val="18"/>
          <w:color w:val="auto"/>
        </w:rPr>
      </w:pPr>
    </w:p>
    <w:p>
      <w:pPr>
        <w:ind w:left="488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b w:val="1"/>
          <w:bCs w:val="1"/>
          <w:color w:val="auto"/>
        </w:rPr>
        <w:t>September 12,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5" w:lineRule="exact"/>
        <w:rPr>
          <w:sz w:val="24"/>
          <w:szCs w:val="24"/>
          <w:color w:val="auto"/>
        </w:rPr>
      </w:pPr>
    </w:p>
    <w:p>
      <w:pPr>
        <w:jc w:val="center"/>
        <w:ind w:right="-359"/>
        <w:spacing w:after="0"/>
        <w:rPr>
          <w:sz w:val="20"/>
          <w:szCs w:val="20"/>
          <w:color w:val="auto"/>
        </w:rPr>
      </w:pPr>
      <w:r>
        <w:rPr>
          <w:rFonts w:ascii="Times New Roman" w:cs="Times New Roman" w:eastAsia="Times New Roman" w:hAnsi="Times New Roman"/>
          <w:sz w:val="18"/>
          <w:szCs w:val="18"/>
          <w:color w:val="auto"/>
        </w:rPr>
        <w:t>(Date of Event which Requires Filing of this Statement)</w:t>
      </w:r>
    </w:p>
    <w:p>
      <w:pPr>
        <w:spacing w:after="0" w:line="225" w:lineRule="exact"/>
        <w:rPr>
          <w:sz w:val="24"/>
          <w:szCs w:val="24"/>
          <w:color w:val="auto"/>
        </w:rPr>
      </w:pPr>
    </w:p>
    <w:p>
      <w:pPr>
        <w:ind w:right="60"/>
        <w:spacing w:after="0" w:line="239" w:lineRule="exact"/>
        <w:rPr>
          <w:sz w:val="20"/>
          <w:szCs w:val="20"/>
          <w:color w:val="auto"/>
        </w:rPr>
      </w:pPr>
      <w:r>
        <w:rPr>
          <w:rFonts w:ascii="Times New Roman" w:cs="Times New Roman" w:eastAsia="Times New Roman" w:hAnsi="Times New Roman"/>
          <w:sz w:val="18"/>
          <w:szCs w:val="18"/>
          <w:color w:val="auto"/>
        </w:rPr>
        <w:t xml:space="preserve">If the filing person has previously filed a statement on Schedule 13G to report the acquisition that is the subject of this Schedule 13D, and is filing this schedule because of §§240.13d-l(e), 240.13d-l(f) or 240.13d-1(g), check the following box. </w:t>
      </w:r>
      <w:r>
        <w:rPr>
          <w:rFonts w:ascii="MS PGothic" w:cs="MS PGothic" w:eastAsia="MS PGothic" w:hAnsi="MS PGothic"/>
          <w:sz w:val="18"/>
          <w:szCs w:val="18"/>
          <w:color w:val="auto"/>
        </w:rPr>
        <w:t>☐</w:t>
      </w:r>
    </w:p>
    <w:p>
      <w:pPr>
        <w:spacing w:after="0" w:line="170" w:lineRule="exact"/>
        <w:rPr>
          <w:sz w:val="24"/>
          <w:szCs w:val="24"/>
          <w:color w:val="auto"/>
        </w:rPr>
      </w:pPr>
    </w:p>
    <w:p>
      <w:pPr>
        <w:ind w:right="180"/>
        <w:spacing w:after="0" w:line="282" w:lineRule="auto"/>
        <w:rPr>
          <w:sz w:val="20"/>
          <w:szCs w:val="20"/>
          <w:color w:val="auto"/>
        </w:rPr>
      </w:pPr>
      <w:r>
        <w:rPr>
          <w:rFonts w:ascii="Times New Roman" w:cs="Times New Roman" w:eastAsia="Times New Roman" w:hAnsi="Times New Roman"/>
          <w:sz w:val="18"/>
          <w:szCs w:val="18"/>
          <w:color w:val="auto"/>
        </w:rPr>
        <w:t>Note: Schedules filed in paper format shall include a signed original and five copies of the schedule, including all exhibits. See § 240.13d-7 for other parties to whom copies are to be sent.</w:t>
      </w:r>
    </w:p>
    <w:p>
      <w:pPr>
        <w:spacing w:after="0" w:line="162" w:lineRule="exact"/>
        <w:rPr>
          <w:sz w:val="24"/>
          <w:szCs w:val="24"/>
          <w:color w:val="auto"/>
        </w:rPr>
      </w:pPr>
    </w:p>
    <w:p>
      <w:pPr>
        <w:ind w:right="340"/>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will be filled out for a reporting person’s initial filing on this form with respect to the subject class of securities, and for any subsequent amendment containing information which would alter disclosures provided in a prior cover page.</w:t>
      </w:r>
    </w:p>
    <w:p>
      <w:pPr>
        <w:spacing w:after="0" w:line="162"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information required on the remainder of this “cover page” shall not be deemed “filed” for the purpose of Section 18 of the Securities Exchange of 1934 (the “Act”) or otherwise subject to the liabilities of that section of the Act but shall be subject to all other provisions of the Act (however, see the Notes).</w:t>
      </w:r>
    </w:p>
    <w:p>
      <w:pPr>
        <w:spacing w:after="0" w:line="172" w:lineRule="exact"/>
        <w:rPr>
          <w:sz w:val="24"/>
          <w:szCs w:val="24"/>
          <w:color w:val="auto"/>
        </w:rPr>
      </w:pPr>
    </w:p>
    <w:p>
      <w:pPr>
        <w:ind w:right="60"/>
        <w:spacing w:after="0" w:line="286" w:lineRule="auto"/>
        <w:rPr>
          <w:sz w:val="20"/>
          <w:szCs w:val="20"/>
          <w:color w:val="auto"/>
        </w:rPr>
      </w:pPr>
      <w:r>
        <w:rPr>
          <w:rFonts w:ascii="Times New Roman" w:cs="Times New Roman" w:eastAsia="Times New Roman" w:hAnsi="Times New Roman"/>
          <w:sz w:val="18"/>
          <w:szCs w:val="18"/>
          <w:b w:val="1"/>
          <w:bCs w:val="1"/>
          <w:color w:val="auto"/>
        </w:rPr>
        <w:t>Persons who respond to the collection of information contained in this form are not required to respond unless the form displays a currently valid OMB control number.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112395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138430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584200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900"/>
          </w:cols>
          <w:pgMar w:left="320" w:top="509" w:right="67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AMBLESIDE S.À R.L.</w:t>
            </w:r>
          </w:p>
        </w:tc>
        <w:tc>
          <w:tcPr>
            <w:tcW w:w="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- 2 -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VITRUVIAN III LUXEMBOURG S.À R.L.</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- 3 -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AMBLESIDE LUX S.À R.L.</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- 4 -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VIP III CORTEX-B S.À R.L.</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Luxembourg</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- 5 -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VIP III NOMINEES LIMITED</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England and Wales</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CO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- 6 -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VIP III LP</w:t>
            </w:r>
          </w:p>
        </w:tc>
        <w:tc>
          <w:tcPr>
            <w:tcW w:w="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England and Wales</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- 7 -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color w:val="auto"/>
              </w:rPr>
              <w:t>VIP III CO-INVEST LP</w:t>
            </w:r>
          </w:p>
        </w:tc>
        <w:tc>
          <w:tcPr>
            <w:tcW w:w="400" w:type="dxa"/>
            <w:vAlign w:val="bottom"/>
          </w:tcPr>
          <w:p>
            <w:pPr>
              <w:spacing w:after="0"/>
              <w:rPr>
                <w:sz w:val="24"/>
                <w:szCs w:val="24"/>
                <w:color w:val="auto"/>
              </w:rPr>
            </w:pPr>
          </w:p>
        </w:tc>
        <w:tc>
          <w:tcPr>
            <w:tcW w:w="7300" w:type="dxa"/>
            <w:vAlign w:val="bottom"/>
          </w:tcPr>
          <w:p>
            <w:pPr>
              <w:spacing w:after="0"/>
              <w:rPr>
                <w:sz w:val="24"/>
                <w:szCs w:val="24"/>
                <w:color w:val="auto"/>
              </w:rPr>
            </w:pP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Jersey</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PN</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- 8 -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b w:val="1"/>
          <w:bCs w:val="1"/>
          <w:color w:val="auto"/>
        </w:rPr>
        <w:t>CUSIP No. M97628107</w:t>
      </w:r>
    </w:p>
    <w:p>
      <w:pPr>
        <w:spacing w:after="0" w:line="31" w:lineRule="exact"/>
        <w:rPr>
          <w:sz w:val="20"/>
          <w:szCs w:val="20"/>
          <w:color w:val="auto"/>
        </w:rPr>
      </w:pPr>
    </w:p>
    <w:tbl>
      <w:tblPr>
        <w:tblLayout w:type="fixed"/>
        <w:tblInd w:w="10" w:type="dxa"/>
        <w:tblCellMar>
          <w:top w:w="0" w:type="dxa"/>
          <w:left w:w="0" w:type="dxa"/>
          <w:bottom w:w="0" w:type="dxa"/>
          <w:right w:w="0" w:type="dxa"/>
        </w:tblCellMar>
      </w:tblPr>
      <w:tr>
        <w:trPr>
          <w:trHeight w:val="241"/>
        </w:trPr>
        <w:tc>
          <w:tcPr>
            <w:tcW w:w="300" w:type="dxa"/>
            <w:vAlign w:val="bottom"/>
            <w:tcBorders>
              <w:top w:val="single" w:sz="8" w:color="auto"/>
              <w:left w:val="single" w:sz="8" w:color="auto"/>
            </w:tcBorders>
          </w:tcPr>
          <w:p>
            <w:pPr>
              <w:spacing w:after="0"/>
              <w:rPr>
                <w:sz w:val="20"/>
                <w:szCs w:val="20"/>
                <w:color w:val="auto"/>
              </w:rPr>
            </w:pPr>
          </w:p>
        </w:tc>
        <w:tc>
          <w:tcPr>
            <w:tcW w:w="100" w:type="dxa"/>
            <w:vAlign w:val="bottom"/>
            <w:tcBorders>
              <w:top w:val="single" w:sz="8" w:color="auto"/>
              <w:right w:val="single" w:sz="8" w:color="auto"/>
            </w:tcBorders>
          </w:tcPr>
          <w:p>
            <w:pPr>
              <w:spacing w:after="0"/>
              <w:rPr>
                <w:sz w:val="20"/>
                <w:szCs w:val="20"/>
                <w:color w:val="auto"/>
              </w:rPr>
            </w:pPr>
          </w:p>
        </w:tc>
        <w:tc>
          <w:tcPr>
            <w:tcW w:w="9640" w:type="dxa"/>
            <w:vAlign w:val="bottom"/>
            <w:tcBorders>
              <w:top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NAMES OF REPORTING PERSONS</w:t>
            </w:r>
          </w:p>
        </w:tc>
        <w:tc>
          <w:tcPr>
            <w:tcW w:w="1200" w:type="dxa"/>
            <w:vAlign w:val="bottom"/>
            <w:tcBorders>
              <w:top w:val="single" w:sz="8" w:color="auto"/>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33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w:t>
            </w: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I.R.S. IDENTIFICATION NOS. OF ABOVE PERSONS (ENTITIES ONLY)</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38"/>
        </w:trPr>
        <w:tc>
          <w:tcPr>
            <w:tcW w:w="300" w:type="dxa"/>
            <w:vAlign w:val="bottom"/>
            <w:tcBorders>
              <w:left w:val="single" w:sz="8" w:color="auto"/>
            </w:tcBorders>
          </w:tcPr>
          <w:p>
            <w:pPr>
              <w:spacing w:after="0"/>
              <w:rPr>
                <w:sz w:val="24"/>
                <w:szCs w:val="24"/>
                <w:color w:val="auto"/>
              </w:rPr>
            </w:pPr>
          </w:p>
        </w:tc>
        <w:tc>
          <w:tcPr>
            <w:tcW w:w="100" w:type="dxa"/>
            <w:vAlign w:val="bottom"/>
            <w:tcBorders>
              <w:right w:val="single" w:sz="8" w:color="auto"/>
            </w:tcBorders>
          </w:tcPr>
          <w:p>
            <w:pPr>
              <w:spacing w:after="0"/>
              <w:rPr>
                <w:sz w:val="24"/>
                <w:szCs w:val="24"/>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color w:val="auto"/>
              </w:rPr>
              <w:t>VITRUVIAN PARTNERS LLP</w:t>
            </w:r>
          </w:p>
        </w:tc>
        <w:tc>
          <w:tcPr>
            <w:tcW w:w="1200" w:type="dxa"/>
            <w:vAlign w:val="bottom"/>
            <w:tcBorders>
              <w:right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2</w:t>
            </w:r>
          </w:p>
        </w:tc>
        <w:tc>
          <w:tcPr>
            <w:tcW w:w="100" w:type="dxa"/>
            <w:vAlign w:val="bottom"/>
            <w:tcBorders>
              <w:right w:val="single" w:sz="8" w:color="auto"/>
            </w:tcBorders>
          </w:tcPr>
          <w:p>
            <w:pPr>
              <w:spacing w:after="0"/>
              <w:rPr>
                <w:sz w:val="20"/>
                <w:szCs w:val="20"/>
                <w:color w:val="auto"/>
              </w:rPr>
            </w:pPr>
          </w:p>
        </w:tc>
        <w:tc>
          <w:tcPr>
            <w:tcW w:w="9640" w:type="dxa"/>
            <w:vAlign w:val="bottom"/>
            <w:gridSpan w:val="4"/>
            <w:vMerge w:val="restart"/>
          </w:tcPr>
          <w:p>
            <w:pPr>
              <w:ind w:left="40"/>
              <w:spacing w:after="0"/>
              <w:rPr>
                <w:sz w:val="20"/>
                <w:szCs w:val="20"/>
                <w:color w:val="auto"/>
              </w:rPr>
            </w:pPr>
            <w:r>
              <w:rPr>
                <w:rFonts w:ascii="Times New Roman" w:cs="Times New Roman" w:eastAsia="Times New Roman" w:hAnsi="Times New Roman"/>
                <w:sz w:val="18"/>
                <w:szCs w:val="18"/>
                <w:b w:val="1"/>
                <w:bCs w:val="1"/>
                <w:color w:val="auto"/>
              </w:rPr>
              <w:t>CHECK THE APPROPRIATE BOX IF A MEMBER OF A GROUP</w:t>
            </w:r>
          </w:p>
        </w:tc>
        <w:tc>
          <w:tcPr>
            <w:tcW w:w="1200" w:type="dxa"/>
            <w:vAlign w:val="bottom"/>
            <w:tcBorders>
              <w:right w:val="single" w:sz="8" w:color="auto"/>
            </w:tcBorders>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(a)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40"/>
        </w:trPr>
        <w:tc>
          <w:tcPr>
            <w:tcW w:w="300" w:type="dxa"/>
            <w:vAlign w:val="bottom"/>
            <w:tcBorders>
              <w:left w:val="single" w:sz="8" w:color="auto"/>
            </w:tcBorders>
            <w:vMerge w:val="continue"/>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9640" w:type="dxa"/>
            <w:vAlign w:val="bottom"/>
            <w:gridSpan w:val="4"/>
            <w:vMerge w:val="continue"/>
          </w:tcPr>
          <w:p>
            <w:pPr>
              <w:spacing w:after="0"/>
              <w:rPr>
                <w:sz w:val="12"/>
                <w:szCs w:val="12"/>
                <w:color w:val="auto"/>
              </w:rPr>
            </w:pPr>
          </w:p>
        </w:tc>
        <w:tc>
          <w:tcPr>
            <w:tcW w:w="1200" w:type="dxa"/>
            <w:vAlign w:val="bottom"/>
            <w:tcBorders>
              <w:right w:val="single" w:sz="8" w:color="auto"/>
            </w:tcBorders>
            <w:vMerge w:val="restart"/>
          </w:tcPr>
          <w:p>
            <w:pPr>
              <w:jc w:val="right"/>
              <w:ind w:right="50"/>
              <w:spacing w:after="0" w:line="207" w:lineRule="exact"/>
              <w:rPr>
                <w:sz w:val="20"/>
                <w:szCs w:val="20"/>
                <w:color w:val="auto"/>
              </w:rPr>
            </w:pPr>
            <w:r>
              <w:rPr>
                <w:rFonts w:ascii="Times New Roman" w:cs="Times New Roman" w:eastAsia="Times New Roman" w:hAnsi="Times New Roman"/>
                <w:sz w:val="18"/>
                <w:szCs w:val="18"/>
                <w:color w:val="auto"/>
              </w:rPr>
              <w:t xml:space="preserve">(b) </w:t>
            </w: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169"/>
        </w:trPr>
        <w:tc>
          <w:tcPr>
            <w:tcW w:w="300" w:type="dxa"/>
            <w:vAlign w:val="bottom"/>
            <w:tcBorders>
              <w:left w:val="single" w:sz="8" w:color="auto"/>
              <w:bottom w:val="single" w:sz="8" w:color="auto"/>
            </w:tcBorders>
          </w:tcPr>
          <w:p>
            <w:pPr>
              <w:spacing w:after="0"/>
              <w:rPr>
                <w:sz w:val="14"/>
                <w:szCs w:val="14"/>
                <w:color w:val="auto"/>
              </w:rPr>
            </w:pPr>
          </w:p>
        </w:tc>
        <w:tc>
          <w:tcPr>
            <w:tcW w:w="100" w:type="dxa"/>
            <w:vAlign w:val="bottom"/>
            <w:tcBorders>
              <w:bottom w:val="single" w:sz="8" w:color="auto"/>
              <w:right w:val="single" w:sz="8" w:color="auto"/>
            </w:tcBorders>
          </w:tcPr>
          <w:p>
            <w:pPr>
              <w:spacing w:after="0"/>
              <w:rPr>
                <w:sz w:val="14"/>
                <w:szCs w:val="14"/>
                <w:color w:val="auto"/>
              </w:rPr>
            </w:pPr>
          </w:p>
        </w:tc>
        <w:tc>
          <w:tcPr>
            <w:tcW w:w="180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400" w:type="dxa"/>
            <w:vAlign w:val="bottom"/>
            <w:tcBorders>
              <w:bottom w:val="single" w:sz="8" w:color="auto"/>
            </w:tcBorders>
          </w:tcPr>
          <w:p>
            <w:pPr>
              <w:spacing w:after="0"/>
              <w:rPr>
                <w:sz w:val="14"/>
                <w:szCs w:val="14"/>
                <w:color w:val="auto"/>
              </w:rPr>
            </w:pPr>
          </w:p>
        </w:tc>
        <w:tc>
          <w:tcPr>
            <w:tcW w:w="7300" w:type="dxa"/>
            <w:vAlign w:val="bottom"/>
            <w:tcBorders>
              <w:bottom w:val="single" w:sz="8" w:color="auto"/>
            </w:tcBorders>
          </w:tcPr>
          <w:p>
            <w:pPr>
              <w:spacing w:after="0"/>
              <w:rPr>
                <w:sz w:val="14"/>
                <w:szCs w:val="14"/>
                <w:color w:val="auto"/>
              </w:rPr>
            </w:pPr>
          </w:p>
        </w:tc>
        <w:tc>
          <w:tcPr>
            <w:tcW w:w="1200" w:type="dxa"/>
            <w:vAlign w:val="bottom"/>
            <w:tcBorders>
              <w:bottom w:val="single" w:sz="8" w:color="auto"/>
              <w:right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3</w:t>
            </w:r>
          </w:p>
        </w:tc>
        <w:tc>
          <w:tcPr>
            <w:tcW w:w="100" w:type="dxa"/>
            <w:vAlign w:val="bottom"/>
            <w:tcBorders>
              <w:right w:val="single" w:sz="8" w:color="auto"/>
            </w:tcBorders>
          </w:tcPr>
          <w:p>
            <w:pPr>
              <w:spacing w:after="0"/>
              <w:rPr>
                <w:sz w:val="21"/>
                <w:szCs w:val="21"/>
                <w:color w:val="auto"/>
              </w:rPr>
            </w:pPr>
          </w:p>
        </w:tc>
        <w:tc>
          <w:tcPr>
            <w:tcW w:w="1940" w:type="dxa"/>
            <w:vAlign w:val="bottom"/>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SEC USE ONLY</w:t>
            </w:r>
          </w:p>
        </w:tc>
        <w:tc>
          <w:tcPr>
            <w:tcW w:w="400" w:type="dxa"/>
            <w:vAlign w:val="bottom"/>
          </w:tcPr>
          <w:p>
            <w:pPr>
              <w:spacing w:after="0"/>
              <w:rPr>
                <w:sz w:val="21"/>
                <w:szCs w:val="21"/>
                <w:color w:val="auto"/>
              </w:rPr>
            </w:pPr>
          </w:p>
        </w:tc>
        <w:tc>
          <w:tcPr>
            <w:tcW w:w="7300" w:type="dxa"/>
            <w:vAlign w:val="bottom"/>
          </w:tcPr>
          <w:p>
            <w:pPr>
              <w:spacing w:after="0"/>
              <w:rPr>
                <w:sz w:val="21"/>
                <w:szCs w:val="21"/>
                <w:color w:val="auto"/>
              </w:rPr>
            </w:pP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300" w:type="dxa"/>
            <w:vAlign w:val="bottom"/>
            <w:tcBorders>
              <w:left w:val="single" w:sz="8" w:color="auto"/>
              <w:bottom w:val="single" w:sz="8" w:color="auto"/>
            </w:tcBorders>
          </w:tcPr>
          <w:p>
            <w:pPr>
              <w:spacing w:after="0"/>
              <w:rPr>
                <w:sz w:val="4"/>
                <w:szCs w:val="4"/>
                <w:color w:val="auto"/>
              </w:rPr>
            </w:pPr>
          </w:p>
        </w:tc>
        <w:tc>
          <w:tcPr>
            <w:tcW w:w="100" w:type="dxa"/>
            <w:vAlign w:val="bottom"/>
            <w:tcBorders>
              <w:bottom w:val="single" w:sz="8" w:color="auto"/>
              <w:right w:val="single" w:sz="8" w:color="auto"/>
            </w:tcBorders>
          </w:tcPr>
          <w:p>
            <w:pPr>
              <w:spacing w:after="0"/>
              <w:rPr>
                <w:sz w:val="4"/>
                <w:szCs w:val="4"/>
                <w:color w:val="auto"/>
              </w:rPr>
            </w:pPr>
          </w:p>
        </w:tc>
        <w:tc>
          <w:tcPr>
            <w:tcW w:w="9640" w:type="dxa"/>
            <w:vAlign w:val="bottom"/>
            <w:tcBorders>
              <w:bottom w:val="single" w:sz="8" w:color="auto"/>
            </w:tcBorders>
            <w:gridSpan w:val="4"/>
          </w:tcPr>
          <w:p>
            <w:pPr>
              <w:spacing w:after="0"/>
              <w:rPr>
                <w:sz w:val="4"/>
                <w:szCs w:val="4"/>
                <w:color w:val="auto"/>
              </w:rPr>
            </w:pPr>
          </w:p>
        </w:tc>
        <w:tc>
          <w:tcPr>
            <w:tcW w:w="1200" w:type="dxa"/>
            <w:vAlign w:val="bottom"/>
            <w:tcBorders>
              <w:bottom w:val="single" w:sz="8" w:color="auto"/>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SOURCE OF FUNDS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OO</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9640" w:type="dxa"/>
            <w:vAlign w:val="bottom"/>
            <w:tcBorders>
              <w:bottom w:val="single" w:sz="8" w:color="auto"/>
            </w:tcBorders>
            <w:gridSpan w:val="4"/>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91"/>
        </w:trPr>
        <w:tc>
          <w:tcPr>
            <w:tcW w:w="300" w:type="dxa"/>
            <w:vAlign w:val="bottom"/>
            <w:tcBorders>
              <w:left w:val="single" w:sz="8" w:color="auto"/>
              <w:bottom w:val="single" w:sz="8" w:color="auto"/>
            </w:tcBorders>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5</w:t>
            </w:r>
          </w:p>
        </w:tc>
        <w:tc>
          <w:tcPr>
            <w:tcW w:w="100" w:type="dxa"/>
            <w:vAlign w:val="bottom"/>
            <w:tcBorders>
              <w:bottom w:val="single" w:sz="8" w:color="auto"/>
              <w:right w:val="single" w:sz="8" w:color="auto"/>
            </w:tcBorders>
          </w:tcPr>
          <w:p>
            <w:pPr>
              <w:spacing w:after="0"/>
              <w:rPr>
                <w:sz w:val="24"/>
                <w:szCs w:val="24"/>
                <w:color w:val="auto"/>
              </w:rPr>
            </w:pPr>
          </w:p>
        </w:tc>
        <w:tc>
          <w:tcPr>
            <w:tcW w:w="9640" w:type="dxa"/>
            <w:vAlign w:val="bottom"/>
            <w:tcBorders>
              <w:bottom w:val="single" w:sz="8" w:color="auto"/>
            </w:tcBorders>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DISCLOSURE OF LEGAL PROCEEDINGS IS REQUIRED PURSUANT TO ITEM 2(D) OR 2(E)</w:t>
            </w:r>
          </w:p>
        </w:tc>
        <w:tc>
          <w:tcPr>
            <w:tcW w:w="1200" w:type="dxa"/>
            <w:vAlign w:val="bottom"/>
            <w:tcBorders>
              <w:bottom w:val="single" w:sz="8" w:color="auto"/>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6</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CITIZENSHIP OR PLACE OF ORGANIZATION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England and Wales</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9"/>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7</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800" w:type="dxa"/>
            <w:vAlign w:val="bottom"/>
            <w:tcBorders>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jc w:val="center"/>
              <w:ind w:right="290"/>
              <w:spacing w:after="0" w:line="194" w:lineRule="exact"/>
              <w:rPr>
                <w:sz w:val="20"/>
                <w:szCs w:val="20"/>
                <w:color w:val="auto"/>
              </w:rPr>
            </w:pPr>
            <w:r>
              <w:rPr>
                <w:rFonts w:ascii="Times New Roman" w:cs="Times New Roman" w:eastAsia="Times New Roman" w:hAnsi="Times New Roman"/>
                <w:sz w:val="18"/>
                <w:szCs w:val="18"/>
                <w:b w:val="1"/>
                <w:bCs w:val="1"/>
                <w:color w:val="auto"/>
              </w:rPr>
              <w:t>NUMBER OF</w:t>
            </w:r>
          </w:p>
        </w:tc>
        <w:tc>
          <w:tcPr>
            <w:tcW w:w="140" w:type="dxa"/>
            <w:vAlign w:val="bottom"/>
          </w:tcPr>
          <w:p>
            <w:pPr>
              <w:spacing w:after="0"/>
              <w:rPr>
                <w:sz w:val="16"/>
                <w:szCs w:val="16"/>
                <w:color w:val="auto"/>
              </w:rPr>
            </w:pPr>
          </w:p>
        </w:tc>
        <w:tc>
          <w:tcPr>
            <w:tcW w:w="400" w:type="dxa"/>
            <w:vAlign w:val="bottom"/>
            <w:tcBorders>
              <w:right w:val="single" w:sz="8" w:color="auto"/>
            </w:tcBorders>
          </w:tcPr>
          <w:p>
            <w:pPr>
              <w:spacing w:after="0"/>
              <w:rPr>
                <w:sz w:val="16"/>
                <w:szCs w:val="16"/>
                <w:color w:val="auto"/>
              </w:rPr>
            </w:pPr>
          </w:p>
        </w:tc>
        <w:tc>
          <w:tcPr>
            <w:tcW w:w="7300" w:type="dxa"/>
            <w:vAlign w:val="bottom"/>
          </w:tcPr>
          <w:p>
            <w:pPr>
              <w:spacing w:after="0" w:line="194" w:lineRule="exact"/>
              <w:rPr>
                <w:sz w:val="20"/>
                <w:szCs w:val="20"/>
                <w:color w:val="auto"/>
              </w:rPr>
            </w:pPr>
            <w:r>
              <w:rPr>
                <w:rFonts w:ascii="Times New Roman" w:cs="Times New Roman" w:eastAsia="Times New Roman" w:hAnsi="Times New Roman"/>
                <w:sz w:val="18"/>
                <w:szCs w:val="18"/>
                <w:b w:val="1"/>
                <w:bCs w:val="1"/>
                <w:color w:val="auto"/>
              </w:rPr>
              <w:t>SHARED VOTING POWER</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350"/>
              <w:spacing w:after="0"/>
              <w:rPr>
                <w:sz w:val="20"/>
                <w:szCs w:val="20"/>
                <w:color w:val="auto"/>
              </w:rPr>
            </w:pPr>
            <w:r>
              <w:rPr>
                <w:rFonts w:ascii="Times New Roman" w:cs="Times New Roman" w:eastAsia="Times New Roman" w:hAnsi="Times New Roman"/>
                <w:sz w:val="18"/>
                <w:szCs w:val="18"/>
                <w:b w:val="1"/>
                <w:bCs w:val="1"/>
                <w:color w:val="auto"/>
                <w:w w:val="99"/>
              </w:rPr>
              <w:t>SHARES</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8</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1800" w:type="dxa"/>
            <w:vAlign w:val="bottom"/>
            <w:tcBorders>
              <w:right w:val="single" w:sz="8" w:color="auto"/>
            </w:tcBorders>
          </w:tcPr>
          <w:p>
            <w:pPr>
              <w:ind w:left="40"/>
              <w:spacing w:after="0"/>
              <w:rPr>
                <w:sz w:val="20"/>
                <w:szCs w:val="20"/>
                <w:color w:val="auto"/>
              </w:rPr>
            </w:pPr>
            <w:r>
              <w:rPr>
                <w:rFonts w:ascii="Times New Roman" w:cs="Times New Roman" w:eastAsia="Times New Roman" w:hAnsi="Times New Roman"/>
                <w:sz w:val="18"/>
                <w:szCs w:val="18"/>
                <w:b w:val="1"/>
                <w:bCs w:val="1"/>
                <w:color w:val="auto"/>
              </w:rPr>
              <w:t>BENEFICIALLY</w:t>
            </w:r>
          </w:p>
        </w:tc>
        <w:tc>
          <w:tcPr>
            <w:tcW w:w="140" w:type="dxa"/>
            <w:vAlign w:val="bottom"/>
            <w:tcBorders>
              <w:bottom w:val="single" w:sz="8" w:color="auto"/>
            </w:tcBorders>
          </w:tcPr>
          <w:p>
            <w:pPr>
              <w:spacing w:after="0"/>
              <w:rPr>
                <w:sz w:val="21"/>
                <w:szCs w:val="21"/>
                <w:color w:val="auto"/>
              </w:rPr>
            </w:pPr>
          </w:p>
        </w:tc>
        <w:tc>
          <w:tcPr>
            <w:tcW w:w="400" w:type="dxa"/>
            <w:vAlign w:val="bottom"/>
            <w:tcBorders>
              <w:bottom w:val="single" w:sz="8" w:color="auto"/>
              <w:right w:val="single" w:sz="8" w:color="auto"/>
            </w:tcBorders>
          </w:tcPr>
          <w:p>
            <w:pPr>
              <w:spacing w:after="0"/>
              <w:rPr>
                <w:sz w:val="21"/>
                <w:szCs w:val="21"/>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67"/>
        </w:trPr>
        <w:tc>
          <w:tcPr>
            <w:tcW w:w="300" w:type="dxa"/>
            <w:vAlign w:val="bottom"/>
            <w:tcBorders>
              <w:left w:val="single" w:sz="8" w:color="auto"/>
            </w:tcBorders>
          </w:tcPr>
          <w:p>
            <w:pPr>
              <w:spacing w:after="0"/>
              <w:rPr>
                <w:sz w:val="14"/>
                <w:szCs w:val="14"/>
                <w:color w:val="auto"/>
              </w:rPr>
            </w:pPr>
          </w:p>
        </w:tc>
        <w:tc>
          <w:tcPr>
            <w:tcW w:w="1900" w:type="dxa"/>
            <w:vAlign w:val="bottom"/>
            <w:tcBorders>
              <w:right w:val="single" w:sz="8" w:color="auto"/>
            </w:tcBorders>
            <w:gridSpan w:val="2"/>
          </w:tcPr>
          <w:p>
            <w:pPr>
              <w:jc w:val="center"/>
              <w:ind w:right="250"/>
              <w:spacing w:after="0" w:line="167" w:lineRule="exact"/>
              <w:rPr>
                <w:sz w:val="20"/>
                <w:szCs w:val="20"/>
                <w:color w:val="auto"/>
              </w:rPr>
            </w:pPr>
            <w:r>
              <w:rPr>
                <w:rFonts w:ascii="Times New Roman" w:cs="Times New Roman" w:eastAsia="Times New Roman" w:hAnsi="Times New Roman"/>
                <w:sz w:val="18"/>
                <w:szCs w:val="18"/>
                <w:b w:val="1"/>
                <w:bCs w:val="1"/>
                <w:color w:val="auto"/>
                <w:w w:val="99"/>
              </w:rPr>
              <w:t>OWNED BY EACH</w:t>
            </w:r>
          </w:p>
        </w:tc>
        <w:tc>
          <w:tcPr>
            <w:tcW w:w="140" w:type="dxa"/>
            <w:vAlign w:val="bottom"/>
          </w:tcPr>
          <w:p>
            <w:pPr>
              <w:spacing w:after="0"/>
              <w:rPr>
                <w:sz w:val="14"/>
                <w:szCs w:val="14"/>
                <w:color w:val="auto"/>
              </w:rPr>
            </w:pPr>
          </w:p>
        </w:tc>
        <w:tc>
          <w:tcPr>
            <w:tcW w:w="400" w:type="dxa"/>
            <w:vAlign w:val="bottom"/>
            <w:tcBorders>
              <w:right w:val="single" w:sz="8" w:color="auto"/>
            </w:tcBorders>
          </w:tcPr>
          <w:p>
            <w:pPr>
              <w:spacing w:after="0"/>
              <w:rPr>
                <w:sz w:val="14"/>
                <w:szCs w:val="14"/>
                <w:color w:val="auto"/>
              </w:rPr>
            </w:pPr>
          </w:p>
        </w:tc>
        <w:tc>
          <w:tcPr>
            <w:tcW w:w="7300" w:type="dxa"/>
            <w:vAlign w:val="bottom"/>
          </w:tcPr>
          <w:p>
            <w:pPr>
              <w:spacing w:after="0" w:line="167" w:lineRule="exact"/>
              <w:rPr>
                <w:sz w:val="20"/>
                <w:szCs w:val="20"/>
                <w:color w:val="auto"/>
              </w:rPr>
            </w:pPr>
            <w:r>
              <w:rPr>
                <w:rFonts w:ascii="Times New Roman" w:cs="Times New Roman" w:eastAsia="Times New Roman" w:hAnsi="Times New Roman"/>
                <w:sz w:val="18"/>
                <w:szCs w:val="18"/>
                <w:b w:val="1"/>
                <w:bCs w:val="1"/>
                <w:color w:val="auto"/>
              </w:rPr>
              <w:t>SOLE DISPOSITIVE POWER</w:t>
            </w:r>
          </w:p>
        </w:tc>
        <w:tc>
          <w:tcPr>
            <w:tcW w:w="120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16"/>
        </w:trPr>
        <w:tc>
          <w:tcPr>
            <w:tcW w:w="300" w:type="dxa"/>
            <w:vAlign w:val="bottom"/>
            <w:tcBorders>
              <w:left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800" w:type="dxa"/>
            <w:vAlign w:val="bottom"/>
            <w:tcBorders>
              <w:right w:val="single" w:sz="8" w:color="auto"/>
            </w:tcBorders>
          </w:tcPr>
          <w:p>
            <w:pPr>
              <w:jc w:val="center"/>
              <w:ind w:right="290"/>
              <w:spacing w:after="0"/>
              <w:rPr>
                <w:sz w:val="20"/>
                <w:szCs w:val="20"/>
                <w:color w:val="auto"/>
              </w:rPr>
            </w:pPr>
            <w:r>
              <w:rPr>
                <w:rFonts w:ascii="Times New Roman" w:cs="Times New Roman" w:eastAsia="Times New Roman" w:hAnsi="Times New Roman"/>
                <w:sz w:val="18"/>
                <w:szCs w:val="18"/>
                <w:b w:val="1"/>
                <w:bCs w:val="1"/>
                <w:color w:val="auto"/>
              </w:rPr>
              <w:t>REPORTING</w:t>
            </w:r>
          </w:p>
        </w:tc>
        <w:tc>
          <w:tcPr>
            <w:tcW w:w="140" w:type="dxa"/>
            <w:vAlign w:val="bottom"/>
          </w:tcPr>
          <w:p>
            <w:pPr>
              <w:spacing w:after="0"/>
              <w:rPr>
                <w:sz w:val="18"/>
                <w:szCs w:val="18"/>
                <w:color w:val="auto"/>
              </w:rPr>
            </w:pPr>
          </w:p>
        </w:tc>
        <w:tc>
          <w:tcPr>
            <w:tcW w:w="400" w:type="dxa"/>
            <w:vAlign w:val="bottom"/>
            <w:tcBorders>
              <w:right w:val="single" w:sz="8" w:color="auto"/>
            </w:tcBorders>
          </w:tcPr>
          <w:p>
            <w:pPr>
              <w:jc w:val="center"/>
              <w:ind w:right="70"/>
              <w:spacing w:after="0"/>
              <w:rPr>
                <w:sz w:val="20"/>
                <w:szCs w:val="20"/>
                <w:color w:val="auto"/>
              </w:rPr>
            </w:pPr>
            <w:r>
              <w:rPr>
                <w:rFonts w:ascii="Times New Roman" w:cs="Times New Roman" w:eastAsia="Times New Roman" w:hAnsi="Times New Roman"/>
                <w:sz w:val="18"/>
                <w:szCs w:val="18"/>
                <w:b w:val="1"/>
                <w:bCs w:val="1"/>
                <w:color w:val="auto"/>
                <w:w w:val="88"/>
              </w:rPr>
              <w:t>9</w:t>
            </w:r>
          </w:p>
        </w:tc>
        <w:tc>
          <w:tcPr>
            <w:tcW w:w="7300" w:type="dxa"/>
            <w:vAlign w:val="bottom"/>
          </w:tcPr>
          <w:p>
            <w:pPr>
              <w:spacing w:after="0"/>
              <w:rPr>
                <w:sz w:val="18"/>
                <w:szCs w:val="18"/>
                <w:color w:val="auto"/>
              </w:rPr>
            </w:pPr>
          </w:p>
        </w:tc>
        <w:tc>
          <w:tcPr>
            <w:tcW w:w="1200" w:type="dxa"/>
            <w:vAlign w:val="bottom"/>
            <w:tcBorders>
              <w:right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272"/>
        </w:trPr>
        <w:tc>
          <w:tcPr>
            <w:tcW w:w="300" w:type="dxa"/>
            <w:vAlign w:val="bottom"/>
            <w:tcBorders>
              <w:left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800" w:type="dxa"/>
            <w:vAlign w:val="bottom"/>
            <w:tcBorders>
              <w:right w:val="single" w:sz="8" w:color="auto"/>
            </w:tcBorders>
          </w:tcPr>
          <w:p>
            <w:pPr>
              <w:ind w:left="60"/>
              <w:spacing w:after="0"/>
              <w:rPr>
                <w:sz w:val="20"/>
                <w:szCs w:val="20"/>
                <w:color w:val="auto"/>
              </w:rPr>
            </w:pPr>
            <w:r>
              <w:rPr>
                <w:rFonts w:ascii="Times New Roman" w:cs="Times New Roman" w:eastAsia="Times New Roman" w:hAnsi="Times New Roman"/>
                <w:sz w:val="18"/>
                <w:szCs w:val="18"/>
                <w:b w:val="1"/>
                <w:bCs w:val="1"/>
                <w:color w:val="auto"/>
              </w:rPr>
              <w:t>PERSON WITH</w:t>
            </w:r>
          </w:p>
        </w:tc>
        <w:tc>
          <w:tcPr>
            <w:tcW w:w="140" w:type="dxa"/>
            <w:vAlign w:val="bottom"/>
            <w:tcBorders>
              <w:bottom w:val="single" w:sz="8" w:color="auto"/>
            </w:tcBorders>
          </w:tcPr>
          <w:p>
            <w:pPr>
              <w:spacing w:after="0"/>
              <w:rPr>
                <w:sz w:val="23"/>
                <w:szCs w:val="23"/>
                <w:color w:val="auto"/>
              </w:rPr>
            </w:pPr>
          </w:p>
        </w:tc>
        <w:tc>
          <w:tcPr>
            <w:tcW w:w="400" w:type="dxa"/>
            <w:vAlign w:val="bottom"/>
            <w:tcBorders>
              <w:bottom w:val="single" w:sz="8" w:color="auto"/>
              <w:right w:val="single" w:sz="8" w:color="auto"/>
            </w:tcBorders>
          </w:tcPr>
          <w:p>
            <w:pPr>
              <w:spacing w:after="0"/>
              <w:rPr>
                <w:sz w:val="23"/>
                <w:szCs w:val="23"/>
                <w:color w:val="auto"/>
              </w:rPr>
            </w:pPr>
          </w:p>
        </w:tc>
        <w:tc>
          <w:tcPr>
            <w:tcW w:w="73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bottom w:val="single" w:sz="8" w:color="auto"/>
              <w:right w:val="single" w:sz="8" w:color="auto"/>
            </w:tcBorders>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300" w:type="dxa"/>
            <w:vAlign w:val="bottom"/>
            <w:tcBorders>
              <w:left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0" w:type="dxa"/>
            <w:vAlign w:val="bottom"/>
            <w:tcBorders>
              <w:right w:val="single" w:sz="8" w:color="auto"/>
            </w:tcBorders>
          </w:tcPr>
          <w:p>
            <w:pPr>
              <w:spacing w:after="0"/>
              <w:rPr>
                <w:sz w:val="20"/>
                <w:szCs w:val="20"/>
                <w:color w:val="auto"/>
              </w:rPr>
            </w:pPr>
          </w:p>
        </w:tc>
        <w:tc>
          <w:tcPr>
            <w:tcW w:w="140" w:type="dxa"/>
            <w:vAlign w:val="bottom"/>
          </w:tcPr>
          <w:p>
            <w:pPr>
              <w:spacing w:after="0"/>
              <w:rPr>
                <w:sz w:val="20"/>
                <w:szCs w:val="20"/>
                <w:color w:val="auto"/>
              </w:rPr>
            </w:pPr>
          </w:p>
        </w:tc>
        <w:tc>
          <w:tcPr>
            <w:tcW w:w="400" w:type="dxa"/>
            <w:vAlign w:val="bottom"/>
            <w:tcBorders>
              <w:right w:val="single" w:sz="8" w:color="auto"/>
            </w:tcBorders>
            <w:vMerge w:val="restart"/>
          </w:tcPr>
          <w:p>
            <w:pPr>
              <w:jc w:val="center"/>
              <w:ind w:right="90"/>
              <w:spacing w:after="0"/>
              <w:rPr>
                <w:sz w:val="20"/>
                <w:szCs w:val="20"/>
                <w:color w:val="auto"/>
              </w:rPr>
            </w:pPr>
            <w:r>
              <w:rPr>
                <w:rFonts w:ascii="Times New Roman" w:cs="Times New Roman" w:eastAsia="Times New Roman" w:hAnsi="Times New Roman"/>
                <w:sz w:val="18"/>
                <w:szCs w:val="18"/>
                <w:b w:val="1"/>
                <w:bCs w:val="1"/>
                <w:color w:val="auto"/>
                <w:w w:val="99"/>
              </w:rPr>
              <w:t>10</w:t>
            </w:r>
          </w:p>
        </w:tc>
        <w:tc>
          <w:tcPr>
            <w:tcW w:w="730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120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4"/>
        </w:trPr>
        <w:tc>
          <w:tcPr>
            <w:tcW w:w="300" w:type="dxa"/>
            <w:vAlign w:val="bottom"/>
            <w:tcBorders>
              <w:left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0" w:type="dxa"/>
            <w:vAlign w:val="bottom"/>
            <w:tcBorders>
              <w:right w:val="single" w:sz="8" w:color="auto"/>
            </w:tcBorders>
          </w:tcPr>
          <w:p>
            <w:pPr>
              <w:spacing w:after="0"/>
              <w:rPr>
                <w:sz w:val="16"/>
                <w:szCs w:val="16"/>
                <w:color w:val="auto"/>
              </w:rPr>
            </w:pPr>
          </w:p>
        </w:tc>
        <w:tc>
          <w:tcPr>
            <w:tcW w:w="140" w:type="dxa"/>
            <w:vAlign w:val="bottom"/>
          </w:tcPr>
          <w:p>
            <w:pPr>
              <w:spacing w:after="0"/>
              <w:rPr>
                <w:sz w:val="16"/>
                <w:szCs w:val="16"/>
                <w:color w:val="auto"/>
              </w:rPr>
            </w:pPr>
          </w:p>
        </w:tc>
        <w:tc>
          <w:tcPr>
            <w:tcW w:w="400" w:type="dxa"/>
            <w:vAlign w:val="bottom"/>
            <w:tcBorders>
              <w:right w:val="single" w:sz="8" w:color="auto"/>
            </w:tcBorders>
            <w:vMerge w:val="continue"/>
          </w:tcPr>
          <w:p>
            <w:pPr>
              <w:spacing w:after="0"/>
              <w:rPr>
                <w:sz w:val="16"/>
                <w:szCs w:val="16"/>
                <w:color w:val="auto"/>
              </w:rPr>
            </w:pPr>
          </w:p>
        </w:tc>
        <w:tc>
          <w:tcPr>
            <w:tcW w:w="730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-0-</w:t>
            </w:r>
          </w:p>
        </w:tc>
        <w:tc>
          <w:tcPr>
            <w:tcW w:w="120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3"/>
        </w:trPr>
        <w:tc>
          <w:tcPr>
            <w:tcW w:w="300" w:type="dxa"/>
            <w:vAlign w:val="bottom"/>
            <w:tcBorders>
              <w:left w:val="single" w:sz="8" w:color="auto"/>
              <w:bottom w:val="single" w:sz="8" w:color="auto"/>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1800" w:type="dxa"/>
            <w:vAlign w:val="bottom"/>
            <w:tcBorders>
              <w:bottom w:val="single" w:sz="8" w:color="auto"/>
              <w:right w:val="single" w:sz="8" w:color="auto"/>
            </w:tcBorders>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400" w:type="dxa"/>
            <w:vAlign w:val="bottom"/>
            <w:tcBorders>
              <w:bottom w:val="single" w:sz="8" w:color="auto"/>
              <w:right w:val="single" w:sz="8" w:color="auto"/>
            </w:tcBorders>
          </w:tcPr>
          <w:p>
            <w:pPr>
              <w:spacing w:after="0"/>
              <w:rPr>
                <w:sz w:val="19"/>
                <w:szCs w:val="19"/>
                <w:color w:val="auto"/>
              </w:rPr>
            </w:pPr>
          </w:p>
        </w:tc>
        <w:tc>
          <w:tcPr>
            <w:tcW w:w="730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10"/>
              <w:spacing w:after="0"/>
              <w:rPr>
                <w:sz w:val="20"/>
                <w:szCs w:val="20"/>
                <w:color w:val="auto"/>
              </w:rPr>
            </w:pPr>
            <w:r>
              <w:rPr>
                <w:rFonts w:ascii="Times New Roman" w:cs="Times New Roman" w:eastAsia="Times New Roman" w:hAnsi="Times New Roman"/>
                <w:sz w:val="18"/>
                <w:szCs w:val="18"/>
                <w:b w:val="1"/>
                <w:bCs w:val="1"/>
                <w:color w:val="auto"/>
                <w:w w:val="88"/>
              </w:rPr>
              <w:t>11</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AGGREGATE AMOUNT BENEFICIALLY OWNED BY EACH REPORTING PERSON</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2"/>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5"/>
        </w:trPr>
        <w:tc>
          <w:tcPr>
            <w:tcW w:w="300" w:type="dxa"/>
            <w:vAlign w:val="bottom"/>
            <w:tcBorders>
              <w:left w:val="single" w:sz="8" w:color="auto"/>
            </w:tcBorders>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12</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CHECK BOX IF THE AGGREGATE AMOUNT IN ROW (11) EXCLUDES CERTAIN SHARES</w:t>
            </w:r>
          </w:p>
        </w:tc>
        <w:tc>
          <w:tcPr>
            <w:tcW w:w="1200" w:type="dxa"/>
            <w:vAlign w:val="bottom"/>
            <w:tcBorders>
              <w:right w:val="single" w:sz="8" w:color="auto"/>
            </w:tcBorders>
          </w:tcPr>
          <w:p>
            <w:pPr>
              <w:jc w:val="right"/>
              <w:ind w:right="370"/>
              <w:spacing w:after="0" w:line="181" w:lineRule="exact"/>
              <w:rPr>
                <w:sz w:val="20"/>
                <w:szCs w:val="20"/>
                <w:color w:val="auto"/>
              </w:rPr>
            </w:pPr>
            <w:r>
              <w:rPr>
                <w:rFonts w:ascii="MS PGothic" w:cs="MS PGothic" w:eastAsia="MS PGothic" w:hAnsi="MS PGothic"/>
                <w:sz w:val="18"/>
                <w:szCs w:val="18"/>
                <w:color w:val="auto"/>
              </w:rPr>
              <w:t>☐</w:t>
            </w:r>
          </w:p>
        </w:tc>
        <w:tc>
          <w:tcPr>
            <w:tcW w:w="0" w:type="dxa"/>
            <w:vAlign w:val="bottom"/>
          </w:tcPr>
          <w:p>
            <w:pPr>
              <w:spacing w:after="0"/>
              <w:rPr>
                <w:sz w:val="1"/>
                <w:szCs w:val="1"/>
                <w:color w:val="auto"/>
              </w:rPr>
            </w:pPr>
          </w:p>
        </w:tc>
      </w:tr>
      <w:tr>
        <w:trPr>
          <w:trHeight w:val="262"/>
        </w:trPr>
        <w:tc>
          <w:tcPr>
            <w:tcW w:w="300" w:type="dxa"/>
            <w:vAlign w:val="bottom"/>
            <w:tcBorders>
              <w:left w:val="single" w:sz="8" w:color="auto"/>
              <w:bottom w:val="single" w:sz="8" w:color="auto"/>
            </w:tcBorders>
          </w:tcPr>
          <w:p>
            <w:pPr>
              <w:spacing w:after="0"/>
              <w:rPr>
                <w:sz w:val="22"/>
                <w:szCs w:val="22"/>
                <w:color w:val="auto"/>
              </w:rPr>
            </w:pPr>
          </w:p>
        </w:tc>
        <w:tc>
          <w:tcPr>
            <w:tcW w:w="100" w:type="dxa"/>
            <w:vAlign w:val="bottom"/>
            <w:tcBorders>
              <w:bottom w:val="single" w:sz="8" w:color="auto"/>
              <w:right w:val="single" w:sz="8" w:color="auto"/>
            </w:tcBorders>
          </w:tcPr>
          <w:p>
            <w:pPr>
              <w:spacing w:after="0"/>
              <w:rPr>
                <w:sz w:val="22"/>
                <w:szCs w:val="22"/>
                <w:color w:val="auto"/>
              </w:rPr>
            </w:pPr>
          </w:p>
        </w:tc>
        <w:tc>
          <w:tcPr>
            <w:tcW w:w="1940" w:type="dxa"/>
            <w:vAlign w:val="bottom"/>
            <w:tcBorders>
              <w:bottom w:val="single" w:sz="8" w:color="auto"/>
            </w:tcBorders>
            <w:gridSpan w:val="2"/>
          </w:tcPr>
          <w:p>
            <w:pPr>
              <w:ind w:left="40"/>
              <w:spacing w:after="0"/>
              <w:rPr>
                <w:sz w:val="20"/>
                <w:szCs w:val="20"/>
                <w:color w:val="auto"/>
              </w:rPr>
            </w:pPr>
            <w:r>
              <w:rPr>
                <w:rFonts w:ascii="Times New Roman" w:cs="Times New Roman" w:eastAsia="Times New Roman" w:hAnsi="Times New Roman"/>
                <w:sz w:val="18"/>
                <w:szCs w:val="18"/>
                <w:b w:val="1"/>
                <w:bCs w:val="1"/>
                <w:color w:val="auto"/>
              </w:rPr>
              <w:t>(SEE INSTRUCTIONS)</w:t>
            </w:r>
          </w:p>
        </w:tc>
        <w:tc>
          <w:tcPr>
            <w:tcW w:w="400" w:type="dxa"/>
            <w:vAlign w:val="bottom"/>
            <w:tcBorders>
              <w:bottom w:val="single" w:sz="8" w:color="auto"/>
            </w:tcBorders>
          </w:tcPr>
          <w:p>
            <w:pPr>
              <w:spacing w:after="0"/>
              <w:rPr>
                <w:sz w:val="22"/>
                <w:szCs w:val="22"/>
                <w:color w:val="auto"/>
              </w:rPr>
            </w:pPr>
          </w:p>
        </w:tc>
        <w:tc>
          <w:tcPr>
            <w:tcW w:w="7300" w:type="dxa"/>
            <w:vAlign w:val="bottom"/>
            <w:tcBorders>
              <w:bottom w:val="single" w:sz="8" w:color="auto"/>
            </w:tcBorders>
          </w:tcPr>
          <w:p>
            <w:pPr>
              <w:spacing w:after="0"/>
              <w:rPr>
                <w:sz w:val="22"/>
                <w:szCs w:val="22"/>
                <w:color w:val="auto"/>
              </w:rPr>
            </w:pPr>
          </w:p>
        </w:tc>
        <w:tc>
          <w:tcPr>
            <w:tcW w:w="1200" w:type="dxa"/>
            <w:vAlign w:val="bottom"/>
            <w:tcBorders>
              <w:bottom w:val="single" w:sz="8" w:color="auto"/>
              <w:right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13</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(11)</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800" w:type="dxa"/>
            <w:vAlign w:val="bottom"/>
            <w:vMerge w:val="restart"/>
          </w:tcPr>
          <w:p>
            <w:pPr>
              <w:ind w:left="40"/>
              <w:spacing w:after="0"/>
              <w:rPr>
                <w:sz w:val="20"/>
                <w:szCs w:val="20"/>
                <w:color w:val="auto"/>
              </w:rPr>
            </w:pPr>
            <w:r>
              <w:rPr>
                <w:rFonts w:ascii="Times New Roman" w:cs="Times New Roman" w:eastAsia="Times New Roman" w:hAnsi="Times New Roman"/>
                <w:sz w:val="18"/>
                <w:szCs w:val="18"/>
                <w:color w:val="auto"/>
              </w:rPr>
              <w:t>0.00%</w:t>
            </w:r>
          </w:p>
        </w:tc>
        <w:tc>
          <w:tcPr>
            <w:tcW w:w="14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800" w:type="dxa"/>
            <w:vAlign w:val="bottom"/>
            <w:vMerge w:val="continue"/>
          </w:tcPr>
          <w:p>
            <w:pPr>
              <w:spacing w:after="0"/>
              <w:rPr>
                <w:sz w:val="19"/>
                <w:szCs w:val="19"/>
                <w:color w:val="auto"/>
              </w:rPr>
            </w:pPr>
          </w:p>
        </w:tc>
        <w:tc>
          <w:tcPr>
            <w:tcW w:w="1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300" w:type="dxa"/>
            <w:vAlign w:val="bottom"/>
            <w:tcBorders>
              <w:left w:val="single" w:sz="8" w:color="auto"/>
            </w:tcBorders>
            <w:vMerge w:val="restart"/>
          </w:tcPr>
          <w:p>
            <w:pPr>
              <w:jc w:val="center"/>
              <w:ind w:left="30"/>
              <w:spacing w:after="0"/>
              <w:rPr>
                <w:sz w:val="20"/>
                <w:szCs w:val="20"/>
                <w:color w:val="auto"/>
              </w:rPr>
            </w:pPr>
            <w:r>
              <w:rPr>
                <w:rFonts w:ascii="Times New Roman" w:cs="Times New Roman" w:eastAsia="Times New Roman" w:hAnsi="Times New Roman"/>
                <w:sz w:val="18"/>
                <w:szCs w:val="18"/>
                <w:b w:val="1"/>
                <w:bCs w:val="1"/>
                <w:color w:val="auto"/>
                <w:w w:val="99"/>
              </w:rPr>
              <w:t>14</w:t>
            </w:r>
          </w:p>
        </w:tc>
        <w:tc>
          <w:tcPr>
            <w:tcW w:w="100" w:type="dxa"/>
            <w:vAlign w:val="bottom"/>
            <w:tcBorders>
              <w:right w:val="single" w:sz="8" w:color="auto"/>
            </w:tcBorders>
          </w:tcPr>
          <w:p>
            <w:pPr>
              <w:spacing w:after="0"/>
              <w:rPr>
                <w:sz w:val="21"/>
                <w:szCs w:val="21"/>
                <w:color w:val="auto"/>
              </w:rPr>
            </w:pPr>
          </w:p>
        </w:tc>
        <w:tc>
          <w:tcPr>
            <w:tcW w:w="9640" w:type="dxa"/>
            <w:vAlign w:val="bottom"/>
            <w:gridSpan w:val="4"/>
          </w:tcPr>
          <w:p>
            <w:pPr>
              <w:ind w:left="4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120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300" w:type="dxa"/>
            <w:vAlign w:val="bottom"/>
            <w:tcBorders>
              <w:left w:val="single" w:sz="8" w:color="auto"/>
            </w:tcBorders>
            <w:vMerge w:val="continue"/>
          </w:tcPr>
          <w:p>
            <w:pPr>
              <w:spacing w:after="0"/>
              <w:rPr>
                <w:sz w:val="17"/>
                <w:szCs w:val="17"/>
                <w:color w:val="auto"/>
              </w:rPr>
            </w:pPr>
          </w:p>
        </w:tc>
        <w:tc>
          <w:tcPr>
            <w:tcW w:w="100" w:type="dxa"/>
            <w:vAlign w:val="bottom"/>
            <w:tcBorders>
              <w:right w:val="single" w:sz="8" w:color="auto"/>
            </w:tcBorders>
          </w:tcPr>
          <w:p>
            <w:pPr>
              <w:spacing w:after="0"/>
              <w:rPr>
                <w:sz w:val="17"/>
                <w:szCs w:val="17"/>
                <w:color w:val="auto"/>
              </w:rPr>
            </w:pPr>
          </w:p>
        </w:tc>
        <w:tc>
          <w:tcPr>
            <w:tcW w:w="1940" w:type="dxa"/>
            <w:vAlign w:val="bottom"/>
            <w:gridSpan w:val="2"/>
            <w:vMerge w:val="restart"/>
          </w:tcPr>
          <w:p>
            <w:pPr>
              <w:ind w:left="40"/>
              <w:spacing w:after="0"/>
              <w:rPr>
                <w:sz w:val="20"/>
                <w:szCs w:val="20"/>
                <w:color w:val="auto"/>
              </w:rPr>
            </w:pPr>
            <w:r>
              <w:rPr>
                <w:rFonts w:ascii="Times New Roman" w:cs="Times New Roman" w:eastAsia="Times New Roman" w:hAnsi="Times New Roman"/>
                <w:sz w:val="18"/>
                <w:szCs w:val="18"/>
                <w:color w:val="auto"/>
              </w:rPr>
              <w:t>PN, IA</w:t>
            </w:r>
          </w:p>
        </w:tc>
        <w:tc>
          <w:tcPr>
            <w:tcW w:w="400" w:type="dxa"/>
            <w:vAlign w:val="bottom"/>
          </w:tcPr>
          <w:p>
            <w:pPr>
              <w:spacing w:after="0"/>
              <w:rPr>
                <w:sz w:val="17"/>
                <w:szCs w:val="17"/>
                <w:color w:val="auto"/>
              </w:rPr>
            </w:pPr>
          </w:p>
        </w:tc>
        <w:tc>
          <w:tcPr>
            <w:tcW w:w="7300" w:type="dxa"/>
            <w:vAlign w:val="bottom"/>
          </w:tcPr>
          <w:p>
            <w:pPr>
              <w:spacing w:after="0"/>
              <w:rPr>
                <w:sz w:val="17"/>
                <w:szCs w:val="17"/>
                <w:color w:val="auto"/>
              </w:rPr>
            </w:pPr>
          </w:p>
        </w:tc>
        <w:tc>
          <w:tcPr>
            <w:tcW w:w="120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300" w:type="dxa"/>
            <w:vAlign w:val="bottom"/>
            <w:tcBorders>
              <w:left w:val="single" w:sz="8" w:color="auto"/>
            </w:tcBorders>
          </w:tcPr>
          <w:p>
            <w:pPr>
              <w:spacing w:after="0"/>
              <w:rPr>
                <w:sz w:val="19"/>
                <w:szCs w:val="19"/>
                <w:color w:val="auto"/>
              </w:rPr>
            </w:pPr>
          </w:p>
        </w:tc>
        <w:tc>
          <w:tcPr>
            <w:tcW w:w="100" w:type="dxa"/>
            <w:vAlign w:val="bottom"/>
            <w:tcBorders>
              <w:right w:val="single" w:sz="8" w:color="auto"/>
            </w:tcBorders>
          </w:tcPr>
          <w:p>
            <w:pPr>
              <w:spacing w:after="0"/>
              <w:rPr>
                <w:sz w:val="19"/>
                <w:szCs w:val="19"/>
                <w:color w:val="auto"/>
              </w:rPr>
            </w:pPr>
          </w:p>
        </w:tc>
        <w:tc>
          <w:tcPr>
            <w:tcW w:w="1940" w:type="dxa"/>
            <w:vAlign w:val="bottom"/>
            <w:gridSpan w:val="2"/>
            <w:vMerge w:val="continue"/>
          </w:tcPr>
          <w:p>
            <w:pPr>
              <w:spacing w:after="0"/>
              <w:rPr>
                <w:sz w:val="19"/>
                <w:szCs w:val="19"/>
                <w:color w:val="auto"/>
              </w:rPr>
            </w:pPr>
          </w:p>
        </w:tc>
        <w:tc>
          <w:tcPr>
            <w:tcW w:w="400" w:type="dxa"/>
            <w:vAlign w:val="bottom"/>
          </w:tcPr>
          <w:p>
            <w:pPr>
              <w:spacing w:after="0"/>
              <w:rPr>
                <w:sz w:val="19"/>
                <w:szCs w:val="19"/>
                <w:color w:val="auto"/>
              </w:rPr>
            </w:pPr>
          </w:p>
        </w:tc>
        <w:tc>
          <w:tcPr>
            <w:tcW w:w="7300" w:type="dxa"/>
            <w:vAlign w:val="bottom"/>
          </w:tcPr>
          <w:p>
            <w:pPr>
              <w:spacing w:after="0"/>
              <w:rPr>
                <w:sz w:val="19"/>
                <w:szCs w:val="19"/>
                <w:color w:val="auto"/>
              </w:rPr>
            </w:pPr>
          </w:p>
        </w:tc>
        <w:tc>
          <w:tcPr>
            <w:tcW w:w="120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4"/>
        </w:trPr>
        <w:tc>
          <w:tcPr>
            <w:tcW w:w="300" w:type="dxa"/>
            <w:vAlign w:val="bottom"/>
            <w:tcBorders>
              <w:left w:val="single" w:sz="8" w:color="auto"/>
              <w:bottom w:val="single" w:sz="8" w:color="auto"/>
            </w:tcBorders>
          </w:tcPr>
          <w:p>
            <w:pPr>
              <w:spacing w:after="0"/>
              <w:rPr>
                <w:sz w:val="2"/>
                <w:szCs w:val="2"/>
                <w:color w:val="auto"/>
              </w:rPr>
            </w:pPr>
          </w:p>
        </w:tc>
        <w:tc>
          <w:tcPr>
            <w:tcW w:w="100" w:type="dxa"/>
            <w:vAlign w:val="bottom"/>
            <w:tcBorders>
              <w:bottom w:val="single" w:sz="8" w:color="auto"/>
              <w:right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7300" w:type="dxa"/>
            <w:vAlign w:val="bottom"/>
            <w:tcBorders>
              <w:bottom w:val="single" w:sz="8" w:color="auto"/>
            </w:tcBorders>
          </w:tcPr>
          <w:p>
            <w:pPr>
              <w:spacing w:after="0"/>
              <w:rPr>
                <w:sz w:val="2"/>
                <w:szCs w:val="2"/>
                <w:color w:val="auto"/>
              </w:rPr>
            </w:pPr>
          </w:p>
        </w:tc>
        <w:tc>
          <w:tcPr>
            <w:tcW w:w="1200" w:type="dxa"/>
            <w:vAlign w:val="bottom"/>
            <w:tcBorders>
              <w:bottom w:val="single" w:sz="8" w:color="auto"/>
              <w:right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655"/>
        </w:trPr>
        <w:tc>
          <w:tcPr>
            <w:tcW w:w="3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700" w:type="dxa"/>
            <w:vAlign w:val="bottom"/>
            <w:tcBorders>
              <w:bottom w:val="single" w:sz="8" w:color="auto"/>
            </w:tcBorders>
            <w:gridSpan w:val="2"/>
          </w:tcPr>
          <w:p>
            <w:pPr>
              <w:jc w:val="right"/>
              <w:ind w:right="4170"/>
              <w:spacing w:after="0"/>
              <w:rPr>
                <w:sz w:val="20"/>
                <w:szCs w:val="20"/>
                <w:color w:val="auto"/>
              </w:rPr>
            </w:pPr>
            <w:r>
              <w:rPr>
                <w:rFonts w:ascii="Times New Roman" w:cs="Times New Roman" w:eastAsia="Times New Roman" w:hAnsi="Times New Roman"/>
                <w:sz w:val="18"/>
                <w:szCs w:val="18"/>
                <w:color w:val="auto"/>
              </w:rPr>
              <w:t>- 9 -</w:t>
            </w:r>
          </w:p>
        </w:tc>
        <w:tc>
          <w:tcPr>
            <w:tcW w:w="1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240"/>
          </w:cols>
          <w:pgMar w:left="320" w:top="900"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8"/>
          <w:szCs w:val="18"/>
          <w:b w:val="1"/>
          <w:bCs w:val="1"/>
          <w:color w:val="auto"/>
        </w:rPr>
        <w:t>Explanatory Note</w:t>
      </w:r>
    </w:p>
    <w:p>
      <w:pPr>
        <w:spacing w:after="0" w:line="229" w:lineRule="exact"/>
        <w:rPr>
          <w:sz w:val="20"/>
          <w:szCs w:val="20"/>
          <w:color w:val="auto"/>
        </w:rPr>
      </w:pPr>
    </w:p>
    <w:p>
      <w:pPr>
        <w:ind w:right="120"/>
        <w:spacing w:after="0" w:line="261" w:lineRule="auto"/>
        <w:rPr>
          <w:sz w:val="20"/>
          <w:szCs w:val="20"/>
          <w:color w:val="auto"/>
        </w:rPr>
      </w:pPr>
      <w:r>
        <w:rPr>
          <w:rFonts w:ascii="Times New Roman" w:cs="Times New Roman" w:eastAsia="Times New Roman" w:hAnsi="Times New Roman"/>
          <w:sz w:val="18"/>
          <w:szCs w:val="18"/>
          <w:color w:val="auto"/>
        </w:rPr>
        <w:t>This Amendment No. 2 to Schedule 13D (this “Amendment No. 2”) amends and supplements the initial statement on Schedule 13D that was filed on June 18, 2021 (the “Initial Statement”), as amended by Amendment No. 1 filed on December 17, 2021 (“Amendment No. 1” and, together with the Initial Statement, the “Schedule 13D”), relating to the Ordinary Shares of the Issuer, a company formed under the laws of the State of Israel, whose principal executive offices are located at 1 Walter Moses St., Tel Aviv, 6789903, and its business telephone number is +972 (3) 763-0333.</w:t>
      </w:r>
    </w:p>
    <w:p>
      <w:pPr>
        <w:spacing w:after="0" w:line="180" w:lineRule="exact"/>
        <w:rPr>
          <w:sz w:val="20"/>
          <w:szCs w:val="20"/>
          <w:color w:val="auto"/>
        </w:rPr>
      </w:pPr>
    </w:p>
    <w:p>
      <w:pPr>
        <w:ind w:right="60"/>
        <w:spacing w:after="0" w:line="266" w:lineRule="auto"/>
        <w:rPr>
          <w:sz w:val="20"/>
          <w:szCs w:val="20"/>
          <w:color w:val="auto"/>
        </w:rPr>
      </w:pPr>
      <w:r>
        <w:rPr>
          <w:rFonts w:ascii="Times New Roman" w:cs="Times New Roman" w:eastAsia="Times New Roman" w:hAnsi="Times New Roman"/>
          <w:sz w:val="18"/>
          <w:szCs w:val="18"/>
          <w:color w:val="auto"/>
        </w:rPr>
        <w:t>Information given in response to any item of the Schedule 13D, as amended and supplemented by this Amendment No. 2 (as so amended and supplemented, this “Statement”), shall be deemed incorporated by reference in all other items as applicable. Unless noted otherwise, capitalized terms used but not defined in this Amendment No. 2 shall have the same meanings ascribed to them in the Schedule 13D.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Purpose of Transaction.</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4 of the Schedule 13D is hereby amended and supplemented as follows:</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On September 12, 2024, the Issuer, SAP SE, a European stock corporation (</w:t>
      </w:r>
      <w:r>
        <w:rPr>
          <w:rFonts w:ascii="Times New Roman" w:cs="Times New Roman" w:eastAsia="Times New Roman" w:hAnsi="Times New Roman"/>
          <w:sz w:val="18"/>
          <w:szCs w:val="18"/>
          <w:i w:val="1"/>
          <w:iCs w:val="1"/>
          <w:color w:val="auto"/>
        </w:rPr>
        <w:t>Societas Europaea</w:t>
      </w:r>
      <w:r>
        <w:rPr>
          <w:rFonts w:ascii="Times New Roman" w:cs="Times New Roman" w:eastAsia="Times New Roman" w:hAnsi="Times New Roman"/>
          <w:sz w:val="18"/>
          <w:szCs w:val="18"/>
          <w:color w:val="auto"/>
        </w:rPr>
        <w:t>) under the laws of Germany and the European Union</w:t>
      </w:r>
    </w:p>
    <w:p>
      <w:pPr>
        <w:spacing w:after="0" w:line="29" w:lineRule="exact"/>
        <w:rPr>
          <w:sz w:val="20"/>
          <w:szCs w:val="20"/>
          <w:color w:val="auto"/>
        </w:rPr>
      </w:pPr>
    </w:p>
    <w:p>
      <w:pPr>
        <w:ind w:right="12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Parent</w:t>
      </w:r>
      <w:r>
        <w:rPr>
          <w:rFonts w:ascii="Times New Roman" w:cs="Times New Roman" w:eastAsia="Times New Roman" w:hAnsi="Times New Roman"/>
          <w:sz w:val="18"/>
          <w:szCs w:val="18"/>
          <w:color w:val="auto"/>
        </w:rPr>
        <w:t>”), and Hummingbird Acquisition Corp Ltd., a company organized under the laws of the State of Israel and a wholly owned subsidiary of Parent (“</w:t>
      </w:r>
      <w:r>
        <w:rPr>
          <w:rFonts w:ascii="Times New Roman" w:cs="Times New Roman" w:eastAsia="Times New Roman" w:hAnsi="Times New Roman"/>
          <w:sz w:val="18"/>
          <w:szCs w:val="18"/>
          <w:u w:val="single" w:color="auto"/>
          <w:color w:val="auto"/>
        </w:rPr>
        <w:t>Merger Sub</w:t>
      </w:r>
      <w:r>
        <w:rPr>
          <w:rFonts w:ascii="Times New Roman" w:cs="Times New Roman" w:eastAsia="Times New Roman" w:hAnsi="Times New Roman"/>
          <w:sz w:val="18"/>
          <w:szCs w:val="18"/>
          <w:color w:val="auto"/>
        </w:rPr>
        <w:t>”), announced the consummation of the previously reported acquisition of the Issuer by Parent as a result of the merger of Merger Sub with and into the Issuer, in accordance with the Israeli Companies Law, 5759-1999, with the Issuer surviving the merger and becoming a wholly owned subsidiary of Parent (the “</w:t>
      </w:r>
      <w:r>
        <w:rPr>
          <w:rFonts w:ascii="Times New Roman" w:cs="Times New Roman" w:eastAsia="Times New Roman" w:hAnsi="Times New Roman"/>
          <w:sz w:val="18"/>
          <w:szCs w:val="18"/>
          <w:u w:val="single" w:color="auto"/>
          <w:color w:val="auto"/>
        </w:rPr>
        <w:t>Merger</w:t>
      </w:r>
      <w:r>
        <w:rPr>
          <w:rFonts w:ascii="Times New Roman" w:cs="Times New Roman" w:eastAsia="Times New Roman" w:hAnsi="Times New Roman"/>
          <w:sz w:val="18"/>
          <w:szCs w:val="18"/>
          <w:color w:val="auto"/>
        </w:rPr>
        <w:t>”). Pursuant to the terms of the Agreement and Plan of Merger, dated as of June 4, 2024, by and among the Issuer, Parent and Merger Sub (as amended from time to time, the “</w:t>
      </w:r>
      <w:r>
        <w:rPr>
          <w:rFonts w:ascii="Times New Roman" w:cs="Times New Roman" w:eastAsia="Times New Roman" w:hAnsi="Times New Roman"/>
          <w:sz w:val="18"/>
          <w:szCs w:val="18"/>
          <w:u w:val="single" w:color="auto"/>
          <w:color w:val="auto"/>
        </w:rPr>
        <w:t>Merger Agreement</w:t>
      </w:r>
      <w:r>
        <w:rPr>
          <w:rFonts w:ascii="Times New Roman" w:cs="Times New Roman" w:eastAsia="Times New Roman" w:hAnsi="Times New Roman"/>
          <w:sz w:val="18"/>
          <w:szCs w:val="18"/>
          <w:color w:val="auto"/>
        </w:rPr>
        <w:t>”), as of the Effective Time (as defined in the Merger Agreement), each Ordinary Share issued and outstanding immediately prior to the Effective Time was automatically converted into the right to receive, without interest, an amount in cash equal to $14.00 (subject to adjustment under the Merger Agreement and less any applicable withholding taxes).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Accordingly, as a result of the consummation of the Merger, the Reporting Persons no longer beneficially own any Ordinary Shares.</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Interest in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5 of the Schedule 13D is hereby amended and restated in its entirety as follows: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information set forth in Items 2 and 3 and on the cover pages of this Amendment No. 2 is incorporated by reference in its entirety into this Item 5.</w:t>
      </w:r>
    </w:p>
    <w:p>
      <w:pPr>
        <w:spacing w:after="0" w:line="225" w:lineRule="exact"/>
        <w:rPr>
          <w:sz w:val="20"/>
          <w:szCs w:val="20"/>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Amendment No. 2, the Reporting Persons do not beneficially own any Ordinary Shares.</w:t>
      </w:r>
    </w:p>
    <w:p>
      <w:pPr>
        <w:spacing w:after="0" w:line="76" w:lineRule="exact"/>
        <w:rPr>
          <w:rFonts w:ascii="Times New Roman" w:cs="Times New Roman" w:eastAsia="Times New Roman" w:hAnsi="Times New Roman"/>
          <w:sz w:val="18"/>
          <w:szCs w:val="18"/>
          <w:color w:val="auto"/>
        </w:rPr>
      </w:pPr>
    </w:p>
    <w:p>
      <w:pPr>
        <w:ind w:left="340" w:hanging="332"/>
        <w:spacing w:after="0"/>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of the date of this Amendment No. 2, the Reporting Persons do not beneficially own any Ordinary Shares.</w:t>
      </w:r>
    </w:p>
    <w:p>
      <w:pPr>
        <w:spacing w:after="0" w:line="76"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No. 2, there have been no transactions in the Ordinary Shares effected during the past 60 days by any person named in Item 2 hereof.</w:t>
      </w:r>
    </w:p>
    <w:p>
      <w:pPr>
        <w:spacing w:after="0" w:line="13" w:lineRule="exact"/>
        <w:rPr>
          <w:rFonts w:ascii="Times New Roman" w:cs="Times New Roman" w:eastAsia="Times New Roman" w:hAnsi="Times New Roman"/>
          <w:sz w:val="18"/>
          <w:szCs w:val="18"/>
          <w:color w:val="auto"/>
        </w:rPr>
      </w:pPr>
    </w:p>
    <w:p>
      <w:pPr>
        <w:ind w:left="3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Except as set forth in this Amendment No. 2, no other person is known to have the right to receive or the power to direct the receipt of dividends from, or the proceeds from the sale of, the Ordinary Shares previously beneficially owned by the Reporting Persons.</w:t>
      </w:r>
    </w:p>
    <w:p>
      <w:pPr>
        <w:spacing w:after="0" w:line="13" w:lineRule="exact"/>
        <w:rPr>
          <w:rFonts w:ascii="Times New Roman" w:cs="Times New Roman" w:eastAsia="Times New Roman" w:hAnsi="Times New Roman"/>
          <w:sz w:val="18"/>
          <w:szCs w:val="18"/>
          <w:color w:val="auto"/>
        </w:rPr>
      </w:pPr>
    </w:p>
    <w:p>
      <w:pPr>
        <w:ind w:left="340" w:right="40" w:hanging="332"/>
        <w:spacing w:after="0" w:line="282" w:lineRule="auto"/>
        <w:tabs>
          <w:tab w:leader="none" w:pos="34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September 12, 2024, following the consummation of the Merger, the Reporting Persons ceased to be the beneficial owner of more than five percent of the Ordinary Shares.</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6. Contracts, Arrangements, Understandings or Relationships With Respect to Securities of the Issuer.</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6 of the Schedule 13D is hereby amended and restated in its entirety as follows: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- 10 -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8"/>
          <w:szCs w:val="18"/>
          <w:i w:val="1"/>
          <w:iCs w:val="1"/>
          <w:color w:val="auto"/>
        </w:rPr>
        <w:t>Joint Filing Agreement</w:t>
      </w:r>
    </w:p>
    <w:p>
      <w:pPr>
        <w:spacing w:after="0" w:line="227" w:lineRule="exact"/>
        <w:rPr>
          <w:sz w:val="20"/>
          <w:szCs w:val="20"/>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Pursuant to Rule 13d-1(k) promulgated under the Exchange Act, the Reporting Persons have entered into a Joint Filing Agreement with respect to the joint filing of this Amendment No. 2, and any amendment or amendments hereto.</w:t>
      </w:r>
    </w:p>
    <w:p>
      <w:pPr>
        <w:spacing w:after="0" w:line="162" w:lineRule="exact"/>
        <w:rPr>
          <w:sz w:val="20"/>
          <w:szCs w:val="20"/>
          <w:color w:val="auto"/>
        </w:rPr>
      </w:pPr>
    </w:p>
    <w:p>
      <w:pPr>
        <w:ind w:right="560"/>
        <w:spacing w:after="0" w:line="282" w:lineRule="auto"/>
        <w:rPr>
          <w:sz w:val="20"/>
          <w:szCs w:val="20"/>
          <w:color w:val="auto"/>
        </w:rPr>
      </w:pPr>
      <w:r>
        <w:rPr>
          <w:rFonts w:ascii="Times New Roman" w:cs="Times New Roman" w:eastAsia="Times New Roman" w:hAnsi="Times New Roman"/>
          <w:sz w:val="18"/>
          <w:szCs w:val="18"/>
          <w:color w:val="auto"/>
        </w:rPr>
        <w:t>Except as set forth in this Amendment No. 2, there are no contracts, arrangements, understandings or relationships among the Reporting Persons or between such persons and any other person with respect to any securities of the Issuer.</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7. Material to be Filed as Exhibits.</w:t>
      </w:r>
    </w:p>
    <w:p>
      <w:pPr>
        <w:spacing w:after="0" w:line="2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Item 7 of the Schedule 13D is hereby amended and restated in its entirety as follows:</w:t>
      </w:r>
    </w:p>
    <w:p>
      <w:pPr>
        <w:spacing w:after="0" w:line="225" w:lineRule="exact"/>
        <w:rPr>
          <w:sz w:val="20"/>
          <w:szCs w:val="20"/>
          <w:color w:val="auto"/>
        </w:rPr>
      </w:pPr>
    </w:p>
    <w:p>
      <w:pPr>
        <w:ind w:left="1140" w:right="400" w:hanging="1133"/>
        <w:spacing w:after="0" w:line="282" w:lineRule="auto"/>
        <w:tabs>
          <w:tab w:leader="none" w:pos="1120" w:val="left"/>
        </w:tabs>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color w:val="auto"/>
        </w:rPr>
        <w:t>Exhibit 99.1</w:t>
      </w:r>
      <w:r>
        <w:rPr>
          <w:sz w:val="20"/>
          <w:szCs w:val="20"/>
          <w:color w:val="auto"/>
        </w:rPr>
        <w:tab/>
      </w:r>
      <w:hyperlink r:id="rId19">
        <w:r>
          <w:rPr>
            <w:rFonts w:ascii="Times New Roman" w:cs="Times New Roman" w:eastAsia="Times New Roman" w:hAnsi="Times New Roman"/>
            <w:sz w:val="18"/>
            <w:szCs w:val="18"/>
            <w:u w:val="single" w:color="auto"/>
            <w:color w:val="0000EE"/>
          </w:rPr>
          <w:t>Joint Filing Agreement, dated December 17, 2021, by and among the Reporting Persons (incorporated by reference to Exhibit 99.1 to</w:t>
        </w:r>
      </w:hyperlink>
      <w:r>
        <w:rPr>
          <w:rFonts w:ascii="Times New Roman" w:cs="Times New Roman" w:eastAsia="Times New Roman" w:hAnsi="Times New Roman"/>
          <w:sz w:val="18"/>
          <w:szCs w:val="18"/>
          <w:u w:val="single" w:color="auto"/>
          <w:color w:val="0000EE"/>
        </w:rPr>
        <w:t xml:space="preserve"> </w:t>
      </w:r>
      <w:hyperlink r:id="rId19">
        <w:r>
          <w:rPr>
            <w:rFonts w:ascii="Times New Roman" w:cs="Times New Roman" w:eastAsia="Times New Roman" w:hAnsi="Times New Roman"/>
            <w:sz w:val="18"/>
            <w:szCs w:val="18"/>
            <w:u w:val="single" w:color="auto"/>
            <w:color w:val="0000EE"/>
          </w:rPr>
          <w:t>Amendment No. 1 filed with the SEC on December 17, 2021).</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-296545</wp:posOffset>
            </wp:positionV>
            <wp:extent cx="7132320" cy="2743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0">
                      <a:extLst>
                        <a:ext uri="{28A0092B-C50C-407E-A947-70E740481C1C}"/>
                      </a:extLst>
                    </a:blip>
                    <a:srcRect/>
                    <a:stretch>
                      <a:fillRect/>
                    </a:stretch>
                  </pic:blipFill>
                  <pic:spPr bwMode="auto">
                    <a:xfrm>
                      <a:off x="0" y="0"/>
                      <a:ext cx="7132320" cy="274320"/>
                    </a:xfrm>
                    <a:prstGeom prst="rect">
                      <a:avLst/>
                    </a:prstGeom>
                    <a:noFill/>
                  </pic:spPr>
                </pic:pic>
              </a:graphicData>
            </a:graphic>
          </wp:anchor>
        </w:drawing>
      </w:r>
    </w:p>
    <w:p>
      <w:pPr>
        <w:spacing w:after="0" w:line="358"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color w:val="auto"/>
        </w:rPr>
        <w:t>- 11 -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60"/>
          </w:cols>
          <w:pgMar w:left="320" w:top="902" w:right="419"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29" w:lineRule="exact"/>
        <w:rPr>
          <w:sz w:val="20"/>
          <w:szCs w:val="20"/>
          <w:color w:val="auto"/>
        </w:rPr>
      </w:pPr>
    </w:p>
    <w:p>
      <w:pPr>
        <w:ind w:right="100"/>
        <w:spacing w:after="0" w:line="282" w:lineRule="auto"/>
        <w:rPr>
          <w:sz w:val="20"/>
          <w:szCs w:val="20"/>
          <w:color w:val="auto"/>
        </w:rPr>
      </w:pPr>
      <w:r>
        <w:rPr>
          <w:rFonts w:ascii="Times New Roman" w:cs="Times New Roman" w:eastAsia="Times New Roman" w:hAnsi="Times New Roman"/>
          <w:sz w:val="18"/>
          <w:szCs w:val="18"/>
          <w:color w:val="auto"/>
        </w:rPr>
        <w:t>After reasonable inquiry and to the best of each of the undersigned’s knowledge and belief, each of the undersigned, severally and not jointly, certifies that the information set forth in this statement is true, complete and correct.</w:t>
      </w:r>
    </w:p>
    <w:p>
      <w:pPr>
        <w:spacing w:after="0" w:line="158" w:lineRule="exact"/>
        <w:rPr>
          <w:sz w:val="20"/>
          <w:szCs w:val="20"/>
          <w:color w:val="auto"/>
        </w:rPr>
      </w:pPr>
    </w:p>
    <w:p>
      <w:pPr>
        <w:ind w:left="60"/>
        <w:spacing w:after="0"/>
        <w:tabs>
          <w:tab w:leader="none" w:pos="6680" w:val="left"/>
        </w:tabs>
        <w:rPr>
          <w:sz w:val="20"/>
          <w:szCs w:val="20"/>
          <w:color w:val="auto"/>
        </w:rPr>
      </w:pPr>
      <w:r>
        <w:rPr>
          <w:rFonts w:ascii="Times New Roman" w:cs="Times New Roman" w:eastAsia="Times New Roman" w:hAnsi="Times New Roman"/>
          <w:sz w:val="18"/>
          <w:szCs w:val="18"/>
          <w:color w:val="auto"/>
        </w:rPr>
        <w:t>Dated: September 16, 2024</w:t>
      </w:r>
      <w:r>
        <w:rPr>
          <w:sz w:val="20"/>
          <w:szCs w:val="20"/>
          <w:color w:val="auto"/>
        </w:rPr>
        <w:tab/>
      </w:r>
      <w:r>
        <w:rPr>
          <w:rFonts w:ascii="Times New Roman" w:cs="Times New Roman" w:eastAsia="Times New Roman" w:hAnsi="Times New Roman"/>
          <w:sz w:val="17"/>
          <w:szCs w:val="17"/>
          <w:b w:val="1"/>
          <w:bCs w:val="1"/>
          <w:color w:val="auto"/>
        </w:rPr>
        <w:t>AMBLESIDE S.À R.L.</w:t>
      </w:r>
    </w:p>
    <w:p>
      <w:pPr>
        <w:spacing w:after="0" w:line="229"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By:</w:t>
        <w:tab/>
        <w:t>/s/ Gaël Sausy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4582795</wp:posOffset>
            </wp:positionH>
            <wp:positionV relativeFrom="paragraph">
              <wp:posOffset>17145</wp:posOffset>
            </wp:positionV>
            <wp:extent cx="2554605"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2">
                      <a:extLst>
                        <a:ext uri="{28A0092B-C50C-407E-A947-70E740481C1C}"/>
                      </a:extLst>
                    </a:blip>
                    <a:srcRect/>
                    <a:stretch>
                      <a:fillRect/>
                    </a:stretch>
                  </pic:blipFill>
                  <pic:spPr bwMode="auto">
                    <a:xfrm>
                      <a:off x="0" y="0"/>
                      <a:ext cx="2554605" cy="17145"/>
                    </a:xfrm>
                    <a:prstGeom prst="rect">
                      <a:avLst/>
                    </a:prstGeom>
                    <a:noFill/>
                  </pic:spPr>
                </pic:pic>
              </a:graphicData>
            </a:graphic>
          </wp:anchor>
        </w:drawing>
      </w:r>
    </w:p>
    <w:p>
      <w:pPr>
        <w:spacing w:after="0" w:line="16"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color w:val="auto"/>
        </w:rPr>
        <w:t>Name: Gaël Sausy</w:t>
      </w:r>
    </w:p>
    <w:p>
      <w:pPr>
        <w:spacing w:after="0" w:line="27" w:lineRule="exact"/>
        <w:rPr>
          <w:sz w:val="20"/>
          <w:szCs w:val="20"/>
          <w:color w:val="auto"/>
        </w:rPr>
      </w:pPr>
    </w:p>
    <w:p>
      <w:pPr>
        <w:ind w:left="6700"/>
        <w:spacing w:after="0"/>
        <w:tabs>
          <w:tab w:leader="none" w:pos="72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B Manager and Authorized Signatory</w:t>
      </w:r>
    </w:p>
    <w:p>
      <w:pPr>
        <w:spacing w:after="0" w:line="203" w:lineRule="exact"/>
        <w:rPr>
          <w:sz w:val="20"/>
          <w:szCs w:val="20"/>
          <w:color w:val="auto"/>
        </w:rPr>
      </w:pPr>
    </w:p>
    <w:p>
      <w:pPr>
        <w:ind w:left="6700"/>
        <w:spacing w:after="0"/>
        <w:rPr>
          <w:sz w:val="20"/>
          <w:szCs w:val="20"/>
          <w:color w:val="auto"/>
        </w:rPr>
      </w:pPr>
      <w:r>
        <w:rPr>
          <w:rFonts w:ascii="Times New Roman" w:cs="Times New Roman" w:eastAsia="Times New Roman" w:hAnsi="Times New Roman"/>
          <w:sz w:val="18"/>
          <w:szCs w:val="18"/>
          <w:b w:val="1"/>
          <w:bCs w:val="1"/>
          <w:color w:val="auto"/>
        </w:rPr>
        <w:t>VITRUVIAN III LUXEMBOURG S.À R.L.</w:t>
      </w:r>
    </w:p>
    <w:p>
      <w:pPr>
        <w:spacing w:after="0" w:line="229" w:lineRule="exact"/>
        <w:rPr>
          <w:sz w:val="20"/>
          <w:szCs w:val="20"/>
          <w:color w:val="auto"/>
        </w:rPr>
      </w:pPr>
    </w:p>
    <w:tbl>
      <w:tblPr>
        <w:tblLayout w:type="fixed"/>
        <w:tblInd w:w="6700" w:type="dxa"/>
        <w:tblCellMar>
          <w:top w:w="0" w:type="dxa"/>
          <w:left w:w="0" w:type="dxa"/>
          <w:bottom w:w="0" w:type="dxa"/>
          <w:right w:w="0" w:type="dxa"/>
        </w:tblCellMar>
      </w:tblPr>
      <w:tr>
        <w:trPr>
          <w:trHeight w:val="241"/>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Gaël Sausy</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Gaël Sausy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 Manager and Authorized Signatory</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AMBLESIDE LUX S.À R.L.</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Gaël Sausy</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Gaël Sausy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 Manager and Authorized Signatory</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VIP III CORTEX-B S.À R.L.</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Gaël Sausy</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Gaël Sausy</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B Manager and Authorized Signatory</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VIP III NOMINEES LIMITED</w:t>
            </w:r>
          </w:p>
        </w:tc>
      </w:tr>
      <w:tr>
        <w:trPr>
          <w:trHeight w:val="432"/>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Vitruvian Partners LLP, its director</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James Sanderson</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James Sanderson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VIP III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Vitruvian Partners LLP, designated member of its</w:t>
            </w:r>
          </w:p>
        </w:tc>
      </w:tr>
      <w:tr>
        <w:trPr>
          <w:trHeight w:val="234"/>
        </w:trPr>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James Sanderson</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James Sanderson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VIP III CO-INVEST LP</w:t>
            </w:r>
          </w:p>
        </w:tc>
      </w:tr>
      <w:tr>
        <w:trPr>
          <w:trHeight w:val="41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Vitruvian Partners LLP, designated member of its</w:t>
            </w:r>
          </w:p>
        </w:tc>
      </w:tr>
      <w:tr>
        <w:trPr>
          <w:trHeight w:val="234"/>
        </w:trPr>
        <w:tc>
          <w:tcPr>
            <w:tcW w:w="520" w:type="dxa"/>
            <w:vAlign w:val="bottom"/>
          </w:tcPr>
          <w:p>
            <w:pPr>
              <w:spacing w:after="0"/>
              <w:rPr>
                <w:sz w:val="20"/>
                <w:szCs w:val="20"/>
                <w:color w:val="auto"/>
              </w:rPr>
            </w:pP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general partner</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James Sanderson</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James Sanderson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r>
        <w:trPr>
          <w:trHeight w:val="432"/>
        </w:trPr>
        <w:tc>
          <w:tcPr>
            <w:tcW w:w="4540" w:type="dxa"/>
            <w:vAlign w:val="bottom"/>
            <w:gridSpan w:val="2"/>
          </w:tcPr>
          <w:p>
            <w:pPr>
              <w:spacing w:after="0"/>
              <w:rPr>
                <w:sz w:val="20"/>
                <w:szCs w:val="20"/>
                <w:color w:val="auto"/>
              </w:rPr>
            </w:pPr>
            <w:r>
              <w:rPr>
                <w:rFonts w:ascii="Times New Roman" w:cs="Times New Roman" w:eastAsia="Times New Roman" w:hAnsi="Times New Roman"/>
                <w:sz w:val="18"/>
                <w:szCs w:val="18"/>
                <w:b w:val="1"/>
                <w:bCs w:val="1"/>
                <w:color w:val="auto"/>
              </w:rPr>
              <w:t>VITRUVIAN PARTNERS LLP</w:t>
            </w:r>
          </w:p>
        </w:tc>
      </w:tr>
      <w:tr>
        <w:trPr>
          <w:trHeight w:val="439"/>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By:</w:t>
            </w:r>
          </w:p>
        </w:tc>
        <w:tc>
          <w:tcPr>
            <w:tcW w:w="402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/s/ Robert James Sanderson</w:t>
            </w:r>
          </w:p>
        </w:tc>
      </w:tr>
      <w:tr>
        <w:trPr>
          <w:trHeight w:val="198"/>
        </w:trPr>
        <w:tc>
          <w:tcPr>
            <w:tcW w:w="5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Name:</w:t>
            </w:r>
          </w:p>
        </w:tc>
        <w:tc>
          <w:tcPr>
            <w:tcW w:w="402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Robert James Sanderson</w:t>
            </w:r>
          </w:p>
        </w:tc>
      </w:tr>
      <w:tr>
        <w:trPr>
          <w:trHeight w:val="234"/>
        </w:trPr>
        <w:tc>
          <w:tcPr>
            <w:tcW w:w="520" w:type="dxa"/>
            <w:vAlign w:val="bottom"/>
          </w:tcPr>
          <w:p>
            <w:pPr>
              <w:spacing w:after="0"/>
              <w:rPr>
                <w:sz w:val="20"/>
                <w:szCs w:val="20"/>
                <w:color w:val="auto"/>
              </w:rPr>
            </w:pPr>
            <w:r>
              <w:rPr>
                <w:rFonts w:ascii="Times New Roman" w:cs="Times New Roman" w:eastAsia="Times New Roman" w:hAnsi="Times New Roman"/>
                <w:sz w:val="18"/>
                <w:szCs w:val="18"/>
                <w:color w:val="auto"/>
              </w:rPr>
              <w:t>Title:</w:t>
            </w:r>
          </w:p>
        </w:tc>
        <w:tc>
          <w:tcPr>
            <w:tcW w:w="4020" w:type="dxa"/>
            <w:vAlign w:val="bottom"/>
          </w:tcPr>
          <w:p>
            <w:pPr>
              <w:spacing w:after="0"/>
              <w:rPr>
                <w:sz w:val="20"/>
                <w:szCs w:val="20"/>
                <w:color w:val="auto"/>
              </w:rPr>
            </w:pPr>
            <w:r>
              <w:rPr>
                <w:rFonts w:ascii="Times New Roman" w:cs="Times New Roman" w:eastAsia="Times New Roman" w:hAnsi="Times New Roman"/>
                <w:sz w:val="18"/>
                <w:szCs w:val="18"/>
                <w:color w:val="auto"/>
              </w:rPr>
              <w:t>Partner</w:t>
            </w: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- 12 -</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2" w:name="page13"/>
    <w:bookmarkEnd w:id="12"/>
    <w:tbl>
      <w:tblPr>
        <w:tblLayout w:type="fixed"/>
        <w:tblInd w:w="0" w:type="dxa"/>
        <w:tblCellMar>
          <w:top w:w="0" w:type="dxa"/>
          <w:left w:w="0" w:type="dxa"/>
          <w:bottom w:w="0" w:type="dxa"/>
          <w:right w:w="0" w:type="dxa"/>
        </w:tblCellMar>
      </w:tblP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gridSpan w:val="2"/>
          </w:tcPr>
          <w:p>
            <w:pPr>
              <w:ind w:left="1360"/>
              <w:spacing w:after="0"/>
              <w:rPr>
                <w:sz w:val="20"/>
                <w:szCs w:val="20"/>
                <w:color w:val="auto"/>
              </w:rPr>
            </w:pPr>
            <w:r>
              <w:rPr>
                <w:rFonts w:ascii="Times New Roman" w:cs="Times New Roman" w:eastAsia="Times New Roman" w:hAnsi="Times New Roman"/>
                <w:sz w:val="18"/>
                <w:szCs w:val="18"/>
                <w:color w:val="auto"/>
                <w:w w:val="99"/>
              </w:rPr>
              <w:t>Appendix A</w:t>
            </w:r>
          </w:p>
        </w:tc>
      </w:tr>
      <w:tr>
        <w:trPr>
          <w:trHeight w:val="432"/>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jc w:val="center"/>
              <w:ind w:left="310"/>
              <w:spacing w:after="0"/>
              <w:rPr>
                <w:sz w:val="20"/>
                <w:szCs w:val="20"/>
                <w:color w:val="auto"/>
              </w:rPr>
            </w:pPr>
            <w:r>
              <w:rPr>
                <w:rFonts w:ascii="Times New Roman" w:cs="Times New Roman" w:eastAsia="Times New Roman" w:hAnsi="Times New Roman"/>
                <w:sz w:val="18"/>
                <w:szCs w:val="18"/>
                <w:b w:val="1"/>
                <w:bCs w:val="1"/>
                <w:color w:val="auto"/>
                <w:w w:val="98"/>
              </w:rPr>
              <w:t>Covered Persons</w:t>
            </w:r>
          </w:p>
        </w:tc>
        <w:tc>
          <w:tcPr>
            <w:tcW w:w="100" w:type="dxa"/>
            <w:vAlign w:val="bottom"/>
          </w:tcPr>
          <w:p>
            <w:pPr>
              <w:spacing w:after="0"/>
              <w:rPr>
                <w:sz w:val="24"/>
                <w:szCs w:val="24"/>
                <w:color w:val="auto"/>
              </w:rPr>
            </w:pPr>
          </w:p>
        </w:tc>
        <w:tc>
          <w:tcPr>
            <w:tcW w:w="2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0"/>
        </w:trPr>
        <w:tc>
          <w:tcPr>
            <w:tcW w:w="17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3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24"/>
                <w:szCs w:val="24"/>
                <w:color w:val="auto"/>
              </w:rPr>
            </w:pPr>
          </w:p>
        </w:tc>
        <w:tc>
          <w:tcPr>
            <w:tcW w:w="22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Occupation/Principal</w:t>
            </w:r>
          </w:p>
        </w:tc>
        <w:tc>
          <w:tcPr>
            <w:tcW w:w="100" w:type="dxa"/>
            <w:vAlign w:val="bottom"/>
          </w:tcPr>
          <w:p>
            <w:pPr>
              <w:spacing w:after="0"/>
              <w:rPr>
                <w:sz w:val="18"/>
                <w:szCs w:val="18"/>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b w:val="1"/>
                <w:bCs w:val="1"/>
                <w:color w:val="auto"/>
                <w:w w:val="99"/>
              </w:rPr>
              <w:t>Citizenship/Place of</w:t>
            </w:r>
          </w:p>
        </w:tc>
      </w:tr>
      <w:tr>
        <w:trPr>
          <w:trHeight w:val="245"/>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Name</w:t>
            </w:r>
          </w:p>
        </w:tc>
        <w:tc>
          <w:tcPr>
            <w:tcW w:w="120" w:type="dxa"/>
            <w:vAlign w:val="bottom"/>
          </w:tcPr>
          <w:p>
            <w:pPr>
              <w:spacing w:after="0"/>
              <w:rPr>
                <w:sz w:val="21"/>
                <w:szCs w:val="21"/>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21"/>
                <w:szCs w:val="21"/>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Business Address</w:t>
            </w:r>
          </w:p>
        </w:tc>
        <w:tc>
          <w:tcPr>
            <w:tcW w:w="100" w:type="dxa"/>
            <w:vAlign w:val="bottom"/>
          </w:tcPr>
          <w:p>
            <w:pPr>
              <w:spacing w:after="0"/>
              <w:rPr>
                <w:sz w:val="21"/>
                <w:szCs w:val="21"/>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00" w:type="dxa"/>
            <w:vAlign w:val="bottom"/>
          </w:tcPr>
          <w:p>
            <w:pPr>
              <w:spacing w:after="0"/>
              <w:rPr>
                <w:sz w:val="21"/>
                <w:szCs w:val="21"/>
                <w:color w:val="auto"/>
              </w:rPr>
            </w:pPr>
          </w:p>
        </w:tc>
        <w:tc>
          <w:tcPr>
            <w:tcW w:w="2260" w:type="dxa"/>
            <w:vAlign w:val="bottom"/>
            <w:gridSpan w:val="2"/>
          </w:tcPr>
          <w:p>
            <w:pPr>
              <w:jc w:val="center"/>
              <w:ind w:right="40"/>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8"/>
        </w:trPr>
        <w:tc>
          <w:tcPr>
            <w:tcW w:w="170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Michael Adam Risman</w:t>
            </w:r>
          </w:p>
        </w:tc>
        <w:tc>
          <w:tcPr>
            <w:tcW w:w="120" w:type="dxa"/>
            <w:vAlign w:val="bottom"/>
          </w:tcPr>
          <w:p>
            <w:pPr>
              <w:spacing w:after="0"/>
              <w:rPr>
                <w:sz w:val="17"/>
                <w:szCs w:val="17"/>
                <w:color w:val="auto"/>
              </w:rPr>
            </w:pPr>
          </w:p>
        </w:tc>
        <w:tc>
          <w:tcPr>
            <w:tcW w:w="23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17"/>
                <w:szCs w:val="17"/>
                <w:color w:val="auto"/>
              </w:rPr>
            </w:pPr>
          </w:p>
        </w:tc>
        <w:tc>
          <w:tcPr>
            <w:tcW w:w="226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17"/>
                <w:szCs w:val="17"/>
                <w:color w:val="auto"/>
              </w:rPr>
            </w:pPr>
          </w:p>
        </w:tc>
        <w:tc>
          <w:tcPr>
            <w:tcW w:w="2240" w:type="dxa"/>
            <w:vAlign w:val="bottom"/>
            <w:tcBorders>
              <w:top w:val="single" w:sz="8" w:color="auto"/>
            </w:tcBorders>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United Kingdom</w:t>
            </w:r>
          </w:p>
        </w:tc>
        <w:tc>
          <w:tcPr>
            <w:tcW w:w="20" w:type="dxa"/>
            <w:vAlign w:val="bottom"/>
          </w:tcPr>
          <w:p>
            <w:pPr>
              <w:spacing w:after="0"/>
              <w:rPr>
                <w:sz w:val="17"/>
                <w:szCs w:val="17"/>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David Louis Nahama</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United States of America</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Torsten Claus Winkler</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Stephen James Byrne</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9"/>
              </w:rPr>
              <w:t>Republic of Ireland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Benjamin Clark</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Johnson</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Fabian Tobias</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Germany</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Friedrich Georg</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Wasmus</w:t>
            </w: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Jussi Wuoristo</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Finland</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Robert James</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Sanderson</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Sophie Catherine</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Straziota</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Luuk Remmen</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of Vitruvian Partners</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Partner of</w:t>
            </w:r>
          </w:p>
        </w:tc>
        <w:tc>
          <w:tcPr>
            <w:tcW w:w="100" w:type="dxa"/>
            <w:vAlign w:val="bottom"/>
          </w:tcPr>
          <w:p>
            <w:pPr>
              <w:spacing w:after="0"/>
              <w:rPr>
                <w:sz w:val="24"/>
                <w:szCs w:val="24"/>
                <w:color w:val="auto"/>
              </w:rPr>
            </w:pPr>
          </w:p>
        </w:tc>
        <w:tc>
          <w:tcPr>
            <w:tcW w:w="2260" w:type="dxa"/>
            <w:vAlign w:val="bottom"/>
            <w:gridSpan w:val="2"/>
          </w:tcPr>
          <w:p>
            <w:pPr>
              <w:jc w:val="center"/>
              <w:ind w:right="20"/>
              <w:spacing w:after="0"/>
              <w:rPr>
                <w:sz w:val="20"/>
                <w:szCs w:val="20"/>
                <w:color w:val="auto"/>
              </w:rPr>
            </w:pPr>
            <w:r>
              <w:rPr>
                <w:rFonts w:ascii="Times New Roman" w:cs="Times New Roman" w:eastAsia="Times New Roman" w:hAnsi="Times New Roman"/>
                <w:sz w:val="18"/>
                <w:szCs w:val="18"/>
                <w:color w:val="auto"/>
              </w:rPr>
              <w:t>Netherlands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LLP</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20" w:type="dxa"/>
            <w:vAlign w:val="bottom"/>
          </w:tcPr>
          <w:p>
            <w:pPr>
              <w:spacing w:after="0"/>
              <w:rPr>
                <w:sz w:val="20"/>
                <w:szCs w:val="20"/>
                <w:color w:val="auto"/>
              </w:rPr>
            </w:pPr>
          </w:p>
        </w:tc>
      </w:tr>
      <w:tr>
        <w:trPr>
          <w:trHeight w:val="682"/>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jc w:val="center"/>
              <w:ind w:left="310"/>
              <w:spacing w:after="0"/>
              <w:rPr>
                <w:sz w:val="20"/>
                <w:szCs w:val="20"/>
                <w:color w:val="auto"/>
              </w:rPr>
            </w:pPr>
            <w:r>
              <w:rPr>
                <w:rFonts w:ascii="Times New Roman" w:cs="Times New Roman" w:eastAsia="Times New Roman" w:hAnsi="Times New Roman"/>
                <w:sz w:val="18"/>
                <w:szCs w:val="18"/>
                <w:color w:val="auto"/>
              </w:rPr>
              <w:t>Appendix A-1</w:t>
            </w: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c>
          <w:tcPr>
            <w:tcW w:w="20" w:type="dxa"/>
            <w:vAlign w:val="bottom"/>
          </w:tcPr>
          <w:p>
            <w:pPr>
              <w:spacing w:after="0"/>
              <w:rPr>
                <w:sz w:val="24"/>
                <w:szCs w:val="24"/>
                <w:color w:val="auto"/>
              </w:rPr>
            </w:pPr>
          </w:p>
        </w:tc>
      </w:tr>
    </w:tbl>
    <w:p>
      <w:pPr>
        <w:sectPr>
          <w:pgSz w:w="11900" w:h="16838" w:orient="portrait"/>
          <w:cols w:equalWidth="0" w:num="1">
            <w:col w:w="11240"/>
          </w:cols>
          <w:pgMar w:left="320" w:top="904" w:right="339" w:bottom="1440" w:gutter="0" w:footer="0" w:header="0"/>
        </w:sectPr>
      </w:pPr>
    </w:p>
    <w:bookmarkStart w:id="13" w:name="page14"/>
    <w:bookmarkEnd w:id="13"/>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Occupation/Principal</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Citizenship/Place of</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1"/>
                <w:szCs w:val="21"/>
                <w:color w:val="auto"/>
              </w:rPr>
            </w:pPr>
          </w:p>
        </w:tc>
        <w:tc>
          <w:tcPr>
            <w:tcW w:w="23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Position(s)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Business Address</w:t>
            </w: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8"/>
        </w:trPr>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Vitruvian General</w:t>
            </w:r>
          </w:p>
        </w:tc>
        <w:tc>
          <w:tcPr>
            <w:tcW w:w="120" w:type="dxa"/>
            <w:vAlign w:val="bottom"/>
          </w:tcPr>
          <w:p>
            <w:pPr>
              <w:spacing w:after="0"/>
              <w:rPr>
                <w:sz w:val="17"/>
                <w:szCs w:val="17"/>
                <w:color w:val="auto"/>
              </w:rPr>
            </w:pPr>
          </w:p>
        </w:tc>
        <w:tc>
          <w:tcPr>
            <w:tcW w:w="2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General Partner of VIP III LP</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England and Wales</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LLP</w:t>
            </w: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Scotcar</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Partner of VIP III Co-</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General Partner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Scotland</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General Partner LLP</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Invest 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4180" w:type="dxa"/>
            <w:vAlign w:val="bottom"/>
            <w:gridSpan w:val="3"/>
          </w:tcPr>
          <w:p>
            <w:pPr>
              <w:ind w:left="100"/>
              <w:spacing w:after="0"/>
              <w:rPr>
                <w:sz w:val="20"/>
                <w:szCs w:val="20"/>
                <w:color w:val="auto"/>
              </w:rPr>
            </w:pPr>
            <w:r>
              <w:rPr>
                <w:rFonts w:ascii="Times New Roman" w:cs="Times New Roman" w:eastAsia="Times New Roman" w:hAnsi="Times New Roman"/>
                <w:sz w:val="18"/>
                <w:szCs w:val="18"/>
                <w:color w:val="auto"/>
              </w:rPr>
              <w:t>Vitruvian Directors I   (1) B Manager of Ambleside S.à</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Limited</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B Manager of Ambleside</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 S.à r.l.</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B Manager of Vitruvian III</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Luxembourg S.à r.l.</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B Manager of VIP III</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Cortex-B S.à r.l.</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Directors II</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(1) Director of Vitruvian</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Corporate Director</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Limited</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Directors I Limited</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(2) Director of Vitruvian</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Partners Limited</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Gaël Sausy</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B Manager of Ambleside S.à</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III Luxembourg</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Head of Vitruvian</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France</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S.à r.l., VIP III Cortex-B S.à</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Luxembourg Operations</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B Manager of Ambleside</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r.l., Ambleside S.à r.l. and</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Ambleside Lux S.à r.l.</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B Manager of Vitruvian III</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 rue Philippe II, L-2340</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Luxembourg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B Manager of VIP III</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Cortex-B S.à r.l.</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Philippe Salpetier</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B Manager of Ambleside S.à</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III Luxembourg</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Alter Domus, Director Sales &amp;</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S.à r.l. VIP III Cortex-B S.à</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Relationship Management</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B Manager of Ambleside</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r.l., Ambleside S.à r.l. and</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Ambleside Lux S.à r.l.</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(3) B Manager of Vitruvian III</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 rue Philippe II, L-2340</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Luxembourg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(4) B Manager of VIP III</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Cortex-B S.à r.l.</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Gaëtan Dumont</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 B Manager of Vitruvian III</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III Luxembourg</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The Square Finance s.à r.l.</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Belgium</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Luxembourg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S.à r.l. and VIP III Cortex-B</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 B Manager of VIP III</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S.à r.l.</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Cortex-B S.à r.l.</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21, rue Philippe II, L-2340</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Luxembourg</w:t>
            </w: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bl>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Appendix A-2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17145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sectPr>
      </w:pPr>
    </w:p>
    <w:bookmarkStart w:id="14" w:name="page15"/>
    <w:bookmarkEnd w:id="14"/>
    <w:tbl>
      <w:tblPr>
        <w:tblLayout w:type="fixed"/>
        <w:tblInd w:w="0" w:type="dxa"/>
        <w:tblCellMar>
          <w:top w:w="0" w:type="dxa"/>
          <w:left w:w="0" w:type="dxa"/>
          <w:bottom w:w="0" w:type="dxa"/>
          <w:right w:w="0" w:type="dxa"/>
        </w:tblCellMar>
      </w:tblP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8"/>
              </w:rPr>
              <w:t>Principal</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rPr>
              <w:t>Occupation/Principal</w:t>
            </w:r>
          </w:p>
        </w:tc>
        <w:tc>
          <w:tcPr>
            <w:tcW w:w="10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Citizenship/Place of</w:t>
            </w:r>
          </w:p>
        </w:tc>
      </w:tr>
      <w:tr>
        <w:trPr>
          <w:trHeight w:val="245"/>
        </w:trPr>
        <w:tc>
          <w:tcPr>
            <w:tcW w:w="17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7"/>
              </w:rPr>
              <w:t>Name</w:t>
            </w:r>
          </w:p>
        </w:tc>
        <w:tc>
          <w:tcPr>
            <w:tcW w:w="120" w:type="dxa"/>
            <w:vAlign w:val="bottom"/>
          </w:tcPr>
          <w:p>
            <w:pPr>
              <w:spacing w:after="0"/>
              <w:rPr>
                <w:sz w:val="21"/>
                <w:szCs w:val="21"/>
                <w:color w:val="auto"/>
              </w:rPr>
            </w:pPr>
          </w:p>
        </w:tc>
        <w:tc>
          <w:tcPr>
            <w:tcW w:w="2360" w:type="dxa"/>
            <w:vAlign w:val="bottom"/>
            <w:tcBorders>
              <w:bottom w:val="single" w:sz="8" w:color="auto"/>
            </w:tcBorders>
          </w:tcPr>
          <w:p>
            <w:pPr>
              <w:ind w:left="860"/>
              <w:spacing w:after="0"/>
              <w:rPr>
                <w:sz w:val="20"/>
                <w:szCs w:val="20"/>
                <w:color w:val="auto"/>
              </w:rPr>
            </w:pPr>
            <w:r>
              <w:rPr>
                <w:rFonts w:ascii="Times New Roman" w:cs="Times New Roman" w:eastAsia="Times New Roman" w:hAnsi="Times New Roman"/>
                <w:sz w:val="18"/>
                <w:szCs w:val="18"/>
                <w:b w:val="1"/>
                <w:bCs w:val="1"/>
                <w:color w:val="auto"/>
              </w:rPr>
              <w:t>Positions(s)</w:t>
            </w:r>
          </w:p>
        </w:tc>
        <w:tc>
          <w:tcPr>
            <w:tcW w:w="12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Principal Business Address</w:t>
            </w:r>
          </w:p>
        </w:tc>
        <w:tc>
          <w:tcPr>
            <w:tcW w:w="100" w:type="dxa"/>
            <w:vAlign w:val="bottom"/>
          </w:tcPr>
          <w:p>
            <w:pPr>
              <w:spacing w:after="0"/>
              <w:rPr>
                <w:sz w:val="21"/>
                <w:szCs w:val="21"/>
                <w:color w:val="auto"/>
              </w:rPr>
            </w:pPr>
          </w:p>
        </w:tc>
        <w:tc>
          <w:tcPr>
            <w:tcW w:w="2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Business</w:t>
            </w:r>
          </w:p>
        </w:tc>
        <w:tc>
          <w:tcPr>
            <w:tcW w:w="100" w:type="dxa"/>
            <w:vAlign w:val="bottom"/>
          </w:tcPr>
          <w:p>
            <w:pPr>
              <w:spacing w:after="0"/>
              <w:rPr>
                <w:sz w:val="21"/>
                <w:szCs w:val="21"/>
                <w:color w:val="auto"/>
              </w:rPr>
            </w:pPr>
          </w:p>
        </w:tc>
        <w:tc>
          <w:tcPr>
            <w:tcW w:w="224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8"/>
                <w:szCs w:val="18"/>
                <w:b w:val="1"/>
                <w:bCs w:val="1"/>
                <w:color w:val="auto"/>
                <w:w w:val="99"/>
              </w:rPr>
              <w:t>Organization</w:t>
            </w:r>
          </w:p>
        </w:tc>
      </w:tr>
      <w:tr>
        <w:trPr>
          <w:trHeight w:val="198"/>
        </w:trPr>
        <w:tc>
          <w:tcPr>
            <w:tcW w:w="170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Christopher Arthur</w:t>
            </w:r>
          </w:p>
        </w:tc>
        <w:tc>
          <w:tcPr>
            <w:tcW w:w="120" w:type="dxa"/>
            <w:vAlign w:val="bottom"/>
          </w:tcPr>
          <w:p>
            <w:pPr>
              <w:spacing w:after="0"/>
              <w:rPr>
                <w:sz w:val="17"/>
                <w:szCs w:val="17"/>
                <w:color w:val="auto"/>
              </w:rPr>
            </w:pPr>
          </w:p>
        </w:tc>
        <w:tc>
          <w:tcPr>
            <w:tcW w:w="23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rPr>
              <w:t>(1) Director and Secretary of</w:t>
            </w:r>
          </w:p>
        </w:tc>
        <w:tc>
          <w:tcPr>
            <w:tcW w:w="12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17"/>
                <w:szCs w:val="17"/>
                <w:color w:val="auto"/>
              </w:rPr>
            </w:pPr>
          </w:p>
        </w:tc>
        <w:tc>
          <w:tcPr>
            <w:tcW w:w="226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9"/>
              </w:rPr>
              <w:t>General Counsel</w:t>
            </w:r>
          </w:p>
        </w:tc>
        <w:tc>
          <w:tcPr>
            <w:tcW w:w="100" w:type="dxa"/>
            <w:vAlign w:val="bottom"/>
          </w:tcPr>
          <w:p>
            <w:pPr>
              <w:spacing w:after="0"/>
              <w:rPr>
                <w:sz w:val="17"/>
                <w:szCs w:val="17"/>
                <w:color w:val="auto"/>
              </w:rPr>
            </w:pPr>
          </w:p>
        </w:tc>
        <w:tc>
          <w:tcPr>
            <w:tcW w:w="2240" w:type="dxa"/>
            <w:vAlign w:val="bottom"/>
          </w:tcPr>
          <w:p>
            <w:pPr>
              <w:jc w:val="center"/>
              <w:spacing w:after="0" w:line="198" w:lineRule="exact"/>
              <w:rPr>
                <w:sz w:val="20"/>
                <w:szCs w:val="20"/>
                <w:color w:val="auto"/>
              </w:rPr>
            </w:pPr>
            <w:r>
              <w:rPr>
                <w:rFonts w:ascii="Times New Roman" w:cs="Times New Roman" w:eastAsia="Times New Roman" w:hAnsi="Times New Roman"/>
                <w:sz w:val="18"/>
                <w:szCs w:val="18"/>
                <w:color w:val="auto"/>
                <w:w w:val="98"/>
              </w:rPr>
              <w:t>United Kingdom</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Bulger</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Directors I Limited</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Director and Secretary of</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Directors II Limited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(3) Director and Secretary of</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Vitruvian Partners Limited</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Partners</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Designated Member of</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Private Equity Services</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216"/>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Limited</w:t>
            </w: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General Partner 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Manager</w:t>
            </w: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Designated Member of</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Scotcar General</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LLP</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Director of Vitruvian</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Directors I Limited</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(4) Director of Vitruvian</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Directors II Limited</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414"/>
        </w:trPr>
        <w:tc>
          <w:tcPr>
            <w:tcW w:w="17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Partners LLP</w:t>
            </w:r>
          </w:p>
        </w:tc>
        <w:tc>
          <w:tcPr>
            <w:tcW w:w="120" w:type="dxa"/>
            <w:vAlign w:val="bottom"/>
          </w:tcPr>
          <w:p>
            <w:pPr>
              <w:spacing w:after="0"/>
              <w:rPr>
                <w:sz w:val="24"/>
                <w:szCs w:val="24"/>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(1) Designated Member of</w:t>
            </w:r>
          </w:p>
        </w:tc>
        <w:tc>
          <w:tcPr>
            <w:tcW w:w="12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c/o Vitruvian Partners LLP</w:t>
            </w:r>
          </w:p>
        </w:tc>
        <w:tc>
          <w:tcPr>
            <w:tcW w:w="100" w:type="dxa"/>
            <w:vAlign w:val="bottom"/>
          </w:tcPr>
          <w:p>
            <w:pPr>
              <w:spacing w:after="0"/>
              <w:rPr>
                <w:sz w:val="24"/>
                <w:szCs w:val="24"/>
                <w:color w:val="auto"/>
              </w:rPr>
            </w:pPr>
          </w:p>
        </w:tc>
        <w:tc>
          <w:tcPr>
            <w:tcW w:w="22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See Item 2(c)</w:t>
            </w:r>
          </w:p>
        </w:tc>
        <w:tc>
          <w:tcPr>
            <w:tcW w:w="100" w:type="dxa"/>
            <w:vAlign w:val="bottom"/>
          </w:tcPr>
          <w:p>
            <w:pPr>
              <w:spacing w:after="0"/>
              <w:rPr>
                <w:sz w:val="24"/>
                <w:szCs w:val="24"/>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England and Wales</w:t>
            </w: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General Partner LLP</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105 Wigmore Street</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rPr>
              <w:t>(2) Designated Member of</w:t>
            </w:r>
          </w:p>
        </w:tc>
        <w:tc>
          <w:tcPr>
            <w:tcW w:w="120" w:type="dxa"/>
            <w:vAlign w:val="bottom"/>
          </w:tcPr>
          <w:p>
            <w:pPr>
              <w:spacing w:after="0"/>
              <w:rPr>
                <w:sz w:val="18"/>
                <w:szCs w:val="18"/>
                <w:color w:val="auto"/>
              </w:rPr>
            </w:pPr>
          </w:p>
        </w:tc>
        <w:tc>
          <w:tcPr>
            <w:tcW w:w="224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London W1U 1QY</w:t>
            </w: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Vitruvian Scotcar General</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 LLP</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16"/>
        </w:trPr>
        <w:tc>
          <w:tcPr>
            <w:tcW w:w="17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8"/>
              </w:rPr>
              <w:t>(3) Director of Vitruvian</w:t>
            </w:r>
          </w:p>
        </w:tc>
        <w:tc>
          <w:tcPr>
            <w:tcW w:w="120" w:type="dxa"/>
            <w:vAlign w:val="bottom"/>
          </w:tcPr>
          <w:p>
            <w:pPr>
              <w:spacing w:after="0"/>
              <w:rPr>
                <w:sz w:val="18"/>
                <w:szCs w:val="18"/>
                <w:color w:val="auto"/>
              </w:rPr>
            </w:pPr>
          </w:p>
        </w:tc>
        <w:tc>
          <w:tcPr>
            <w:tcW w:w="2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40" w:type="dxa"/>
            <w:vAlign w:val="bottom"/>
          </w:tcPr>
          <w:p>
            <w:pPr>
              <w:spacing w:after="0"/>
              <w:rPr>
                <w:sz w:val="18"/>
                <w:szCs w:val="18"/>
                <w:color w:val="auto"/>
              </w:rPr>
            </w:pPr>
          </w:p>
        </w:tc>
      </w:tr>
      <w:tr>
        <w:trPr>
          <w:trHeight w:val="234"/>
        </w:trPr>
        <w:tc>
          <w:tcPr>
            <w:tcW w:w="17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3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Partners Limited</w:t>
            </w:r>
          </w:p>
        </w:tc>
        <w:tc>
          <w:tcPr>
            <w:tcW w:w="120" w:type="dxa"/>
            <w:vAlign w:val="bottom"/>
          </w:tcPr>
          <w:p>
            <w:pPr>
              <w:spacing w:after="0"/>
              <w:rPr>
                <w:sz w:val="20"/>
                <w:szCs w:val="20"/>
                <w:color w:val="auto"/>
              </w:rPr>
            </w:pPr>
          </w:p>
        </w:tc>
        <w:tc>
          <w:tcPr>
            <w:tcW w:w="2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40" w:type="dxa"/>
            <w:vAlign w:val="bottom"/>
          </w:tcPr>
          <w:p>
            <w:pPr>
              <w:spacing w:after="0"/>
              <w:rPr>
                <w:sz w:val="20"/>
                <w:szCs w:val="20"/>
                <w:color w:val="auto"/>
              </w:rPr>
            </w:pPr>
          </w:p>
        </w:tc>
      </w:tr>
      <w:tr>
        <w:trPr>
          <w:trHeight w:val="655"/>
        </w:trPr>
        <w:tc>
          <w:tcPr>
            <w:tcW w:w="17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3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ind w:left="800"/>
              <w:spacing w:after="0"/>
              <w:rPr>
                <w:sz w:val="20"/>
                <w:szCs w:val="20"/>
                <w:color w:val="auto"/>
              </w:rPr>
            </w:pPr>
            <w:r>
              <w:rPr>
                <w:rFonts w:ascii="Times New Roman" w:cs="Times New Roman" w:eastAsia="Times New Roman" w:hAnsi="Times New Roman"/>
                <w:sz w:val="18"/>
                <w:szCs w:val="18"/>
                <w:color w:val="auto"/>
              </w:rPr>
              <w:t>Appendix A-3</w:t>
            </w:r>
          </w:p>
        </w:tc>
        <w:tc>
          <w:tcPr>
            <w:tcW w:w="100" w:type="dxa"/>
            <w:vAlign w:val="bottom"/>
            <w:tcBorders>
              <w:bottom w:val="single" w:sz="8" w:color="auto"/>
            </w:tcBorders>
          </w:tcPr>
          <w:p>
            <w:pPr>
              <w:spacing w:after="0"/>
              <w:rPr>
                <w:sz w:val="24"/>
                <w:szCs w:val="24"/>
                <w:color w:val="auto"/>
              </w:rPr>
            </w:pPr>
          </w:p>
        </w:tc>
        <w:tc>
          <w:tcPr>
            <w:tcW w:w="22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40" w:type="dxa"/>
            <w:vAlign w:val="bottom"/>
            <w:tcBorders>
              <w:bottom w:val="single" w:sz="8" w:color="auto"/>
            </w:tcBorders>
          </w:tcPr>
          <w:p>
            <w:pPr>
              <w:spacing w:after="0"/>
              <w:rPr>
                <w:sz w:val="24"/>
                <w:szCs w:val="24"/>
                <w:color w:val="auto"/>
              </w:rPr>
            </w:pPr>
          </w:p>
        </w:tc>
      </w:tr>
    </w:tbl>
    <w:p>
      <w:pPr>
        <w:spacing w:after="0" w:line="1" w:lineRule="exact"/>
        <w:rPr>
          <w:sz w:val="20"/>
          <w:szCs w:val="20"/>
          <w:color w:val="auto"/>
        </w:rPr>
      </w:pPr>
    </w:p>
    <w:sectPr>
      <w:pgSz w:w="11900" w:h="16838" w:orient="portrait"/>
      <w:cols w:equalWidth="0" w:num="1">
        <w:col w:w="11240"/>
      </w:cols>
      <w:pgMar w:left="320" w:top="90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312"/>
    </w:lvl>
  </w:abstractNum>
  <w:abstractNum w:abstractNumId="1">
    <w:nsid w:val="66334873"/>
    <w:multiLevelType w:val="hybridMultilevel"/>
    <w:lvl w:ilvl="0">
      <w:lvlJc w:val="left"/>
      <w:lvlText w:val="(%1)"/>
      <w:numFmt w:val="lowerLetter"/>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20" Type="http://schemas.openxmlformats.org/officeDocument/2006/relationships/image" Target="media/image12.png"/><Relationship Id="rId21" Type="http://schemas.openxmlformats.org/officeDocument/2006/relationships/image" Target="media/image13.png"/><Relationship Id="rId22" Type="http://schemas.openxmlformats.org/officeDocument/2006/relationships/image" Target="media/image14.png"/><Relationship Id="rId23" Type="http://schemas.openxmlformats.org/officeDocument/2006/relationships/image" Target="media/image15.png"/><Relationship Id="rId24" Type="http://schemas.openxmlformats.org/officeDocument/2006/relationships/image" Target="media/image16.png"/><Relationship Id="rId19" Type="http://schemas.openxmlformats.org/officeDocument/2006/relationships/hyperlink" Target="http://www.sec.gov/Archives/edgar/data/1692590/000121390021065875/ea152540-13da1vitruvi_walkme.htm#a_00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2024-09-16T12:07:45Z</dcterms:created>
  <dcterms:modified xsi:type="dcterms:W3CDTF">2024-09-16T12:07:45Z</dcterms:modified>
</cp:coreProperties>
</file>